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601141">
      <w:pPr>
        <w:pStyle w:val="Gazettenoanddate"/>
        <w:tabs>
          <w:tab w:val="left" w:pos="6379"/>
        </w:tabs>
      </w:pPr>
      <w:r>
        <w:t>No.</w:t>
      </w:r>
      <w:r w:rsidR="00282700">
        <w:t xml:space="preserve"> </w:t>
      </w:r>
      <w:r w:rsidR="00D66D67">
        <w:t>G</w:t>
      </w:r>
      <w:r w:rsidR="00E715E7">
        <w:t>45</w:t>
      </w:r>
      <w:r w:rsidR="004E2B3B">
        <w:tab/>
      </w:r>
      <w:r w:rsidR="00E715E7">
        <w:t>9</w:t>
      </w:r>
      <w:r w:rsidR="00EC68D0">
        <w:t xml:space="preserve"> Novem</w:t>
      </w:r>
      <w:r w:rsidR="00FC4C7A">
        <w:t>ber</w:t>
      </w:r>
      <w:r w:rsidR="00EF1859">
        <w:t xml:space="preserve"> 2016</w:t>
      </w:r>
    </w:p>
    <w:p w:rsidR="005708E7" w:rsidRPr="0023721B" w:rsidRDefault="005708E7" w:rsidP="00C14668">
      <w:pPr>
        <w:keepNext/>
        <w:widowControl w:val="0"/>
        <w:spacing w:before="120" w:after="120"/>
        <w:jc w:val="both"/>
        <w:outlineLvl w:val="0"/>
        <w:rPr>
          <w:rFonts w:eastAsia="Times New Roman"/>
          <w:b/>
          <w:bCs/>
          <w:kern w:val="32"/>
          <w:sz w:val="32"/>
          <w:szCs w:val="32"/>
        </w:rPr>
      </w:pPr>
      <w:r w:rsidRPr="0023721B">
        <w:rPr>
          <w:rFonts w:eastAsia="Times New Roman"/>
          <w:b/>
          <w:bCs/>
          <w:kern w:val="32"/>
          <w:sz w:val="32"/>
          <w:szCs w:val="32"/>
        </w:rPr>
        <w:t>Christmas/New Year publication</w:t>
      </w:r>
    </w:p>
    <w:p w:rsidR="009D4BFD" w:rsidRPr="009D4BFD" w:rsidRDefault="009D4BFD" w:rsidP="00C14668">
      <w:pPr>
        <w:pStyle w:val="Heading1"/>
        <w:widowControl w:val="0"/>
        <w:spacing w:before="120" w:after="120"/>
        <w:jc w:val="both"/>
        <w:rPr>
          <w:b w:val="0"/>
          <w:sz w:val="24"/>
          <w:szCs w:val="24"/>
        </w:rPr>
      </w:pPr>
      <w:r w:rsidRPr="009D4BFD">
        <w:rPr>
          <w:b w:val="0"/>
          <w:sz w:val="24"/>
          <w:szCs w:val="24"/>
        </w:rPr>
        <w:t>The last General Gazette for 2016 will be published on Wednesday</w:t>
      </w:r>
      <w:r w:rsidR="00471C8A">
        <w:rPr>
          <w:b w:val="0"/>
          <w:sz w:val="24"/>
          <w:szCs w:val="24"/>
        </w:rPr>
        <w:t> </w:t>
      </w:r>
      <w:r w:rsidRPr="009D4BFD">
        <w:rPr>
          <w:b w:val="0"/>
          <w:sz w:val="24"/>
          <w:szCs w:val="24"/>
        </w:rPr>
        <w:t>21</w:t>
      </w:r>
      <w:r w:rsidR="00471C8A">
        <w:rPr>
          <w:b w:val="0"/>
          <w:sz w:val="24"/>
          <w:szCs w:val="24"/>
        </w:rPr>
        <w:t> </w:t>
      </w:r>
      <w:r w:rsidRPr="009D4BFD">
        <w:rPr>
          <w:b w:val="0"/>
          <w:sz w:val="24"/>
          <w:szCs w:val="24"/>
        </w:rPr>
        <w:t>December.</w:t>
      </w:r>
    </w:p>
    <w:p w:rsidR="009D4BFD" w:rsidRDefault="009D4BFD" w:rsidP="00C14668">
      <w:pPr>
        <w:spacing w:before="120" w:after="120"/>
        <w:jc w:val="both"/>
        <w:rPr>
          <w:szCs w:val="24"/>
        </w:rPr>
      </w:pPr>
      <w:r>
        <w:rPr>
          <w:szCs w:val="24"/>
        </w:rPr>
        <w:t>The first General Gazette for 2017 will be published on Wednesday</w:t>
      </w:r>
      <w:r w:rsidR="00471C8A">
        <w:rPr>
          <w:szCs w:val="24"/>
        </w:rPr>
        <w:t> </w:t>
      </w:r>
      <w:r>
        <w:rPr>
          <w:szCs w:val="24"/>
        </w:rPr>
        <w:t>4</w:t>
      </w:r>
      <w:r w:rsidR="00471C8A">
        <w:rPr>
          <w:szCs w:val="24"/>
        </w:rPr>
        <w:t> </w:t>
      </w:r>
      <w:r>
        <w:rPr>
          <w:szCs w:val="24"/>
        </w:rPr>
        <w:t>January.</w:t>
      </w:r>
    </w:p>
    <w:p w:rsidR="000E1ABF" w:rsidRDefault="000E1ABF" w:rsidP="00C14668">
      <w:pPr>
        <w:spacing w:before="120" w:after="120"/>
        <w:jc w:val="both"/>
        <w:rPr>
          <w:szCs w:val="24"/>
        </w:rPr>
      </w:pPr>
      <w:r>
        <w:rPr>
          <w:szCs w:val="24"/>
        </w:rPr>
        <w:t>Urgent publication of a Gazette notice required between Thursday</w:t>
      </w:r>
      <w:r w:rsidR="00471C8A">
        <w:rPr>
          <w:szCs w:val="24"/>
        </w:rPr>
        <w:t> </w:t>
      </w:r>
      <w:r>
        <w:rPr>
          <w:szCs w:val="24"/>
        </w:rPr>
        <w:t>22</w:t>
      </w:r>
      <w:r w:rsidR="00471C8A">
        <w:rPr>
          <w:szCs w:val="24"/>
        </w:rPr>
        <w:t> </w:t>
      </w:r>
      <w:r>
        <w:rPr>
          <w:szCs w:val="24"/>
        </w:rPr>
        <w:t>December 2016 and Tuesday 3 January 2017 can be arranged by following the usual procedures.</w:t>
      </w:r>
    </w:p>
    <w:p w:rsidR="000E1ABF" w:rsidRPr="009D4BFD" w:rsidRDefault="00471C8A" w:rsidP="00C14668">
      <w:pPr>
        <w:spacing w:before="120" w:after="120"/>
        <w:jc w:val="both"/>
        <w:rPr>
          <w:szCs w:val="24"/>
        </w:rPr>
      </w:pPr>
      <w:r w:rsidRPr="00471C8A">
        <w:rPr>
          <w:b/>
          <w:szCs w:val="24"/>
        </w:rPr>
        <w:t>Please note General and Special Gazettes will not be published on Public Holidays</w:t>
      </w:r>
      <w:r>
        <w:rPr>
          <w:szCs w:val="24"/>
        </w:rPr>
        <w:t>.</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C84A05" w:rsidRPr="00332032" w:rsidRDefault="00C84A05" w:rsidP="00A16ED4">
      <w:pPr>
        <w:widowControl w:val="0"/>
        <w:tabs>
          <w:tab w:val="left" w:pos="8640"/>
        </w:tabs>
        <w:spacing w:line="360" w:lineRule="auto"/>
        <w:jc w:val="center"/>
        <w:rPr>
          <w:spacing w:val="-3"/>
        </w:rPr>
      </w:pPr>
      <w:r w:rsidRPr="00332032">
        <w:rPr>
          <w:spacing w:val="-3"/>
        </w:rPr>
        <w:lastRenderedPageBreak/>
        <w:t>Northern Territory of Australia</w:t>
      </w:r>
    </w:p>
    <w:p w:rsidR="00C84A05" w:rsidRPr="00332032" w:rsidRDefault="00C84A05" w:rsidP="00C84A05">
      <w:pPr>
        <w:spacing w:line="360" w:lineRule="auto"/>
        <w:jc w:val="center"/>
        <w:outlineLvl w:val="0"/>
        <w:rPr>
          <w:rFonts w:cs="Helvetica"/>
          <w:i/>
        </w:rPr>
      </w:pPr>
      <w:r>
        <w:rPr>
          <w:rFonts w:cs="Helvetica"/>
          <w:i/>
        </w:rPr>
        <w:t>Education Act</w:t>
      </w:r>
    </w:p>
    <w:p w:rsidR="00C84A05" w:rsidRPr="00332032" w:rsidRDefault="00C84A05" w:rsidP="00C84A05">
      <w:pPr>
        <w:spacing w:line="360" w:lineRule="auto"/>
        <w:jc w:val="center"/>
        <w:rPr>
          <w:b/>
          <w:spacing w:val="-3"/>
        </w:rPr>
      </w:pPr>
      <w:r>
        <w:rPr>
          <w:b/>
          <w:spacing w:val="-3"/>
        </w:rPr>
        <w:t>Change of Name of Government School</w:t>
      </w:r>
    </w:p>
    <w:p w:rsidR="00C84A05" w:rsidRPr="00332032" w:rsidRDefault="00C84A05" w:rsidP="00C84A05">
      <w:pPr>
        <w:spacing w:line="360" w:lineRule="auto"/>
        <w:jc w:val="both"/>
      </w:pPr>
      <w:r w:rsidRPr="00332032">
        <w:t xml:space="preserve">I, </w:t>
      </w:r>
      <w:r w:rsidRPr="00C976AA">
        <w:t>Eva Dina Lawler</w:t>
      </w:r>
      <w:r w:rsidRPr="00332032">
        <w:t xml:space="preserve">, </w:t>
      </w:r>
      <w:r w:rsidRPr="00C976AA">
        <w:t>Minister for Education</w:t>
      </w:r>
      <w:r>
        <w:t>, under section 15(5)(c)</w:t>
      </w:r>
      <w:r w:rsidRPr="00332032">
        <w:t xml:space="preserve"> of the </w:t>
      </w:r>
      <w:r w:rsidRPr="009616D1">
        <w:rPr>
          <w:i/>
        </w:rPr>
        <w:t>Education Act</w:t>
      </w:r>
      <w:r>
        <w:t>, change the name of the Government school known as "Palmerston Special School" to "Forrest Parade School".</w:t>
      </w:r>
    </w:p>
    <w:p w:rsidR="00C84A05" w:rsidRPr="00332032" w:rsidRDefault="00C84A05" w:rsidP="00C84A05">
      <w:pPr>
        <w:spacing w:line="360" w:lineRule="auto"/>
      </w:pPr>
      <w:r w:rsidRPr="00332032">
        <w:t>Dated</w:t>
      </w:r>
      <w:r>
        <w:t xml:space="preserve"> 25 October 2016</w:t>
      </w:r>
    </w:p>
    <w:p w:rsidR="00C84A05" w:rsidRPr="00332032" w:rsidRDefault="00657CF4" w:rsidP="00657CF4">
      <w:pPr>
        <w:tabs>
          <w:tab w:val="left" w:pos="8640"/>
        </w:tabs>
        <w:spacing w:before="240"/>
        <w:jc w:val="right"/>
        <w:rPr>
          <w:spacing w:val="-3"/>
        </w:rPr>
      </w:pPr>
      <w:r>
        <w:rPr>
          <w:spacing w:val="-3"/>
        </w:rPr>
        <w:t>E. D. Lawler</w:t>
      </w:r>
    </w:p>
    <w:p w:rsidR="00C84A05" w:rsidRPr="00332032" w:rsidRDefault="00C84A05" w:rsidP="00C84A05">
      <w:pPr>
        <w:tabs>
          <w:tab w:val="left" w:pos="8640"/>
        </w:tabs>
        <w:spacing w:line="360" w:lineRule="auto"/>
        <w:jc w:val="right"/>
        <w:rPr>
          <w:spacing w:val="-3"/>
        </w:rPr>
      </w:pPr>
      <w:r w:rsidRPr="00C976AA">
        <w:rPr>
          <w:spacing w:val="-3"/>
        </w:rPr>
        <w:t>Minister for Education</w:t>
      </w:r>
    </w:p>
    <w:p w:rsidR="00657CF4" w:rsidRPr="00657CF4" w:rsidRDefault="00657CF4" w:rsidP="00A36A1A">
      <w:pPr>
        <w:pStyle w:val="LSBodyText"/>
        <w:spacing w:before="2040"/>
        <w:rPr>
          <w:rFonts w:ascii="Helvetica" w:hAnsi="Helvetica" w:cs="Helvetica"/>
          <w:b/>
          <w:i/>
          <w:color w:val="2B5C74"/>
          <w:sz w:val="24"/>
          <w:szCs w:val="24"/>
        </w:rPr>
      </w:pPr>
      <w:r w:rsidRPr="00657CF4">
        <w:rPr>
          <w:rFonts w:ascii="Helvetica" w:hAnsi="Helvetica" w:cs="Helvetica"/>
          <w:b/>
          <w:i/>
          <w:color w:val="2B5C74"/>
          <w:sz w:val="24"/>
          <w:szCs w:val="24"/>
        </w:rPr>
        <w:t>Legal Profession Act 2006</w:t>
      </w:r>
    </w:p>
    <w:p w:rsidR="00657CF4" w:rsidRPr="00657CF4" w:rsidRDefault="00657CF4" w:rsidP="00667BF4">
      <w:pPr>
        <w:numPr>
          <w:ilvl w:val="0"/>
          <w:numId w:val="10"/>
        </w:numPr>
        <w:spacing w:after="120"/>
        <w:ind w:left="567" w:hanging="567"/>
        <w:jc w:val="both"/>
        <w:rPr>
          <w:rFonts w:cs="Helvetica"/>
          <w:szCs w:val="24"/>
        </w:rPr>
      </w:pPr>
      <w:r w:rsidRPr="00657CF4">
        <w:rPr>
          <w:rFonts w:cs="Helvetica"/>
          <w:szCs w:val="24"/>
        </w:rPr>
        <w:t xml:space="preserve">The Law Society Northern Territory pursuant to section 375(2) of the </w:t>
      </w:r>
      <w:r w:rsidRPr="00657CF4">
        <w:rPr>
          <w:rFonts w:cs="Helvetica"/>
          <w:i/>
          <w:szCs w:val="24"/>
        </w:rPr>
        <w:t>Legal</w:t>
      </w:r>
      <w:r w:rsidR="00667BF4">
        <w:rPr>
          <w:rFonts w:cs="Helvetica"/>
          <w:i/>
          <w:szCs w:val="24"/>
        </w:rPr>
        <w:t> </w:t>
      </w:r>
      <w:r w:rsidRPr="00657CF4">
        <w:rPr>
          <w:rFonts w:cs="Helvetica"/>
          <w:i/>
          <w:szCs w:val="24"/>
        </w:rPr>
        <w:t>Profession</w:t>
      </w:r>
      <w:r w:rsidR="00667BF4">
        <w:rPr>
          <w:rFonts w:cs="Helvetica"/>
          <w:i/>
          <w:szCs w:val="24"/>
        </w:rPr>
        <w:t> </w:t>
      </w:r>
      <w:r w:rsidRPr="00657CF4">
        <w:rPr>
          <w:rFonts w:cs="Helvetica"/>
          <w:i/>
          <w:szCs w:val="24"/>
        </w:rPr>
        <w:t xml:space="preserve">Act </w:t>
      </w:r>
      <w:r w:rsidRPr="00657CF4">
        <w:rPr>
          <w:rFonts w:cs="Helvetica"/>
          <w:szCs w:val="24"/>
        </w:rPr>
        <w:t>2006 (the Act) exempts Hieu Nguyen from compliance with the section 376 of the Act and Regulations.</w:t>
      </w:r>
    </w:p>
    <w:p w:rsidR="00657CF4" w:rsidRPr="00657CF4" w:rsidRDefault="00657CF4" w:rsidP="00667BF4">
      <w:pPr>
        <w:numPr>
          <w:ilvl w:val="0"/>
          <w:numId w:val="10"/>
        </w:numPr>
        <w:spacing w:after="120"/>
        <w:ind w:left="567" w:hanging="567"/>
        <w:jc w:val="both"/>
        <w:rPr>
          <w:rFonts w:cs="Helvetica"/>
          <w:szCs w:val="24"/>
        </w:rPr>
      </w:pPr>
      <w:r w:rsidRPr="00657CF4">
        <w:rPr>
          <w:rFonts w:cs="Helvetica"/>
          <w:szCs w:val="24"/>
        </w:rPr>
        <w:t xml:space="preserve">Pursuant to section 375(2) of the Act, the period of exemption shall be from </w:t>
      </w:r>
      <w:r w:rsidRPr="00657CF4">
        <w:rPr>
          <w:rFonts w:cs="Helvetica"/>
          <w:b/>
          <w:szCs w:val="24"/>
        </w:rPr>
        <w:t>4.00pm on 26 October 2016 to 4.00pm on 30 June 2017</w:t>
      </w:r>
      <w:r w:rsidRPr="00657CF4">
        <w:rPr>
          <w:rFonts w:cs="Helvetica"/>
          <w:szCs w:val="24"/>
        </w:rPr>
        <w:t>, unless the instrument is earlier terminated by the Law Society Northern Territory.</w:t>
      </w:r>
    </w:p>
    <w:p w:rsidR="00657CF4" w:rsidRPr="00657CF4" w:rsidRDefault="00657CF4" w:rsidP="00667BF4">
      <w:pPr>
        <w:numPr>
          <w:ilvl w:val="0"/>
          <w:numId w:val="10"/>
        </w:numPr>
        <w:spacing w:after="120"/>
        <w:ind w:left="567" w:hanging="567"/>
        <w:jc w:val="both"/>
        <w:rPr>
          <w:rFonts w:cs="Helvetica"/>
          <w:szCs w:val="24"/>
        </w:rPr>
      </w:pPr>
      <w:r w:rsidRPr="00657CF4">
        <w:rPr>
          <w:rFonts w:cs="Helvetica"/>
          <w:szCs w:val="24"/>
        </w:rPr>
        <w:t>This exemption is subject to the following conditions:</w:t>
      </w:r>
    </w:p>
    <w:p w:rsidR="00657CF4" w:rsidRPr="00657CF4" w:rsidRDefault="00657CF4" w:rsidP="00667BF4">
      <w:pPr>
        <w:numPr>
          <w:ilvl w:val="0"/>
          <w:numId w:val="11"/>
        </w:numPr>
        <w:tabs>
          <w:tab w:val="left" w:pos="1418"/>
        </w:tabs>
        <w:spacing w:after="120"/>
        <w:ind w:left="1418" w:hanging="567"/>
        <w:jc w:val="both"/>
        <w:rPr>
          <w:rFonts w:cs="Helvetica"/>
          <w:szCs w:val="24"/>
        </w:rPr>
      </w:pPr>
      <w:r w:rsidRPr="00657CF4">
        <w:rPr>
          <w:rFonts w:cs="Helvetica"/>
          <w:szCs w:val="24"/>
        </w:rPr>
        <w:t>This exemption is limited to the activities of Hieu Nguyen whilst acting within his role as an employee of Territory Generation.</w:t>
      </w:r>
    </w:p>
    <w:p w:rsidR="00657CF4" w:rsidRPr="00657CF4" w:rsidRDefault="00657CF4" w:rsidP="00667BF4">
      <w:pPr>
        <w:pStyle w:val="LSBodyText"/>
        <w:jc w:val="both"/>
        <w:rPr>
          <w:rFonts w:ascii="Helvetica" w:hAnsi="Helvetica" w:cs="Helvetica"/>
          <w:sz w:val="24"/>
          <w:szCs w:val="24"/>
        </w:rPr>
      </w:pPr>
      <w:r w:rsidRPr="00657CF4">
        <w:rPr>
          <w:rFonts w:ascii="Helvetica" w:hAnsi="Helvetica" w:cs="Helvetica"/>
          <w:sz w:val="24"/>
          <w:szCs w:val="24"/>
        </w:rPr>
        <w:t>Dated this 28</w:t>
      </w:r>
      <w:r w:rsidRPr="00657CF4">
        <w:rPr>
          <w:rFonts w:ascii="Helvetica" w:hAnsi="Helvetica" w:cs="Helvetica"/>
          <w:sz w:val="24"/>
          <w:szCs w:val="24"/>
          <w:vertAlign w:val="superscript"/>
        </w:rPr>
        <w:t>th</w:t>
      </w:r>
      <w:r w:rsidRPr="00657CF4">
        <w:rPr>
          <w:rFonts w:ascii="Helvetica" w:hAnsi="Helvetica" w:cs="Helvetica"/>
          <w:sz w:val="24"/>
          <w:szCs w:val="24"/>
        </w:rPr>
        <w:t xml:space="preserve"> day of October 2016</w:t>
      </w:r>
    </w:p>
    <w:p w:rsidR="00657CF4" w:rsidRPr="00657CF4" w:rsidRDefault="00667BF4" w:rsidP="00667BF4">
      <w:pPr>
        <w:pStyle w:val="LSBodyText"/>
        <w:jc w:val="both"/>
        <w:rPr>
          <w:rFonts w:ascii="Helvetica" w:hAnsi="Helvetica" w:cs="Helvetica"/>
          <w:sz w:val="24"/>
          <w:szCs w:val="24"/>
        </w:rPr>
      </w:pPr>
      <w:r>
        <w:rPr>
          <w:rFonts w:ascii="Helvetica" w:hAnsi="Helvetica" w:cs="Helvetica"/>
          <w:sz w:val="24"/>
          <w:szCs w:val="24"/>
        </w:rPr>
        <w:t>Ms Kellie Anne Grainger</w:t>
      </w:r>
    </w:p>
    <w:p w:rsidR="00657CF4" w:rsidRPr="00657CF4" w:rsidRDefault="00657CF4" w:rsidP="00667BF4">
      <w:pPr>
        <w:pStyle w:val="LSBodyText"/>
        <w:jc w:val="both"/>
        <w:rPr>
          <w:rFonts w:ascii="Helvetica" w:hAnsi="Helvetica" w:cs="Helvetica"/>
          <w:sz w:val="24"/>
          <w:szCs w:val="24"/>
        </w:rPr>
      </w:pPr>
      <w:r w:rsidRPr="00657CF4">
        <w:rPr>
          <w:rFonts w:ascii="Helvetica" w:hAnsi="Helvetica" w:cs="Helvetica"/>
          <w:sz w:val="24"/>
          <w:szCs w:val="24"/>
        </w:rPr>
        <w:t>Executed by the Acting CEO</w:t>
      </w:r>
    </w:p>
    <w:p w:rsidR="00657CF4" w:rsidRPr="00657CF4" w:rsidRDefault="00657CF4" w:rsidP="00667BF4">
      <w:pPr>
        <w:pStyle w:val="LSBodyText"/>
        <w:jc w:val="both"/>
        <w:rPr>
          <w:rFonts w:ascii="Helvetica" w:hAnsi="Helvetica" w:cs="Helvetica"/>
          <w:sz w:val="24"/>
          <w:szCs w:val="24"/>
        </w:rPr>
      </w:pPr>
      <w:r w:rsidRPr="00657CF4">
        <w:rPr>
          <w:rFonts w:ascii="Helvetica" w:hAnsi="Helvetica" w:cs="Helvetica"/>
          <w:sz w:val="24"/>
          <w:szCs w:val="24"/>
        </w:rPr>
        <w:t>Pursuant to a delegation from the Law Society Northern Territory under section 647 of the Act</w:t>
      </w:r>
    </w:p>
    <w:p w:rsidR="007D787D" w:rsidRPr="006C309D" w:rsidRDefault="006C309D" w:rsidP="006C309D">
      <w:pPr>
        <w:pageBreakBefore/>
        <w:widowControl w:val="0"/>
        <w:spacing w:line="360" w:lineRule="auto"/>
        <w:jc w:val="center"/>
        <w:rPr>
          <w:rFonts w:cs="Helvetica"/>
          <w:b/>
          <w:szCs w:val="24"/>
        </w:rPr>
      </w:pPr>
      <w:r w:rsidRPr="006C309D">
        <w:rPr>
          <w:rFonts w:cs="Helvetica"/>
          <w:b/>
          <w:szCs w:val="24"/>
        </w:rPr>
        <w:lastRenderedPageBreak/>
        <w:t>Northern Territory of Australia</w:t>
      </w:r>
    </w:p>
    <w:p w:rsidR="007D787D" w:rsidRPr="006C309D" w:rsidRDefault="006C309D" w:rsidP="006C309D">
      <w:pPr>
        <w:pStyle w:val="Heading1"/>
        <w:spacing w:before="0" w:line="360" w:lineRule="auto"/>
        <w:jc w:val="center"/>
        <w:rPr>
          <w:rFonts w:cs="Helvetica"/>
          <w:b w:val="0"/>
          <w:i/>
          <w:sz w:val="24"/>
          <w:szCs w:val="24"/>
        </w:rPr>
      </w:pPr>
      <w:r w:rsidRPr="006C309D">
        <w:rPr>
          <w:rFonts w:cs="Helvetica"/>
          <w:b w:val="0"/>
          <w:i/>
          <w:sz w:val="24"/>
          <w:szCs w:val="24"/>
        </w:rPr>
        <w:t>Geothermal Energy Act</w:t>
      </w:r>
    </w:p>
    <w:p w:rsidR="007D787D" w:rsidRPr="006C309D" w:rsidRDefault="006C309D" w:rsidP="006C309D">
      <w:pPr>
        <w:pStyle w:val="Header"/>
        <w:spacing w:after="0" w:line="360" w:lineRule="auto"/>
        <w:jc w:val="center"/>
        <w:rPr>
          <w:rFonts w:cs="Helvetica"/>
          <w:b/>
          <w:color w:val="auto"/>
          <w:sz w:val="24"/>
          <w:szCs w:val="24"/>
        </w:rPr>
      </w:pPr>
      <w:r w:rsidRPr="006C309D">
        <w:rPr>
          <w:rFonts w:cs="Helvetica"/>
          <w:b/>
          <w:color w:val="auto"/>
          <w:sz w:val="24"/>
          <w:szCs w:val="24"/>
        </w:rPr>
        <w:t>Reservation of Blocks – GRO 6</w:t>
      </w:r>
    </w:p>
    <w:p w:rsidR="007D787D" w:rsidRPr="006C309D" w:rsidRDefault="007D787D" w:rsidP="007D787D">
      <w:pPr>
        <w:pStyle w:val="Header"/>
        <w:jc w:val="both"/>
        <w:rPr>
          <w:rFonts w:cs="Helvetica"/>
          <w:color w:val="auto"/>
          <w:sz w:val="24"/>
          <w:szCs w:val="24"/>
        </w:rPr>
      </w:pPr>
      <w:r w:rsidRPr="006C309D">
        <w:rPr>
          <w:rFonts w:cs="Helvetica"/>
          <w:color w:val="auto"/>
          <w:sz w:val="24"/>
          <w:szCs w:val="24"/>
        </w:rPr>
        <w:t xml:space="preserve">I, </w:t>
      </w:r>
      <w:r w:rsidR="006C309D" w:rsidRPr="006C309D">
        <w:rPr>
          <w:rFonts w:cs="Helvetica"/>
          <w:color w:val="auto"/>
          <w:sz w:val="24"/>
          <w:szCs w:val="24"/>
        </w:rPr>
        <w:t>Debby Anne James</w:t>
      </w:r>
      <w:r w:rsidRPr="006C309D">
        <w:rPr>
          <w:rFonts w:cs="Helvetica"/>
          <w:color w:val="auto"/>
          <w:sz w:val="24"/>
          <w:szCs w:val="24"/>
        </w:rPr>
        <w:t xml:space="preserve">, the Director Petroleum Tenure, as the delegate of the Minister for Primary Industry and Resources, in pursuance of section 6(1) of the </w:t>
      </w:r>
      <w:r w:rsidRPr="006C309D">
        <w:rPr>
          <w:rFonts w:cs="Helvetica"/>
          <w:i/>
          <w:color w:val="auto"/>
          <w:sz w:val="24"/>
          <w:szCs w:val="24"/>
        </w:rPr>
        <w:t>Geothermal Energy Act</w:t>
      </w:r>
      <w:r w:rsidRPr="006C309D">
        <w:rPr>
          <w:rFonts w:cs="Helvetica"/>
          <w:color w:val="auto"/>
          <w:sz w:val="24"/>
          <w:szCs w:val="24"/>
        </w:rPr>
        <w:t>, reserve each block within the area, shown bounded by a black line on the plan in the Schedule, from exploration for, or the extraction or production of, geothermal energy resources or geothermal energy.</w:t>
      </w:r>
    </w:p>
    <w:p w:rsidR="007D787D" w:rsidRPr="006C309D" w:rsidRDefault="00945271" w:rsidP="00862510">
      <w:pPr>
        <w:tabs>
          <w:tab w:val="right" w:pos="3420"/>
        </w:tabs>
        <w:spacing w:before="240" w:after="240"/>
        <w:rPr>
          <w:rFonts w:cs="Helvetica"/>
          <w:szCs w:val="24"/>
        </w:rPr>
      </w:pPr>
      <w:r>
        <w:rPr>
          <w:rFonts w:cs="Helvetica"/>
          <w:szCs w:val="24"/>
        </w:rPr>
        <w:t>Dated 1</w:t>
      </w:r>
      <w:r w:rsidR="007D787D" w:rsidRPr="006C309D">
        <w:rPr>
          <w:rFonts w:cs="Helvetica"/>
          <w:szCs w:val="24"/>
        </w:rPr>
        <w:t xml:space="preserve"> November 2016</w:t>
      </w:r>
    </w:p>
    <w:p w:rsidR="007D787D" w:rsidRPr="006C309D" w:rsidRDefault="007D787D" w:rsidP="007D787D">
      <w:pPr>
        <w:tabs>
          <w:tab w:val="right" w:pos="3420"/>
        </w:tabs>
        <w:ind w:right="-16"/>
        <w:jc w:val="right"/>
        <w:rPr>
          <w:rFonts w:cs="Helvetica"/>
          <w:szCs w:val="24"/>
        </w:rPr>
      </w:pPr>
      <w:r w:rsidRPr="006C309D">
        <w:rPr>
          <w:rFonts w:cs="Helvetica"/>
          <w:szCs w:val="24"/>
        </w:rPr>
        <w:t>D</w:t>
      </w:r>
      <w:r w:rsidR="00862510">
        <w:rPr>
          <w:rFonts w:cs="Helvetica"/>
          <w:szCs w:val="24"/>
        </w:rPr>
        <w:t>.</w:t>
      </w:r>
      <w:r w:rsidRPr="006C309D">
        <w:rPr>
          <w:rFonts w:cs="Helvetica"/>
          <w:szCs w:val="24"/>
        </w:rPr>
        <w:t xml:space="preserve"> A</w:t>
      </w:r>
      <w:r w:rsidR="00862510">
        <w:rPr>
          <w:rFonts w:cs="Helvetica"/>
          <w:szCs w:val="24"/>
        </w:rPr>
        <w:t>.</w:t>
      </w:r>
      <w:r w:rsidRPr="006C309D">
        <w:rPr>
          <w:rFonts w:cs="Helvetica"/>
          <w:szCs w:val="24"/>
        </w:rPr>
        <w:t xml:space="preserve"> J</w:t>
      </w:r>
      <w:r w:rsidR="00862510" w:rsidRPr="006C309D">
        <w:rPr>
          <w:rFonts w:cs="Helvetica"/>
          <w:szCs w:val="24"/>
        </w:rPr>
        <w:t>ames</w:t>
      </w:r>
    </w:p>
    <w:p w:rsidR="007D787D" w:rsidRPr="006C309D" w:rsidRDefault="007D787D" w:rsidP="00A36A1A">
      <w:pPr>
        <w:spacing w:after="240"/>
        <w:ind w:right="-17"/>
        <w:jc w:val="right"/>
        <w:rPr>
          <w:rFonts w:cs="Helvetica"/>
          <w:szCs w:val="24"/>
        </w:rPr>
      </w:pPr>
      <w:r w:rsidRPr="006C309D">
        <w:rPr>
          <w:rFonts w:cs="Helvetica"/>
          <w:szCs w:val="24"/>
        </w:rPr>
        <w:t>Director Petroleum Tenure</w:t>
      </w:r>
    </w:p>
    <w:p w:rsidR="007D787D" w:rsidRDefault="007D787D" w:rsidP="007D787D">
      <w:pPr>
        <w:jc w:val="center"/>
        <w:rPr>
          <w:rFonts w:ascii="Arial Narrow" w:hAnsi="Arial Narrow" w:cs="Helvetica"/>
          <w:sz w:val="22"/>
        </w:rPr>
      </w:pPr>
      <w:r>
        <w:rPr>
          <w:rFonts w:ascii="Arial Narrow" w:hAnsi="Arial Narrow" w:cs="Helvetica"/>
          <w:noProof/>
          <w:sz w:val="22"/>
          <w:lang w:val="en-AU" w:eastAsia="en-AU"/>
        </w:rPr>
        <w:drawing>
          <wp:inline distT="0" distB="0" distL="0" distR="0">
            <wp:extent cx="3868420" cy="5612765"/>
            <wp:effectExtent l="0" t="0" r="0" b="6985"/>
            <wp:docPr id="2" name="Picture 2" descr="GRO 6" title="Schedule Locality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6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8420" cy="5612765"/>
                    </a:xfrm>
                    <a:prstGeom prst="rect">
                      <a:avLst/>
                    </a:prstGeom>
                    <a:noFill/>
                    <a:ln>
                      <a:noFill/>
                    </a:ln>
                  </pic:spPr>
                </pic:pic>
              </a:graphicData>
            </a:graphic>
          </wp:inline>
        </w:drawing>
      </w:r>
    </w:p>
    <w:p w:rsidR="007D787D" w:rsidRPr="00187CA0" w:rsidRDefault="00187CA0" w:rsidP="00187CA0">
      <w:pPr>
        <w:pageBreakBefore/>
        <w:widowControl w:val="0"/>
        <w:spacing w:line="360" w:lineRule="auto"/>
        <w:jc w:val="center"/>
        <w:rPr>
          <w:rFonts w:cs="Helvetica"/>
          <w:b/>
          <w:szCs w:val="24"/>
        </w:rPr>
      </w:pPr>
      <w:r w:rsidRPr="00187CA0">
        <w:rPr>
          <w:rFonts w:cs="Helvetica"/>
          <w:b/>
          <w:szCs w:val="24"/>
        </w:rPr>
        <w:lastRenderedPageBreak/>
        <w:t>Northern Territory of Australia</w:t>
      </w:r>
    </w:p>
    <w:p w:rsidR="007D787D" w:rsidRPr="00187CA0" w:rsidRDefault="00187CA0" w:rsidP="00187CA0">
      <w:pPr>
        <w:pStyle w:val="Heading1"/>
        <w:spacing w:before="0" w:line="360" w:lineRule="auto"/>
        <w:jc w:val="center"/>
        <w:rPr>
          <w:rFonts w:cs="Helvetica"/>
          <w:b w:val="0"/>
          <w:i/>
          <w:sz w:val="24"/>
          <w:szCs w:val="24"/>
        </w:rPr>
      </w:pPr>
      <w:r w:rsidRPr="00187CA0">
        <w:rPr>
          <w:rFonts w:cs="Helvetica"/>
          <w:b w:val="0"/>
          <w:i/>
          <w:sz w:val="24"/>
          <w:szCs w:val="24"/>
        </w:rPr>
        <w:t>Petroleum Act</w:t>
      </w:r>
    </w:p>
    <w:p w:rsidR="007D787D" w:rsidRPr="00187CA0" w:rsidRDefault="00187CA0" w:rsidP="00187CA0">
      <w:pPr>
        <w:pStyle w:val="Header"/>
        <w:spacing w:after="0" w:line="360" w:lineRule="auto"/>
        <w:jc w:val="center"/>
        <w:rPr>
          <w:rFonts w:cs="Helvetica"/>
          <w:b/>
          <w:color w:val="auto"/>
          <w:sz w:val="24"/>
          <w:szCs w:val="24"/>
        </w:rPr>
      </w:pPr>
      <w:r w:rsidRPr="00187CA0">
        <w:rPr>
          <w:rFonts w:cs="Helvetica"/>
          <w:b/>
          <w:color w:val="auto"/>
          <w:sz w:val="24"/>
          <w:szCs w:val="24"/>
        </w:rPr>
        <w:t>Reservation of Blocks – RB 67</w:t>
      </w:r>
    </w:p>
    <w:p w:rsidR="007D787D" w:rsidRPr="00187CA0" w:rsidRDefault="007D787D" w:rsidP="007D787D">
      <w:pPr>
        <w:pStyle w:val="Header"/>
        <w:jc w:val="both"/>
        <w:rPr>
          <w:rFonts w:cs="Helvetica"/>
          <w:color w:val="auto"/>
          <w:sz w:val="24"/>
          <w:szCs w:val="24"/>
        </w:rPr>
      </w:pPr>
      <w:r w:rsidRPr="00187CA0">
        <w:rPr>
          <w:rFonts w:cs="Helvetica"/>
          <w:color w:val="auto"/>
          <w:sz w:val="24"/>
          <w:szCs w:val="24"/>
        </w:rPr>
        <w:t xml:space="preserve">I, </w:t>
      </w:r>
      <w:r w:rsidR="00187CA0" w:rsidRPr="00187CA0">
        <w:rPr>
          <w:rFonts w:cs="Helvetica"/>
          <w:color w:val="auto"/>
          <w:sz w:val="24"/>
          <w:szCs w:val="24"/>
        </w:rPr>
        <w:t>Debby Anne James</w:t>
      </w:r>
      <w:r w:rsidRPr="00187CA0">
        <w:rPr>
          <w:rFonts w:cs="Helvetica"/>
          <w:color w:val="auto"/>
          <w:sz w:val="24"/>
          <w:szCs w:val="24"/>
        </w:rPr>
        <w:t xml:space="preserve">, the Director Petroleum Tenure, as the delegate of the Minister for Primary Industry and Resources, in pursuance of section 9(1) of the </w:t>
      </w:r>
      <w:r w:rsidRPr="00187CA0">
        <w:rPr>
          <w:rFonts w:cs="Helvetica"/>
          <w:i/>
          <w:color w:val="auto"/>
          <w:sz w:val="24"/>
          <w:szCs w:val="24"/>
        </w:rPr>
        <w:t>Petroleum Act</w:t>
      </w:r>
      <w:r w:rsidRPr="00187CA0">
        <w:rPr>
          <w:rFonts w:cs="Helvetica"/>
          <w:color w:val="auto"/>
          <w:sz w:val="24"/>
          <w:szCs w:val="24"/>
        </w:rPr>
        <w:t>, declare that the blocks within the area, shown on the plan in the Schedule are not to be the subject of a grant of an exploration permit or licence.</w:t>
      </w:r>
    </w:p>
    <w:p w:rsidR="007D787D" w:rsidRPr="00187CA0" w:rsidRDefault="00945271" w:rsidP="00653D65">
      <w:pPr>
        <w:pStyle w:val="Header"/>
        <w:spacing w:before="240" w:after="240"/>
        <w:jc w:val="left"/>
        <w:rPr>
          <w:rFonts w:cs="Helvetica"/>
          <w:color w:val="auto"/>
          <w:sz w:val="24"/>
          <w:szCs w:val="24"/>
        </w:rPr>
      </w:pPr>
      <w:r>
        <w:rPr>
          <w:rFonts w:cs="Helvetica"/>
          <w:color w:val="auto"/>
          <w:sz w:val="24"/>
          <w:szCs w:val="24"/>
        </w:rPr>
        <w:t>Dated 1</w:t>
      </w:r>
      <w:r w:rsidR="007D787D" w:rsidRPr="00187CA0">
        <w:rPr>
          <w:rFonts w:cs="Helvetica"/>
          <w:color w:val="auto"/>
          <w:sz w:val="24"/>
          <w:szCs w:val="24"/>
        </w:rPr>
        <w:t xml:space="preserve"> November 2016</w:t>
      </w:r>
    </w:p>
    <w:p w:rsidR="007D787D" w:rsidRPr="00653D65" w:rsidRDefault="00653D65" w:rsidP="00653D65">
      <w:pPr>
        <w:pStyle w:val="Header"/>
        <w:tabs>
          <w:tab w:val="left" w:pos="8460"/>
        </w:tabs>
        <w:spacing w:before="240" w:after="0"/>
        <w:ind w:right="295"/>
        <w:rPr>
          <w:rFonts w:cs="Helvetica"/>
          <w:color w:val="auto"/>
          <w:sz w:val="24"/>
          <w:szCs w:val="24"/>
        </w:rPr>
      </w:pPr>
      <w:r w:rsidRPr="00653D65">
        <w:rPr>
          <w:rFonts w:cs="Helvetica"/>
          <w:color w:val="auto"/>
          <w:sz w:val="24"/>
          <w:szCs w:val="24"/>
        </w:rPr>
        <w:t>D</w:t>
      </w:r>
      <w:r>
        <w:rPr>
          <w:rFonts w:cs="Helvetica"/>
          <w:color w:val="auto"/>
          <w:sz w:val="24"/>
          <w:szCs w:val="24"/>
        </w:rPr>
        <w:t>.</w:t>
      </w:r>
      <w:r w:rsidRPr="00653D65">
        <w:rPr>
          <w:rFonts w:cs="Helvetica"/>
          <w:color w:val="auto"/>
          <w:sz w:val="24"/>
          <w:szCs w:val="24"/>
        </w:rPr>
        <w:t xml:space="preserve"> A</w:t>
      </w:r>
      <w:r>
        <w:rPr>
          <w:rFonts w:cs="Helvetica"/>
          <w:color w:val="auto"/>
          <w:sz w:val="24"/>
          <w:szCs w:val="24"/>
        </w:rPr>
        <w:t>.</w:t>
      </w:r>
      <w:r w:rsidRPr="00653D65">
        <w:rPr>
          <w:rFonts w:cs="Helvetica"/>
          <w:color w:val="auto"/>
          <w:sz w:val="24"/>
          <w:szCs w:val="24"/>
        </w:rPr>
        <w:t xml:space="preserve"> James</w:t>
      </w:r>
    </w:p>
    <w:p w:rsidR="007D787D" w:rsidRPr="00653D65" w:rsidRDefault="00653D65" w:rsidP="007D787D">
      <w:pPr>
        <w:pStyle w:val="Header"/>
        <w:tabs>
          <w:tab w:val="left" w:pos="8460"/>
        </w:tabs>
        <w:ind w:right="296"/>
        <w:rPr>
          <w:rFonts w:cs="Helvetica"/>
          <w:color w:val="auto"/>
          <w:sz w:val="24"/>
          <w:szCs w:val="24"/>
        </w:rPr>
      </w:pPr>
      <w:r w:rsidRPr="00653D65">
        <w:rPr>
          <w:rFonts w:cs="Helvetica"/>
          <w:color w:val="auto"/>
          <w:sz w:val="24"/>
          <w:szCs w:val="24"/>
        </w:rPr>
        <w:t>Director Petroleum Tenure</w:t>
      </w:r>
    </w:p>
    <w:p w:rsidR="007D787D" w:rsidRPr="005912D6" w:rsidRDefault="007D787D" w:rsidP="007D787D">
      <w:pPr>
        <w:pStyle w:val="Header"/>
        <w:rPr>
          <w:rFonts w:ascii="Arial" w:hAnsi="Arial"/>
          <w:sz w:val="22"/>
        </w:rPr>
      </w:pPr>
    </w:p>
    <w:p w:rsidR="007D787D" w:rsidRPr="00653D65" w:rsidRDefault="00653D65" w:rsidP="00653D65">
      <w:pPr>
        <w:pStyle w:val="Header"/>
        <w:spacing w:after="240"/>
        <w:jc w:val="center"/>
        <w:rPr>
          <w:rFonts w:cs="Helvetica"/>
          <w:b/>
          <w:color w:val="auto"/>
          <w:sz w:val="24"/>
          <w:szCs w:val="24"/>
        </w:rPr>
      </w:pPr>
      <w:r w:rsidRPr="00653D65">
        <w:rPr>
          <w:rFonts w:cs="Helvetica"/>
          <w:b/>
          <w:sz w:val="24"/>
          <w:szCs w:val="24"/>
        </w:rPr>
        <w:t>Schedule</w:t>
      </w:r>
    </w:p>
    <w:p w:rsidR="007D787D" w:rsidRPr="00653D65" w:rsidRDefault="00653D65" w:rsidP="007D787D">
      <w:pPr>
        <w:pStyle w:val="Header"/>
        <w:jc w:val="center"/>
        <w:rPr>
          <w:rFonts w:cs="Helvetica"/>
          <w:b/>
          <w:sz w:val="24"/>
          <w:szCs w:val="24"/>
        </w:rPr>
      </w:pPr>
      <w:r w:rsidRPr="00653D65">
        <w:rPr>
          <w:rFonts w:cs="Helvetica"/>
          <w:b/>
          <w:sz w:val="24"/>
          <w:szCs w:val="24"/>
        </w:rPr>
        <w:t>SD53 Roper River</w:t>
      </w:r>
    </w:p>
    <w:p w:rsidR="007D787D" w:rsidRDefault="007D787D" w:rsidP="007D787D">
      <w:pPr>
        <w:jc w:val="center"/>
        <w:rPr>
          <w:sz w:val="16"/>
          <w:szCs w:val="16"/>
        </w:rPr>
      </w:pPr>
      <w:r>
        <w:rPr>
          <w:noProof/>
          <w:lang w:val="en-AU" w:eastAsia="en-AU"/>
        </w:rPr>
        <w:drawing>
          <wp:inline distT="0" distB="0" distL="0" distR="0" wp14:anchorId="07FE8C36" wp14:editId="4B55B7A7">
            <wp:extent cx="4799436" cy="4086006"/>
            <wp:effectExtent l="0" t="0" r="1270" b="0"/>
            <wp:docPr id="3" name="Picture 3" descr="SD53 Roper River"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799436" cy="4086006"/>
                    </a:xfrm>
                    <a:prstGeom prst="rect">
                      <a:avLst/>
                    </a:prstGeom>
                  </pic:spPr>
                </pic:pic>
              </a:graphicData>
            </a:graphic>
          </wp:inline>
        </w:drawing>
      </w:r>
    </w:p>
    <w:p w:rsidR="007D787D" w:rsidRPr="009B57E3" w:rsidRDefault="007D787D" w:rsidP="007D787D">
      <w:pPr>
        <w:jc w:val="center"/>
        <w:rPr>
          <w:rFonts w:cs="Helvetica"/>
          <w:b/>
          <w:szCs w:val="24"/>
        </w:rPr>
      </w:pPr>
      <w:r w:rsidRPr="009B57E3">
        <w:rPr>
          <w:rFonts w:cs="Helvetica"/>
          <w:b/>
          <w:szCs w:val="24"/>
        </w:rPr>
        <w:t>RB 67</w:t>
      </w:r>
    </w:p>
    <w:p w:rsidR="007D787D" w:rsidRPr="009B57E3" w:rsidRDefault="007D787D" w:rsidP="009B57E3">
      <w:pPr>
        <w:spacing w:after="240"/>
        <w:jc w:val="center"/>
        <w:rPr>
          <w:rFonts w:cs="Helvetica"/>
          <w:b/>
          <w:szCs w:val="24"/>
        </w:rPr>
      </w:pPr>
      <w:r w:rsidRPr="009B57E3">
        <w:rPr>
          <w:rFonts w:cs="Helvetica"/>
          <w:b/>
          <w:szCs w:val="24"/>
        </w:rPr>
        <w:t xml:space="preserve">2958 </w:t>
      </w:r>
      <w:r w:rsidR="009B57E3" w:rsidRPr="009B57E3">
        <w:rPr>
          <w:rFonts w:cs="Helvetica"/>
          <w:b/>
          <w:szCs w:val="24"/>
        </w:rPr>
        <w:t>Sq.</w:t>
      </w:r>
      <w:r w:rsidRPr="009B57E3">
        <w:rPr>
          <w:rFonts w:cs="Helvetica"/>
          <w:b/>
          <w:szCs w:val="24"/>
        </w:rPr>
        <w:t xml:space="preserve"> Km</w:t>
      </w:r>
    </w:p>
    <w:p w:rsidR="007D787D" w:rsidRPr="009B57E3" w:rsidRDefault="007D787D" w:rsidP="007D787D">
      <w:pPr>
        <w:jc w:val="center"/>
        <w:rPr>
          <w:rFonts w:cs="Helvetica"/>
          <w:i/>
          <w:sz w:val="16"/>
          <w:szCs w:val="16"/>
        </w:rPr>
      </w:pPr>
      <w:r w:rsidRPr="009B57E3">
        <w:rPr>
          <w:rFonts w:cs="Helvetica"/>
          <w:i/>
          <w:sz w:val="16"/>
          <w:szCs w:val="16"/>
        </w:rPr>
        <w:t>Datum: The displayed grid defining the 5’x 5’ blocks is AGD66 and coordinates shown are GDA94</w:t>
      </w:r>
    </w:p>
    <w:p w:rsidR="007D787D" w:rsidRPr="001E5F24" w:rsidRDefault="007D787D" w:rsidP="00BE0B16">
      <w:pPr>
        <w:pStyle w:val="Default"/>
        <w:pageBreakBefore/>
        <w:widowControl w:val="0"/>
        <w:spacing w:line="360" w:lineRule="auto"/>
        <w:jc w:val="center"/>
        <w:rPr>
          <w:rFonts w:ascii="Helvetica" w:hAnsi="Helvetica" w:cs="Helvetica"/>
        </w:rPr>
      </w:pPr>
      <w:r w:rsidRPr="001E5F24">
        <w:rPr>
          <w:rFonts w:ascii="Helvetica" w:hAnsi="Helvetica" w:cs="Helvetica"/>
        </w:rPr>
        <w:lastRenderedPageBreak/>
        <w:t>Northern Territory of Australia</w:t>
      </w:r>
    </w:p>
    <w:p w:rsidR="007D787D" w:rsidRPr="001E5F24" w:rsidRDefault="007D787D" w:rsidP="00BE0B16">
      <w:pPr>
        <w:pStyle w:val="Default"/>
        <w:spacing w:line="360" w:lineRule="auto"/>
        <w:jc w:val="center"/>
        <w:rPr>
          <w:rFonts w:ascii="Helvetica" w:hAnsi="Helvetica" w:cs="Helvetica"/>
        </w:rPr>
      </w:pPr>
      <w:r w:rsidRPr="001E5F24">
        <w:rPr>
          <w:rFonts w:ascii="Helvetica" w:hAnsi="Helvetica" w:cs="Helvetica"/>
          <w:i/>
          <w:iCs/>
        </w:rPr>
        <w:t>Mineral Titles Act</w:t>
      </w:r>
    </w:p>
    <w:p w:rsidR="007D787D" w:rsidRPr="001E5F24" w:rsidRDefault="007D787D" w:rsidP="00BE0B16">
      <w:pPr>
        <w:pStyle w:val="Default"/>
        <w:spacing w:before="120"/>
        <w:jc w:val="center"/>
        <w:rPr>
          <w:rFonts w:ascii="Helvetica" w:hAnsi="Helvetica" w:cs="Helvetica"/>
        </w:rPr>
      </w:pPr>
      <w:r w:rsidRPr="001E5F24">
        <w:rPr>
          <w:rFonts w:ascii="Helvetica" w:hAnsi="Helvetica" w:cs="Helvetica"/>
          <w:b/>
          <w:bCs/>
        </w:rPr>
        <w:t>General Reservation of Land</w:t>
      </w:r>
    </w:p>
    <w:p w:rsidR="007D787D" w:rsidRPr="001E5F24" w:rsidRDefault="007D787D" w:rsidP="00BE0B16">
      <w:pPr>
        <w:pStyle w:val="Default"/>
        <w:jc w:val="center"/>
        <w:rPr>
          <w:rFonts w:ascii="Helvetica" w:hAnsi="Helvetica" w:cs="Helvetica"/>
        </w:rPr>
      </w:pPr>
      <w:r w:rsidRPr="001E5F24">
        <w:rPr>
          <w:rFonts w:ascii="Helvetica" w:hAnsi="Helvetica" w:cs="Helvetica"/>
          <w:b/>
          <w:bCs/>
        </w:rPr>
        <w:t>(RL 31387)</w:t>
      </w:r>
    </w:p>
    <w:p w:rsidR="007D787D" w:rsidRPr="001E5F24" w:rsidRDefault="007D787D" w:rsidP="005559F6">
      <w:pPr>
        <w:pStyle w:val="Default"/>
        <w:spacing w:before="120" w:line="360" w:lineRule="auto"/>
        <w:ind w:right="-52"/>
        <w:jc w:val="both"/>
        <w:rPr>
          <w:rFonts w:ascii="Helvetica" w:hAnsi="Helvetica" w:cs="Helvetica"/>
        </w:rPr>
      </w:pPr>
      <w:r w:rsidRPr="001E5F24">
        <w:rPr>
          <w:rFonts w:ascii="Helvetica" w:hAnsi="Helvetica" w:cs="Helvetica"/>
        </w:rPr>
        <w:t xml:space="preserve">I, Alan Charles Holland, Senior Director Mines/Director Mineral Titles, as the delegate of the Minister for Primary Industry and Resources, under section 113 of the </w:t>
      </w:r>
      <w:r w:rsidRPr="001E5F24">
        <w:rPr>
          <w:rFonts w:ascii="Helvetica" w:hAnsi="Helvetica" w:cs="Helvetica"/>
          <w:i/>
          <w:iCs/>
        </w:rPr>
        <w:t>Mineral Titles Act</w:t>
      </w:r>
      <w:r w:rsidR="00096366">
        <w:rPr>
          <w:rFonts w:ascii="Helvetica" w:hAnsi="Helvetica" w:cs="Helvetica"/>
        </w:rPr>
        <w:t>:</w:t>
      </w:r>
    </w:p>
    <w:p w:rsidR="007D787D" w:rsidRPr="001E5F24" w:rsidRDefault="007D787D" w:rsidP="005559F6">
      <w:pPr>
        <w:pStyle w:val="Default"/>
        <w:spacing w:before="120"/>
        <w:ind w:left="567" w:right="-52" w:hanging="567"/>
        <w:jc w:val="both"/>
        <w:rPr>
          <w:rFonts w:ascii="Helvetica" w:hAnsi="Helvetica" w:cs="Helvetica"/>
        </w:rPr>
      </w:pPr>
      <w:r w:rsidRPr="001E5F24">
        <w:rPr>
          <w:rFonts w:ascii="Helvetica" w:hAnsi="Helvetica" w:cs="Helvetica"/>
        </w:rPr>
        <w:t xml:space="preserve">(a) </w:t>
      </w:r>
      <w:r w:rsidRPr="001E5F24">
        <w:rPr>
          <w:rFonts w:ascii="Helvetica" w:hAnsi="Helvetica" w:cs="Helvetica"/>
        </w:rPr>
        <w:tab/>
        <w:t xml:space="preserve">reserve the land in the Katherine locality that is shown within the thick black lines on the plan in the Schedule from the following activities: </w:t>
      </w:r>
    </w:p>
    <w:p w:rsidR="007D787D" w:rsidRPr="001E5F24" w:rsidRDefault="007D787D" w:rsidP="005559F6">
      <w:pPr>
        <w:pStyle w:val="Default"/>
        <w:tabs>
          <w:tab w:val="left" w:pos="1134"/>
        </w:tabs>
        <w:spacing w:before="120" w:line="360" w:lineRule="auto"/>
        <w:ind w:left="1134" w:right="-52" w:hanging="567"/>
        <w:jc w:val="both"/>
        <w:rPr>
          <w:rFonts w:ascii="Helvetica" w:hAnsi="Helvetica" w:cs="Helvetica"/>
        </w:rPr>
      </w:pPr>
      <w:r w:rsidRPr="001E5F24">
        <w:rPr>
          <w:rFonts w:ascii="Helvetica" w:hAnsi="Helvetica" w:cs="Helvetica"/>
        </w:rPr>
        <w:t>(</w:t>
      </w:r>
      <w:proofErr w:type="spellStart"/>
      <w:r w:rsidRPr="001E5F24">
        <w:rPr>
          <w:rFonts w:ascii="Helvetica" w:hAnsi="Helvetica" w:cs="Helvetica"/>
        </w:rPr>
        <w:t>i</w:t>
      </w:r>
      <w:proofErr w:type="spellEnd"/>
      <w:r w:rsidRPr="001E5F24">
        <w:rPr>
          <w:rFonts w:ascii="Helvetica" w:hAnsi="Helvetica" w:cs="Helvetica"/>
        </w:rPr>
        <w:t xml:space="preserve">) </w:t>
      </w:r>
      <w:r w:rsidRPr="001E5F24">
        <w:rPr>
          <w:rFonts w:ascii="Helvetica" w:hAnsi="Helvetica" w:cs="Helvetica"/>
        </w:rPr>
        <w:tab/>
        <w:t xml:space="preserve">exploration for minerals generally; </w:t>
      </w:r>
    </w:p>
    <w:p w:rsidR="007D787D" w:rsidRPr="001E5F24" w:rsidRDefault="007D787D" w:rsidP="005559F6">
      <w:pPr>
        <w:pStyle w:val="Default"/>
        <w:tabs>
          <w:tab w:val="left" w:pos="1134"/>
        </w:tabs>
        <w:spacing w:before="120" w:line="360" w:lineRule="auto"/>
        <w:ind w:left="1134" w:right="-52" w:hanging="567"/>
        <w:jc w:val="both"/>
        <w:rPr>
          <w:rFonts w:ascii="Helvetica" w:hAnsi="Helvetica" w:cs="Helvetica"/>
        </w:rPr>
      </w:pPr>
      <w:r w:rsidRPr="001E5F24">
        <w:rPr>
          <w:rFonts w:ascii="Helvetica" w:hAnsi="Helvetica" w:cs="Helvetica"/>
        </w:rPr>
        <w:t xml:space="preserve">(ii) </w:t>
      </w:r>
      <w:r w:rsidRPr="001E5F24">
        <w:rPr>
          <w:rFonts w:ascii="Helvetica" w:hAnsi="Helvetica" w:cs="Helvetica"/>
        </w:rPr>
        <w:tab/>
        <w:t xml:space="preserve">extraction of minerals generally; </w:t>
      </w:r>
    </w:p>
    <w:p w:rsidR="007D787D" w:rsidRPr="001E5F24" w:rsidRDefault="007D787D" w:rsidP="005559F6">
      <w:pPr>
        <w:pStyle w:val="Default"/>
        <w:tabs>
          <w:tab w:val="left" w:pos="1134"/>
        </w:tabs>
        <w:spacing w:before="120" w:line="360" w:lineRule="auto"/>
        <w:ind w:left="1134" w:right="-52" w:hanging="567"/>
        <w:jc w:val="both"/>
        <w:rPr>
          <w:rFonts w:ascii="Helvetica" w:hAnsi="Helvetica" w:cs="Helvetica"/>
        </w:rPr>
      </w:pPr>
      <w:r w:rsidRPr="001E5F24">
        <w:rPr>
          <w:rFonts w:ascii="Helvetica" w:hAnsi="Helvetica" w:cs="Helvetica"/>
        </w:rPr>
        <w:t xml:space="preserve">(iii) </w:t>
      </w:r>
      <w:r w:rsidRPr="001E5F24">
        <w:rPr>
          <w:rFonts w:ascii="Helvetica" w:hAnsi="Helvetica" w:cs="Helvetica"/>
        </w:rPr>
        <w:tab/>
        <w:t xml:space="preserve">exploration for extractive minerals; </w:t>
      </w:r>
    </w:p>
    <w:p w:rsidR="007D787D" w:rsidRPr="001E5F24" w:rsidRDefault="007D787D" w:rsidP="005559F6">
      <w:pPr>
        <w:pStyle w:val="Default"/>
        <w:tabs>
          <w:tab w:val="left" w:pos="1134"/>
        </w:tabs>
        <w:spacing w:before="120" w:line="360" w:lineRule="auto"/>
        <w:ind w:left="1134" w:right="-52" w:hanging="567"/>
        <w:jc w:val="both"/>
        <w:rPr>
          <w:rFonts w:ascii="Helvetica" w:hAnsi="Helvetica" w:cs="Helvetica"/>
        </w:rPr>
      </w:pPr>
      <w:r w:rsidRPr="001E5F24">
        <w:rPr>
          <w:rFonts w:ascii="Helvetica" w:hAnsi="Helvetica" w:cs="Helvetica"/>
        </w:rPr>
        <w:t xml:space="preserve">(iv) </w:t>
      </w:r>
      <w:r w:rsidRPr="001E5F24">
        <w:rPr>
          <w:rFonts w:ascii="Helvetica" w:hAnsi="Helvetica" w:cs="Helvetica"/>
        </w:rPr>
        <w:tab/>
        <w:t xml:space="preserve">extraction of extractive minerals; and </w:t>
      </w:r>
    </w:p>
    <w:p w:rsidR="007D787D" w:rsidRPr="001E5F24" w:rsidRDefault="007D787D" w:rsidP="005559F6">
      <w:pPr>
        <w:pStyle w:val="Default"/>
        <w:tabs>
          <w:tab w:val="left" w:pos="567"/>
        </w:tabs>
        <w:spacing w:before="120" w:line="360" w:lineRule="auto"/>
        <w:ind w:left="567" w:right="-52" w:hanging="567"/>
        <w:jc w:val="both"/>
        <w:rPr>
          <w:rFonts w:ascii="Helvetica" w:hAnsi="Helvetica" w:cs="Helvetica"/>
        </w:rPr>
      </w:pPr>
      <w:r w:rsidRPr="001E5F24">
        <w:rPr>
          <w:rFonts w:ascii="Helvetica" w:hAnsi="Helvetica" w:cs="Helvetica"/>
        </w:rPr>
        <w:t xml:space="preserve">(b) </w:t>
      </w:r>
      <w:r w:rsidRPr="001E5F24">
        <w:rPr>
          <w:rFonts w:ascii="Helvetica" w:hAnsi="Helvetica" w:cs="Helvetica"/>
        </w:rPr>
        <w:tab/>
      </w:r>
      <w:r w:rsidR="00BE0B16">
        <w:rPr>
          <w:rFonts w:ascii="Helvetica" w:hAnsi="Helvetica" w:cs="Helvetica"/>
        </w:rPr>
        <w:t>give notice that:</w:t>
      </w:r>
    </w:p>
    <w:p w:rsidR="007D787D" w:rsidRPr="001E5F24" w:rsidRDefault="007D787D" w:rsidP="005559F6">
      <w:pPr>
        <w:pStyle w:val="Default"/>
        <w:tabs>
          <w:tab w:val="left" w:pos="1134"/>
        </w:tabs>
        <w:spacing w:before="120" w:after="120"/>
        <w:ind w:left="1134" w:right="-52" w:hanging="567"/>
        <w:jc w:val="both"/>
        <w:rPr>
          <w:rFonts w:ascii="Helvetica" w:hAnsi="Helvetica" w:cs="Helvetica"/>
        </w:rPr>
      </w:pPr>
      <w:r w:rsidRPr="001E5F24">
        <w:rPr>
          <w:rFonts w:ascii="Helvetica" w:hAnsi="Helvetica" w:cs="Helvetica"/>
        </w:rPr>
        <w:t>(</w:t>
      </w:r>
      <w:proofErr w:type="spellStart"/>
      <w:r w:rsidRPr="001E5F24">
        <w:rPr>
          <w:rFonts w:ascii="Helvetica" w:hAnsi="Helvetica" w:cs="Helvetica"/>
        </w:rPr>
        <w:t>i</w:t>
      </w:r>
      <w:proofErr w:type="spellEnd"/>
      <w:r w:rsidRPr="001E5F24">
        <w:rPr>
          <w:rFonts w:ascii="Helvetica" w:hAnsi="Helvetica" w:cs="Helvetica"/>
        </w:rPr>
        <w:t xml:space="preserve">) </w:t>
      </w:r>
      <w:r w:rsidRPr="001E5F24">
        <w:rPr>
          <w:rFonts w:ascii="Helvetica" w:hAnsi="Helvetica" w:cs="Helvetica"/>
        </w:rPr>
        <w:tab/>
        <w:t xml:space="preserve">the reservation takes effect on the day this notice is published in the </w:t>
      </w:r>
      <w:r w:rsidRPr="001E5F24">
        <w:rPr>
          <w:rFonts w:ascii="Helvetica" w:hAnsi="Helvetica" w:cs="Helvetica"/>
          <w:i/>
          <w:iCs/>
        </w:rPr>
        <w:t>Gazette</w:t>
      </w:r>
      <w:r w:rsidRPr="001E5F24">
        <w:rPr>
          <w:rFonts w:ascii="Helvetica" w:hAnsi="Helvetica" w:cs="Helvetica"/>
        </w:rPr>
        <w:t xml:space="preserve">; and </w:t>
      </w:r>
    </w:p>
    <w:p w:rsidR="007D787D" w:rsidRPr="001E5F24" w:rsidRDefault="007D787D" w:rsidP="005559F6">
      <w:pPr>
        <w:pStyle w:val="Default"/>
        <w:tabs>
          <w:tab w:val="left" w:pos="1134"/>
        </w:tabs>
        <w:spacing w:before="120" w:after="120"/>
        <w:ind w:left="1134" w:right="-52" w:hanging="567"/>
        <w:jc w:val="both"/>
        <w:rPr>
          <w:rFonts w:ascii="Helvetica" w:hAnsi="Helvetica" w:cs="Helvetica"/>
        </w:rPr>
      </w:pPr>
      <w:r w:rsidRPr="001E5F24">
        <w:rPr>
          <w:rFonts w:ascii="Helvetica" w:hAnsi="Helvetica" w:cs="Helvetica"/>
        </w:rPr>
        <w:t xml:space="preserve">(ii) </w:t>
      </w:r>
      <w:r w:rsidRPr="001E5F24">
        <w:rPr>
          <w:rFonts w:ascii="Helvetica" w:hAnsi="Helvetica" w:cs="Helvetica"/>
        </w:rPr>
        <w:tab/>
        <w:t>the land specified in paragraph (a) (</w:t>
      </w:r>
      <w:r w:rsidRPr="001E5F24">
        <w:rPr>
          <w:rFonts w:ascii="Helvetica" w:hAnsi="Helvetica" w:cs="Helvetica"/>
          <w:b/>
          <w:bCs/>
          <w:i/>
          <w:iCs/>
        </w:rPr>
        <w:t>general reserved land</w:t>
      </w:r>
      <w:r w:rsidRPr="001E5F24">
        <w:rPr>
          <w:rFonts w:ascii="Helvetica" w:hAnsi="Helvetica" w:cs="Helvetica"/>
        </w:rPr>
        <w:t>) is being reserved to prevent the activities mentioned in paragraph (a) from taking place in Nitmiluk</w:t>
      </w:r>
      <w:r w:rsidR="005559F6">
        <w:rPr>
          <w:rFonts w:ascii="Helvetica" w:hAnsi="Helvetica" w:cs="Helvetica"/>
        </w:rPr>
        <w:t> </w:t>
      </w:r>
      <w:r w:rsidRPr="001E5F24">
        <w:rPr>
          <w:rFonts w:ascii="Helvetica" w:hAnsi="Helvetica" w:cs="Helvetica"/>
        </w:rPr>
        <w:t xml:space="preserve">National Park; and </w:t>
      </w:r>
    </w:p>
    <w:p w:rsidR="007D787D" w:rsidRPr="001E5F24" w:rsidRDefault="007D787D" w:rsidP="005559F6">
      <w:pPr>
        <w:pStyle w:val="Default"/>
        <w:tabs>
          <w:tab w:val="left" w:pos="1134"/>
        </w:tabs>
        <w:spacing w:before="120"/>
        <w:ind w:left="1134" w:right="-52" w:hanging="567"/>
        <w:jc w:val="both"/>
        <w:rPr>
          <w:rFonts w:ascii="Helvetica" w:hAnsi="Helvetica" w:cs="Helvetica"/>
        </w:rPr>
      </w:pPr>
      <w:r w:rsidRPr="001E5F24">
        <w:rPr>
          <w:rFonts w:ascii="Helvetica" w:hAnsi="Helvetica" w:cs="Helvetica"/>
        </w:rPr>
        <w:t xml:space="preserve">(iii) </w:t>
      </w:r>
      <w:r w:rsidRPr="001E5F24">
        <w:rPr>
          <w:rFonts w:ascii="Helvetica" w:hAnsi="Helvetica" w:cs="Helvetica"/>
        </w:rPr>
        <w:tab/>
        <w:t xml:space="preserve">a person is not entitled to apply for the grant of any mineral title in relation to the general reserved land. </w:t>
      </w:r>
    </w:p>
    <w:p w:rsidR="007D787D" w:rsidRPr="001E5F24" w:rsidRDefault="007D787D" w:rsidP="00096366">
      <w:pPr>
        <w:pStyle w:val="Default"/>
        <w:spacing w:before="120" w:line="360" w:lineRule="auto"/>
        <w:ind w:right="-52"/>
        <w:rPr>
          <w:rFonts w:ascii="Helvetica" w:hAnsi="Helvetica" w:cs="Helvetica"/>
        </w:rPr>
      </w:pPr>
      <w:r w:rsidRPr="001E5F24">
        <w:rPr>
          <w:rFonts w:ascii="Helvetica" w:hAnsi="Helvetica" w:cs="Helvetica"/>
        </w:rPr>
        <w:t xml:space="preserve">Dated </w:t>
      </w:r>
      <w:r w:rsidR="00915577">
        <w:rPr>
          <w:rFonts w:ascii="Helvetica" w:hAnsi="Helvetica" w:cs="Helvetica"/>
        </w:rPr>
        <w:t>1 November 2016</w:t>
      </w:r>
    </w:p>
    <w:p w:rsidR="00915577" w:rsidRDefault="00915577" w:rsidP="00915577">
      <w:pPr>
        <w:pStyle w:val="Default"/>
        <w:spacing w:before="240"/>
        <w:ind w:right="-51"/>
        <w:jc w:val="right"/>
        <w:rPr>
          <w:rFonts w:ascii="Helvetica" w:hAnsi="Helvetica" w:cs="Helvetica"/>
        </w:rPr>
      </w:pPr>
      <w:r>
        <w:rPr>
          <w:rFonts w:ascii="Helvetica" w:hAnsi="Helvetica" w:cs="Helvetica"/>
        </w:rPr>
        <w:t>A. C. Holland</w:t>
      </w:r>
    </w:p>
    <w:p w:rsidR="007D787D" w:rsidRPr="001E5F24" w:rsidRDefault="007D787D" w:rsidP="00915577">
      <w:pPr>
        <w:pStyle w:val="Default"/>
        <w:ind w:right="-51"/>
        <w:jc w:val="right"/>
        <w:rPr>
          <w:rFonts w:ascii="Helvetica" w:hAnsi="Helvetica" w:cs="Helvetica"/>
        </w:rPr>
      </w:pPr>
      <w:r w:rsidRPr="001E5F24">
        <w:rPr>
          <w:rFonts w:ascii="Helvetica" w:hAnsi="Helvetica" w:cs="Helvetica"/>
        </w:rPr>
        <w:t>Senior Directo</w:t>
      </w:r>
      <w:r w:rsidR="00915577">
        <w:rPr>
          <w:rFonts w:ascii="Helvetica" w:hAnsi="Helvetica" w:cs="Helvetica"/>
        </w:rPr>
        <w:t>r Mines/Director Mineral Titles</w:t>
      </w:r>
    </w:p>
    <w:p w:rsidR="007D787D" w:rsidRPr="00D86548" w:rsidRDefault="007D787D" w:rsidP="007D787D">
      <w:pPr>
        <w:pStyle w:val="Default"/>
        <w:spacing w:before="120" w:line="360" w:lineRule="auto"/>
        <w:ind w:right="159"/>
      </w:pPr>
      <w:r>
        <w:rPr>
          <w:noProof/>
        </w:rPr>
        <w:lastRenderedPageBreak/>
        <w:drawing>
          <wp:inline distT="0" distB="0" distL="0" distR="0">
            <wp:extent cx="6183923" cy="7338626"/>
            <wp:effectExtent l="0" t="0" r="7620" b="0"/>
            <wp:docPr id="4" name="Picture 4" descr="Locality Katherine RL 31387&#10;"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3981" cy="7338695"/>
                    </a:xfrm>
                    <a:prstGeom prst="rect">
                      <a:avLst/>
                    </a:prstGeom>
                    <a:noFill/>
                    <a:ln>
                      <a:noFill/>
                    </a:ln>
                  </pic:spPr>
                </pic:pic>
              </a:graphicData>
            </a:graphic>
          </wp:inline>
        </w:drawing>
      </w:r>
    </w:p>
    <w:p w:rsidR="00A919FB" w:rsidRPr="00FC2ACE" w:rsidRDefault="00A919FB" w:rsidP="00A21328">
      <w:pPr>
        <w:pageBreakBefore/>
        <w:widowControl w:val="0"/>
        <w:spacing w:after="240"/>
        <w:jc w:val="center"/>
        <w:rPr>
          <w:b/>
          <w:szCs w:val="24"/>
        </w:rPr>
      </w:pPr>
      <w:r w:rsidRPr="00FC2ACE">
        <w:rPr>
          <w:b/>
          <w:szCs w:val="24"/>
        </w:rPr>
        <w:lastRenderedPageBreak/>
        <w:t>Notice of Dissolution of Partnership</w:t>
      </w:r>
    </w:p>
    <w:p w:rsidR="00A919FB" w:rsidRPr="00AB7E50" w:rsidRDefault="00A919FB" w:rsidP="00A919FB">
      <w:pPr>
        <w:jc w:val="both"/>
        <w:rPr>
          <w:rFonts w:cstheme="minorHAnsi"/>
          <w:szCs w:val="24"/>
        </w:rPr>
      </w:pPr>
      <w:r w:rsidRPr="00AB7E50">
        <w:rPr>
          <w:rFonts w:cstheme="minorHAnsi"/>
          <w:szCs w:val="24"/>
        </w:rPr>
        <w:t>Notice is given that the partnership formerly subsisting between Charlie Kathopoulis and Kalotina Kathopoulis as trustees of the N</w:t>
      </w:r>
      <w:r w:rsidR="00A21328">
        <w:rPr>
          <w:rFonts w:cstheme="minorHAnsi"/>
          <w:szCs w:val="24"/>
        </w:rPr>
        <w:t xml:space="preserve">. </w:t>
      </w:r>
      <w:r w:rsidRPr="00AB7E50">
        <w:rPr>
          <w:rFonts w:cstheme="minorHAnsi"/>
          <w:szCs w:val="24"/>
        </w:rPr>
        <w:t>T</w:t>
      </w:r>
      <w:r w:rsidR="00A21328">
        <w:rPr>
          <w:rFonts w:cstheme="minorHAnsi"/>
          <w:szCs w:val="24"/>
        </w:rPr>
        <w:t>.</w:t>
      </w:r>
      <w:r w:rsidRPr="00AB7E50">
        <w:rPr>
          <w:rFonts w:cstheme="minorHAnsi"/>
          <w:szCs w:val="24"/>
        </w:rPr>
        <w:t xml:space="preserve"> B Family Trust and Pantelis Elenis as trustee of the P</w:t>
      </w:r>
      <w:r w:rsidR="00A21328">
        <w:rPr>
          <w:rFonts w:cstheme="minorHAnsi"/>
          <w:szCs w:val="24"/>
        </w:rPr>
        <w:t>.</w:t>
      </w:r>
      <w:r w:rsidRPr="00AB7E50">
        <w:rPr>
          <w:rFonts w:cstheme="minorHAnsi"/>
          <w:szCs w:val="24"/>
        </w:rPr>
        <w:t xml:space="preserve"> Elenis Family Trust carrying on business of roofing contractors at Berrimah in the Northern Territory under the name of NT Roofing Solutions has been dissolved by mutual consent as from 31 October 2016.  </w:t>
      </w:r>
    </w:p>
    <w:p w:rsidR="00A919FB" w:rsidRPr="00AB7E50" w:rsidRDefault="00A919FB" w:rsidP="00AD0978">
      <w:pPr>
        <w:spacing w:before="240" w:after="600"/>
        <w:jc w:val="both"/>
        <w:rPr>
          <w:rFonts w:cstheme="minorHAnsi"/>
          <w:szCs w:val="24"/>
        </w:rPr>
      </w:pPr>
      <w:r>
        <w:rPr>
          <w:rFonts w:cstheme="minorHAnsi"/>
          <w:szCs w:val="24"/>
        </w:rPr>
        <w:t xml:space="preserve">4 November </w:t>
      </w:r>
      <w:r w:rsidRPr="00AB7E50">
        <w:rPr>
          <w:rFonts w:cstheme="minorHAnsi"/>
          <w:szCs w:val="24"/>
        </w:rPr>
        <w:t>2016</w:t>
      </w:r>
    </w:p>
    <w:tbl>
      <w:tblPr>
        <w:tblW w:w="5000" w:type="pct"/>
        <w:tblLook w:val="01E0" w:firstRow="1" w:lastRow="1" w:firstColumn="1" w:lastColumn="1" w:noHBand="0" w:noVBand="0"/>
        <w:tblCaption w:val="Notice of dissolution of partnership"/>
      </w:tblPr>
      <w:tblGrid>
        <w:gridCol w:w="5255"/>
        <w:gridCol w:w="353"/>
        <w:gridCol w:w="4479"/>
      </w:tblGrid>
      <w:tr w:rsidR="00A919FB" w:rsidRPr="00AB7E50" w:rsidTr="002B118C">
        <w:trPr>
          <w:cantSplit/>
        </w:trPr>
        <w:tc>
          <w:tcPr>
            <w:tcW w:w="2605" w:type="pct"/>
            <w:hideMark/>
          </w:tcPr>
          <w:p w:rsidR="00A919FB" w:rsidRPr="00AB7E50" w:rsidRDefault="00A919FB" w:rsidP="005E318A">
            <w:pPr>
              <w:spacing w:before="240" w:after="240"/>
              <w:rPr>
                <w:rFonts w:cstheme="minorHAnsi"/>
                <w:szCs w:val="24"/>
              </w:rPr>
            </w:pPr>
            <w:r w:rsidRPr="00AB7E50">
              <w:rPr>
                <w:rFonts w:cstheme="minorHAnsi"/>
                <w:szCs w:val="24"/>
              </w:rPr>
              <w:t>S</w:t>
            </w:r>
            <w:r w:rsidR="005C7B38" w:rsidRPr="00AB7E50">
              <w:rPr>
                <w:rFonts w:cstheme="minorHAnsi"/>
                <w:szCs w:val="24"/>
              </w:rPr>
              <w:t>igned</w:t>
            </w:r>
            <w:r w:rsidRPr="00AB7E50">
              <w:rPr>
                <w:rFonts w:cstheme="minorHAnsi"/>
                <w:szCs w:val="24"/>
              </w:rPr>
              <w:t xml:space="preserve"> by Charlie Kathopoulis as trustee for the N</w:t>
            </w:r>
            <w:r w:rsidR="005C7B38">
              <w:rPr>
                <w:rFonts w:cstheme="minorHAnsi"/>
                <w:szCs w:val="24"/>
              </w:rPr>
              <w:t>.</w:t>
            </w:r>
            <w:r w:rsidRPr="00AB7E50">
              <w:rPr>
                <w:rFonts w:cstheme="minorHAnsi"/>
                <w:szCs w:val="24"/>
              </w:rPr>
              <w:t xml:space="preserve"> T</w:t>
            </w:r>
            <w:r w:rsidR="005C7B38">
              <w:rPr>
                <w:rFonts w:cstheme="minorHAnsi"/>
                <w:szCs w:val="24"/>
              </w:rPr>
              <w:t>.</w:t>
            </w:r>
            <w:r w:rsidRPr="00AB7E50">
              <w:rPr>
                <w:rFonts w:cstheme="minorHAnsi"/>
                <w:szCs w:val="24"/>
              </w:rPr>
              <w:t xml:space="preserve"> B</w:t>
            </w:r>
            <w:r w:rsidR="005C7B38">
              <w:rPr>
                <w:rFonts w:cstheme="minorHAnsi"/>
                <w:szCs w:val="24"/>
              </w:rPr>
              <w:t>.</w:t>
            </w:r>
            <w:r w:rsidRPr="00AB7E50">
              <w:rPr>
                <w:rFonts w:cstheme="minorHAnsi"/>
                <w:szCs w:val="24"/>
              </w:rPr>
              <w:t xml:space="preserve"> Family Trust in the presence of:</w:t>
            </w:r>
          </w:p>
        </w:tc>
        <w:tc>
          <w:tcPr>
            <w:tcW w:w="175" w:type="pct"/>
            <w:hideMark/>
          </w:tcPr>
          <w:p w:rsidR="00933A51"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p w:rsidR="005C7B38" w:rsidRDefault="00A919FB" w:rsidP="005C7B38">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p w:rsidR="00A919FB" w:rsidRPr="00AB7E50" w:rsidRDefault="00A919FB" w:rsidP="005C7B38">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tc>
        <w:tc>
          <w:tcPr>
            <w:tcW w:w="2220" w:type="pct"/>
          </w:tcPr>
          <w:p w:rsidR="00895B15" w:rsidRPr="00895B15" w:rsidRDefault="00895B15" w:rsidP="00895B15">
            <w:pPr>
              <w:keepNext/>
              <w:keepLines/>
              <w:overflowPunct w:val="0"/>
              <w:autoSpaceDE w:val="0"/>
              <w:autoSpaceDN w:val="0"/>
              <w:adjustRightInd w:val="0"/>
              <w:spacing w:before="240"/>
              <w:jc w:val="both"/>
              <w:textAlignment w:val="baseline"/>
              <w:rPr>
                <w:rFonts w:cstheme="minorHAnsi"/>
                <w:szCs w:val="24"/>
                <w:u w:val="single"/>
              </w:rPr>
            </w:pPr>
            <w:r w:rsidRPr="00895B15">
              <w:rPr>
                <w:rFonts w:cstheme="minorHAnsi"/>
                <w:szCs w:val="24"/>
                <w:u w:val="single"/>
              </w:rPr>
              <w:t>C. Kathopoulis</w:t>
            </w:r>
          </w:p>
          <w:p w:rsidR="00895B15" w:rsidRPr="00AB7E50" w:rsidRDefault="00895B15" w:rsidP="00A75C99">
            <w:pPr>
              <w:keepNext/>
              <w:keepLines/>
              <w:overflowPunct w:val="0"/>
              <w:autoSpaceDE w:val="0"/>
              <w:autoSpaceDN w:val="0"/>
              <w:adjustRightInd w:val="0"/>
              <w:spacing w:after="240"/>
              <w:jc w:val="both"/>
              <w:textAlignment w:val="baseline"/>
              <w:rPr>
                <w:rFonts w:cstheme="minorHAnsi"/>
                <w:szCs w:val="24"/>
              </w:rPr>
            </w:pPr>
            <w:r w:rsidRPr="00AB7E50">
              <w:rPr>
                <w:rFonts w:cstheme="minorHAnsi"/>
                <w:szCs w:val="24"/>
              </w:rPr>
              <w:t>Charlie Kathopoulis</w:t>
            </w:r>
          </w:p>
        </w:tc>
      </w:tr>
      <w:tr w:rsidR="00A919FB" w:rsidRPr="00AB7E50" w:rsidTr="002B118C">
        <w:trPr>
          <w:cantSplit/>
        </w:trPr>
        <w:tc>
          <w:tcPr>
            <w:tcW w:w="2605" w:type="pct"/>
          </w:tcPr>
          <w:p w:rsidR="00A919FB" w:rsidRPr="00AB7E50" w:rsidRDefault="005E318A" w:rsidP="00A75C99">
            <w:pPr>
              <w:keepNext/>
              <w:keepLines/>
              <w:overflowPunct w:val="0"/>
              <w:autoSpaceDE w:val="0"/>
              <w:autoSpaceDN w:val="0"/>
              <w:adjustRightInd w:val="0"/>
              <w:spacing w:before="240"/>
              <w:textAlignment w:val="baseline"/>
              <w:rPr>
                <w:rFonts w:cstheme="minorHAnsi"/>
                <w:szCs w:val="24"/>
              </w:rPr>
            </w:pPr>
            <w:r w:rsidRPr="005E318A">
              <w:rPr>
                <w:rFonts w:cstheme="minorHAnsi"/>
                <w:szCs w:val="24"/>
                <w:u w:val="single"/>
              </w:rPr>
              <w:t>D. M. Morgan</w:t>
            </w:r>
          </w:p>
        </w:tc>
        <w:tc>
          <w:tcPr>
            <w:tcW w:w="175" w:type="pct"/>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p>
        </w:tc>
        <w:tc>
          <w:tcPr>
            <w:tcW w:w="2220" w:type="pct"/>
          </w:tcPr>
          <w:p w:rsidR="00A919FB" w:rsidRPr="00AB7E50" w:rsidRDefault="00A919FB" w:rsidP="00E9689B">
            <w:pPr>
              <w:keepNext/>
              <w:keepLines/>
              <w:overflowPunct w:val="0"/>
              <w:autoSpaceDE w:val="0"/>
              <w:autoSpaceDN w:val="0"/>
              <w:adjustRightInd w:val="0"/>
              <w:textAlignment w:val="baseline"/>
              <w:rPr>
                <w:rFonts w:cstheme="minorHAnsi"/>
                <w:szCs w:val="24"/>
              </w:rPr>
            </w:pPr>
          </w:p>
        </w:tc>
      </w:tr>
      <w:tr w:rsidR="00A919FB" w:rsidRPr="00AB7E50" w:rsidTr="002B118C">
        <w:trPr>
          <w:cantSplit/>
        </w:trPr>
        <w:tc>
          <w:tcPr>
            <w:tcW w:w="2605" w:type="pct"/>
            <w:hideMark/>
          </w:tcPr>
          <w:p w:rsidR="00A919FB" w:rsidRPr="00AB7E50" w:rsidRDefault="00A919FB" w:rsidP="00E9689B">
            <w:pPr>
              <w:rPr>
                <w:rFonts w:cstheme="minorHAnsi"/>
                <w:szCs w:val="24"/>
              </w:rPr>
            </w:pPr>
            <w:r w:rsidRPr="00AB7E50">
              <w:rPr>
                <w:rFonts w:cstheme="minorHAnsi"/>
                <w:szCs w:val="24"/>
              </w:rPr>
              <w:t>Witness</w:t>
            </w:r>
          </w:p>
        </w:tc>
        <w:tc>
          <w:tcPr>
            <w:tcW w:w="175" w:type="pct"/>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p>
        </w:tc>
        <w:tc>
          <w:tcPr>
            <w:tcW w:w="2220" w:type="pct"/>
          </w:tcPr>
          <w:p w:rsidR="00A919FB" w:rsidRPr="00AB7E50" w:rsidRDefault="00A919FB" w:rsidP="00E9689B">
            <w:pPr>
              <w:rPr>
                <w:rFonts w:cstheme="minorHAnsi"/>
                <w:szCs w:val="24"/>
              </w:rPr>
            </w:pPr>
          </w:p>
        </w:tc>
      </w:tr>
    </w:tbl>
    <w:p w:rsidR="00A919FB" w:rsidRPr="00AD0978" w:rsidRDefault="00A919FB" w:rsidP="00AD0978">
      <w:pPr>
        <w:tabs>
          <w:tab w:val="right" w:pos="4253"/>
        </w:tabs>
        <w:suppressAutoHyphens/>
        <w:spacing w:before="240" w:after="240"/>
        <w:jc w:val="both"/>
        <w:rPr>
          <w:rFonts w:cstheme="minorHAnsi"/>
          <w:spacing w:val="-3"/>
          <w:sz w:val="2"/>
          <w:szCs w:val="2"/>
          <w:lang w:val="en-GB"/>
        </w:rPr>
      </w:pPr>
    </w:p>
    <w:tbl>
      <w:tblPr>
        <w:tblW w:w="5000" w:type="pct"/>
        <w:tblLook w:val="01E0" w:firstRow="1" w:lastRow="1" w:firstColumn="1" w:lastColumn="1" w:noHBand="0" w:noVBand="0"/>
        <w:tblCaption w:val="Notice of dissolution of partnership"/>
      </w:tblPr>
      <w:tblGrid>
        <w:gridCol w:w="5211"/>
        <w:gridCol w:w="426"/>
        <w:gridCol w:w="4450"/>
      </w:tblGrid>
      <w:tr w:rsidR="00A919FB" w:rsidRPr="00AB7E50" w:rsidTr="002B118C">
        <w:trPr>
          <w:cantSplit/>
        </w:trPr>
        <w:tc>
          <w:tcPr>
            <w:tcW w:w="2583" w:type="pct"/>
            <w:hideMark/>
          </w:tcPr>
          <w:p w:rsidR="00A919FB" w:rsidRPr="00AB7E50" w:rsidRDefault="00A919FB" w:rsidP="00895B15">
            <w:pPr>
              <w:spacing w:before="240" w:after="240"/>
              <w:rPr>
                <w:rFonts w:cstheme="minorHAnsi"/>
                <w:szCs w:val="24"/>
              </w:rPr>
            </w:pPr>
            <w:r w:rsidRPr="00AB7E50">
              <w:rPr>
                <w:rFonts w:cstheme="minorHAnsi"/>
                <w:szCs w:val="24"/>
              </w:rPr>
              <w:t>S</w:t>
            </w:r>
            <w:r w:rsidR="00A75C99" w:rsidRPr="00AB7E50">
              <w:rPr>
                <w:rFonts w:cstheme="minorHAnsi"/>
                <w:szCs w:val="24"/>
              </w:rPr>
              <w:t>igned</w:t>
            </w:r>
            <w:r w:rsidRPr="00AB7E50">
              <w:rPr>
                <w:rFonts w:cstheme="minorHAnsi"/>
                <w:szCs w:val="24"/>
              </w:rPr>
              <w:t xml:space="preserve"> by Kalotina Kathopoulis as trustee for the N T B Family Trust in the presence of:</w:t>
            </w:r>
          </w:p>
        </w:tc>
        <w:tc>
          <w:tcPr>
            <w:tcW w:w="211" w:type="pct"/>
            <w:hideMark/>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tc>
        <w:tc>
          <w:tcPr>
            <w:tcW w:w="2206" w:type="pct"/>
          </w:tcPr>
          <w:p w:rsidR="00A919FB" w:rsidRPr="00800518" w:rsidRDefault="004E014A" w:rsidP="00800518">
            <w:pPr>
              <w:keepNext/>
              <w:keepLines/>
              <w:overflowPunct w:val="0"/>
              <w:autoSpaceDE w:val="0"/>
              <w:autoSpaceDN w:val="0"/>
              <w:adjustRightInd w:val="0"/>
              <w:spacing w:before="240"/>
              <w:jc w:val="both"/>
              <w:textAlignment w:val="baseline"/>
              <w:rPr>
                <w:rFonts w:cstheme="minorHAnsi"/>
                <w:szCs w:val="24"/>
                <w:u w:val="single"/>
              </w:rPr>
            </w:pPr>
            <w:r w:rsidRPr="00800518">
              <w:rPr>
                <w:rFonts w:cstheme="minorHAnsi"/>
                <w:szCs w:val="24"/>
                <w:u w:val="single"/>
              </w:rPr>
              <w:t>K. Kathopoulis</w:t>
            </w:r>
          </w:p>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Kalotina Kathopoulis</w:t>
            </w:r>
          </w:p>
        </w:tc>
      </w:tr>
      <w:tr w:rsidR="00A919FB" w:rsidRPr="00AB7E50" w:rsidTr="002B118C">
        <w:trPr>
          <w:cantSplit/>
        </w:trPr>
        <w:tc>
          <w:tcPr>
            <w:tcW w:w="2583" w:type="pct"/>
          </w:tcPr>
          <w:p w:rsidR="00A919FB" w:rsidRPr="00AB7E50" w:rsidRDefault="00800518" w:rsidP="00800518">
            <w:pPr>
              <w:keepNext/>
              <w:keepLines/>
              <w:overflowPunct w:val="0"/>
              <w:autoSpaceDE w:val="0"/>
              <w:autoSpaceDN w:val="0"/>
              <w:adjustRightInd w:val="0"/>
              <w:spacing w:before="240"/>
              <w:textAlignment w:val="baseline"/>
              <w:rPr>
                <w:rFonts w:cstheme="minorHAnsi"/>
                <w:szCs w:val="24"/>
              </w:rPr>
            </w:pPr>
            <w:r w:rsidRPr="00800518">
              <w:rPr>
                <w:rFonts w:cstheme="minorHAnsi"/>
                <w:szCs w:val="24"/>
                <w:u w:val="single"/>
              </w:rPr>
              <w:t>D. M. Morgan</w:t>
            </w:r>
          </w:p>
        </w:tc>
        <w:tc>
          <w:tcPr>
            <w:tcW w:w="211" w:type="pct"/>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p>
        </w:tc>
        <w:tc>
          <w:tcPr>
            <w:tcW w:w="2206" w:type="pct"/>
          </w:tcPr>
          <w:p w:rsidR="00A919FB" w:rsidRPr="00AB7E50" w:rsidRDefault="00A919FB" w:rsidP="00E9689B">
            <w:pPr>
              <w:keepNext/>
              <w:keepLines/>
              <w:overflowPunct w:val="0"/>
              <w:autoSpaceDE w:val="0"/>
              <w:autoSpaceDN w:val="0"/>
              <w:adjustRightInd w:val="0"/>
              <w:textAlignment w:val="baseline"/>
              <w:rPr>
                <w:rFonts w:cstheme="minorHAnsi"/>
                <w:szCs w:val="24"/>
              </w:rPr>
            </w:pPr>
          </w:p>
        </w:tc>
      </w:tr>
      <w:tr w:rsidR="00A919FB" w:rsidRPr="00AB7E50" w:rsidTr="002B118C">
        <w:trPr>
          <w:cantSplit/>
        </w:trPr>
        <w:tc>
          <w:tcPr>
            <w:tcW w:w="2583" w:type="pct"/>
            <w:hideMark/>
          </w:tcPr>
          <w:p w:rsidR="00A919FB" w:rsidRPr="00AB7E50" w:rsidRDefault="00A919FB" w:rsidP="00E9689B">
            <w:pPr>
              <w:rPr>
                <w:rFonts w:cstheme="minorHAnsi"/>
                <w:szCs w:val="24"/>
              </w:rPr>
            </w:pPr>
            <w:r w:rsidRPr="00AB7E50">
              <w:rPr>
                <w:rFonts w:cstheme="minorHAnsi"/>
                <w:szCs w:val="24"/>
              </w:rPr>
              <w:t>Witness</w:t>
            </w:r>
          </w:p>
        </w:tc>
        <w:tc>
          <w:tcPr>
            <w:tcW w:w="211" w:type="pct"/>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p>
        </w:tc>
        <w:tc>
          <w:tcPr>
            <w:tcW w:w="2206" w:type="pct"/>
          </w:tcPr>
          <w:p w:rsidR="00A919FB" w:rsidRPr="00AB7E50" w:rsidRDefault="00A919FB" w:rsidP="00E9689B">
            <w:pPr>
              <w:rPr>
                <w:rFonts w:cstheme="minorHAnsi"/>
                <w:szCs w:val="24"/>
              </w:rPr>
            </w:pPr>
          </w:p>
        </w:tc>
      </w:tr>
    </w:tbl>
    <w:p w:rsidR="00A919FB" w:rsidRPr="00AD0978" w:rsidRDefault="00A919FB" w:rsidP="00AD0978">
      <w:pPr>
        <w:tabs>
          <w:tab w:val="right" w:pos="4253"/>
        </w:tabs>
        <w:suppressAutoHyphens/>
        <w:spacing w:before="240" w:after="240"/>
        <w:jc w:val="both"/>
        <w:rPr>
          <w:rFonts w:cstheme="minorHAnsi"/>
          <w:spacing w:val="-3"/>
          <w:sz w:val="2"/>
          <w:szCs w:val="2"/>
          <w:lang w:val="en-GB"/>
        </w:rPr>
      </w:pPr>
    </w:p>
    <w:tbl>
      <w:tblPr>
        <w:tblW w:w="5000" w:type="pct"/>
        <w:tblLook w:val="01E0" w:firstRow="1" w:lastRow="1" w:firstColumn="1" w:lastColumn="1" w:noHBand="0" w:noVBand="0"/>
        <w:tblCaption w:val="Notice of dissolution of partnership"/>
      </w:tblPr>
      <w:tblGrid>
        <w:gridCol w:w="5211"/>
        <w:gridCol w:w="426"/>
        <w:gridCol w:w="4450"/>
      </w:tblGrid>
      <w:tr w:rsidR="00A919FB" w:rsidRPr="00AB7E50" w:rsidTr="002B118C">
        <w:trPr>
          <w:cantSplit/>
        </w:trPr>
        <w:tc>
          <w:tcPr>
            <w:tcW w:w="2583" w:type="pct"/>
            <w:hideMark/>
          </w:tcPr>
          <w:p w:rsidR="00A919FB" w:rsidRPr="00AB7E50" w:rsidRDefault="00A919FB" w:rsidP="00800518">
            <w:pPr>
              <w:spacing w:before="240"/>
              <w:rPr>
                <w:rFonts w:cstheme="minorHAnsi"/>
                <w:szCs w:val="24"/>
              </w:rPr>
            </w:pPr>
            <w:r w:rsidRPr="00AB7E50">
              <w:rPr>
                <w:rFonts w:cstheme="minorHAnsi"/>
                <w:szCs w:val="24"/>
              </w:rPr>
              <w:t>S</w:t>
            </w:r>
            <w:r w:rsidR="00800518" w:rsidRPr="00AB7E50">
              <w:rPr>
                <w:rFonts w:cstheme="minorHAnsi"/>
                <w:szCs w:val="24"/>
              </w:rPr>
              <w:t>igned</w:t>
            </w:r>
            <w:r w:rsidRPr="00AB7E50">
              <w:rPr>
                <w:rFonts w:cstheme="minorHAnsi"/>
                <w:szCs w:val="24"/>
              </w:rPr>
              <w:t xml:space="preserve"> by Pantelis Elenis as trustee for the P Elenis Family Trust in the presence of:</w:t>
            </w:r>
          </w:p>
        </w:tc>
        <w:tc>
          <w:tcPr>
            <w:tcW w:w="211" w:type="pct"/>
            <w:hideMark/>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w:t>
            </w:r>
          </w:p>
        </w:tc>
        <w:tc>
          <w:tcPr>
            <w:tcW w:w="2206" w:type="pct"/>
          </w:tcPr>
          <w:p w:rsidR="00A919FB" w:rsidRPr="00AD0978" w:rsidRDefault="00800518" w:rsidP="00800518">
            <w:pPr>
              <w:keepNext/>
              <w:keepLines/>
              <w:overflowPunct w:val="0"/>
              <w:autoSpaceDE w:val="0"/>
              <w:autoSpaceDN w:val="0"/>
              <w:adjustRightInd w:val="0"/>
              <w:spacing w:before="240"/>
              <w:jc w:val="both"/>
              <w:textAlignment w:val="baseline"/>
              <w:rPr>
                <w:rFonts w:cstheme="minorHAnsi"/>
                <w:szCs w:val="24"/>
                <w:u w:val="single"/>
              </w:rPr>
            </w:pPr>
            <w:r w:rsidRPr="00AD0978">
              <w:rPr>
                <w:rFonts w:cstheme="minorHAnsi"/>
                <w:szCs w:val="24"/>
                <w:u w:val="single"/>
              </w:rPr>
              <w:t>P.Elenis</w:t>
            </w:r>
            <w:bookmarkStart w:id="0" w:name="_GoBack"/>
            <w:bookmarkEnd w:id="0"/>
          </w:p>
          <w:p w:rsidR="00A919FB" w:rsidRPr="00AB7E50" w:rsidRDefault="00A919FB" w:rsidP="00E9689B">
            <w:pPr>
              <w:keepNext/>
              <w:keepLines/>
              <w:overflowPunct w:val="0"/>
              <w:autoSpaceDE w:val="0"/>
              <w:autoSpaceDN w:val="0"/>
              <w:adjustRightInd w:val="0"/>
              <w:jc w:val="both"/>
              <w:textAlignment w:val="baseline"/>
              <w:rPr>
                <w:rFonts w:cstheme="minorHAnsi"/>
                <w:szCs w:val="24"/>
              </w:rPr>
            </w:pPr>
            <w:r w:rsidRPr="00AB7E50">
              <w:rPr>
                <w:rFonts w:cstheme="minorHAnsi"/>
                <w:szCs w:val="24"/>
              </w:rPr>
              <w:t>Pantelis Elenis</w:t>
            </w:r>
          </w:p>
        </w:tc>
      </w:tr>
      <w:tr w:rsidR="00A919FB" w:rsidRPr="00AB7E50" w:rsidTr="002B118C">
        <w:trPr>
          <w:cantSplit/>
        </w:trPr>
        <w:tc>
          <w:tcPr>
            <w:tcW w:w="2583" w:type="pct"/>
          </w:tcPr>
          <w:p w:rsidR="00A919FB" w:rsidRPr="00AB7E50" w:rsidRDefault="00AD0978" w:rsidP="00AD0978">
            <w:pPr>
              <w:keepNext/>
              <w:keepLines/>
              <w:overflowPunct w:val="0"/>
              <w:autoSpaceDE w:val="0"/>
              <w:autoSpaceDN w:val="0"/>
              <w:adjustRightInd w:val="0"/>
              <w:spacing w:before="240"/>
              <w:textAlignment w:val="baseline"/>
              <w:rPr>
                <w:rFonts w:cstheme="minorHAnsi"/>
                <w:szCs w:val="24"/>
              </w:rPr>
            </w:pPr>
            <w:r w:rsidRPr="00AD0978">
              <w:rPr>
                <w:rFonts w:cstheme="minorHAnsi"/>
                <w:szCs w:val="24"/>
                <w:u w:val="single"/>
              </w:rPr>
              <w:t>D. M. Morgan</w:t>
            </w:r>
          </w:p>
        </w:tc>
        <w:tc>
          <w:tcPr>
            <w:tcW w:w="211" w:type="pct"/>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p>
        </w:tc>
        <w:tc>
          <w:tcPr>
            <w:tcW w:w="2206" w:type="pct"/>
          </w:tcPr>
          <w:p w:rsidR="00A919FB" w:rsidRPr="00AB7E50" w:rsidRDefault="00A919FB" w:rsidP="00E9689B">
            <w:pPr>
              <w:keepNext/>
              <w:keepLines/>
              <w:overflowPunct w:val="0"/>
              <w:autoSpaceDE w:val="0"/>
              <w:autoSpaceDN w:val="0"/>
              <w:adjustRightInd w:val="0"/>
              <w:textAlignment w:val="baseline"/>
              <w:rPr>
                <w:rFonts w:cstheme="minorHAnsi"/>
                <w:szCs w:val="24"/>
              </w:rPr>
            </w:pPr>
          </w:p>
        </w:tc>
      </w:tr>
      <w:tr w:rsidR="00A919FB" w:rsidRPr="00AB7E50" w:rsidTr="002B118C">
        <w:trPr>
          <w:cantSplit/>
        </w:trPr>
        <w:tc>
          <w:tcPr>
            <w:tcW w:w="2583" w:type="pct"/>
            <w:hideMark/>
          </w:tcPr>
          <w:p w:rsidR="00A919FB" w:rsidRPr="00AB7E50" w:rsidRDefault="00A919FB" w:rsidP="00E9689B">
            <w:pPr>
              <w:rPr>
                <w:rFonts w:cstheme="minorHAnsi"/>
                <w:szCs w:val="24"/>
              </w:rPr>
            </w:pPr>
            <w:r w:rsidRPr="00AB7E50">
              <w:rPr>
                <w:rFonts w:cstheme="minorHAnsi"/>
                <w:szCs w:val="24"/>
              </w:rPr>
              <w:t>Witness</w:t>
            </w:r>
          </w:p>
        </w:tc>
        <w:tc>
          <w:tcPr>
            <w:tcW w:w="211" w:type="pct"/>
          </w:tcPr>
          <w:p w:rsidR="00A919FB" w:rsidRPr="00AB7E50" w:rsidRDefault="00A919FB" w:rsidP="00E9689B">
            <w:pPr>
              <w:keepNext/>
              <w:keepLines/>
              <w:overflowPunct w:val="0"/>
              <w:autoSpaceDE w:val="0"/>
              <w:autoSpaceDN w:val="0"/>
              <w:adjustRightInd w:val="0"/>
              <w:jc w:val="both"/>
              <w:textAlignment w:val="baseline"/>
              <w:rPr>
                <w:rFonts w:cstheme="minorHAnsi"/>
                <w:szCs w:val="24"/>
              </w:rPr>
            </w:pPr>
          </w:p>
        </w:tc>
        <w:tc>
          <w:tcPr>
            <w:tcW w:w="2206" w:type="pct"/>
          </w:tcPr>
          <w:p w:rsidR="00A919FB" w:rsidRPr="00AB7E50" w:rsidRDefault="00A919FB" w:rsidP="00E9689B">
            <w:pPr>
              <w:rPr>
                <w:rFonts w:cstheme="minorHAnsi"/>
                <w:szCs w:val="24"/>
              </w:rPr>
            </w:pPr>
          </w:p>
        </w:tc>
      </w:tr>
    </w:tbl>
    <w:p w:rsidR="002E3B89" w:rsidRDefault="002E3B89" w:rsidP="00A21328">
      <w:pPr>
        <w:tabs>
          <w:tab w:val="left" w:pos="4950"/>
        </w:tabs>
        <w:jc w:val="right"/>
      </w:pPr>
    </w:p>
    <w:sectPr w:rsidR="002E3B89" w:rsidSect="00E73770">
      <w:pgSz w:w="11907" w:h="16840" w:code="9"/>
      <w:pgMar w:top="851" w:right="902" w:bottom="851" w:left="1134"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FD" w:rsidRDefault="009D4BFD" w:rsidP="00262753">
      <w:r>
        <w:separator/>
      </w:r>
    </w:p>
  </w:endnote>
  <w:endnote w:type="continuationSeparator" w:id="0">
    <w:p w:rsidR="009D4BFD" w:rsidRDefault="009D4BFD"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Default="009D4BFD">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9D4BFD" w:rsidRDefault="009D4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Default="009D4BFD" w:rsidP="001E056E">
    <w:pPr>
      <w:pStyle w:val="Footer"/>
    </w:pPr>
    <w:r>
      <w:t xml:space="preserve">Page </w:t>
    </w:r>
    <w:r>
      <w:fldChar w:fldCharType="begin"/>
    </w:r>
    <w:r>
      <w:instrText xml:space="preserve"> PAGE   \* MERGEFORMAT </w:instrText>
    </w:r>
    <w:r>
      <w:fldChar w:fldCharType="separate"/>
    </w:r>
    <w:r w:rsidR="00F56A01">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Default="009D4BFD"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FD" w:rsidRDefault="009D4BFD" w:rsidP="00262753">
      <w:r>
        <w:separator/>
      </w:r>
    </w:p>
  </w:footnote>
  <w:footnote w:type="continuationSeparator" w:id="0">
    <w:p w:rsidR="009D4BFD" w:rsidRDefault="009D4BFD"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Pr="00217476" w:rsidRDefault="009D4BFD" w:rsidP="001E056E">
    <w:pPr>
      <w:pStyle w:val="Header"/>
    </w:pPr>
    <w:r w:rsidRPr="00246A76">
      <w:t xml:space="preserve">Northern Territory Government Gazette No. </w:t>
    </w:r>
    <w:r w:rsidR="00657CF4">
      <w:t>G45</w:t>
    </w:r>
    <w:r w:rsidRPr="00246A76">
      <w:t xml:space="preserve">, </w:t>
    </w:r>
    <w:r w:rsidR="00657CF4">
      <w:t>9</w:t>
    </w:r>
    <w:r>
      <w:t xml:space="preserve">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5">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6">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21"/>
  </w:num>
  <w:num w:numId="2">
    <w:abstractNumId w:val="11"/>
  </w:num>
  <w:num w:numId="3">
    <w:abstractNumId w:val="20"/>
  </w:num>
  <w:num w:numId="4">
    <w:abstractNumId w:val="10"/>
  </w:num>
  <w:num w:numId="5">
    <w:abstractNumId w:val="4"/>
  </w:num>
  <w:num w:numId="6">
    <w:abstractNumId w:val="8"/>
  </w:num>
  <w:num w:numId="7">
    <w:abstractNumId w:val="9"/>
  </w:num>
  <w:num w:numId="8">
    <w:abstractNumId w:val="12"/>
  </w:num>
  <w:num w:numId="9">
    <w:abstractNumId w:val="6"/>
  </w:num>
  <w:num w:numId="10">
    <w:abstractNumId w:val="18"/>
  </w:num>
  <w:num w:numId="11">
    <w:abstractNumId w:val="19"/>
  </w:num>
  <w:num w:numId="12">
    <w:abstractNumId w:val="0"/>
  </w:num>
  <w:num w:numId="13">
    <w:abstractNumId w:val="14"/>
  </w:num>
  <w:num w:numId="14">
    <w:abstractNumId w:val="5"/>
  </w:num>
  <w:num w:numId="15">
    <w:abstractNumId w:val="1"/>
  </w:num>
  <w:num w:numId="16">
    <w:abstractNumId w:val="13"/>
  </w:num>
  <w:num w:numId="17">
    <w:abstractNumId w:val="16"/>
  </w:num>
  <w:num w:numId="18">
    <w:abstractNumId w:val="23"/>
  </w:num>
  <w:num w:numId="19">
    <w:abstractNumId w:val="17"/>
  </w:num>
  <w:num w:numId="20">
    <w:abstractNumId w:val="15"/>
  </w:num>
  <w:num w:numId="21">
    <w:abstractNumId w:val="25"/>
  </w:num>
  <w:num w:numId="22">
    <w:abstractNumId w:val="22"/>
  </w:num>
  <w:num w:numId="23">
    <w:abstractNumId w:val="3"/>
  </w:num>
  <w:num w:numId="24">
    <w:abstractNumId w:val="2"/>
  </w:num>
  <w:num w:numId="25">
    <w:abstractNumId w:val="7"/>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8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AC9"/>
    <w:rsid w:val="00026E9F"/>
    <w:rsid w:val="0002778B"/>
    <w:rsid w:val="00030A7F"/>
    <w:rsid w:val="0003184D"/>
    <w:rsid w:val="000323BF"/>
    <w:rsid w:val="00034591"/>
    <w:rsid w:val="00034994"/>
    <w:rsid w:val="00035B56"/>
    <w:rsid w:val="00036121"/>
    <w:rsid w:val="00036DE3"/>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E18"/>
    <w:rsid w:val="00051F8F"/>
    <w:rsid w:val="000536DF"/>
    <w:rsid w:val="00053D92"/>
    <w:rsid w:val="000549D1"/>
    <w:rsid w:val="00056DA1"/>
    <w:rsid w:val="0005777E"/>
    <w:rsid w:val="00057846"/>
    <w:rsid w:val="00057DA2"/>
    <w:rsid w:val="000603D7"/>
    <w:rsid w:val="00060E29"/>
    <w:rsid w:val="00061992"/>
    <w:rsid w:val="00061C24"/>
    <w:rsid w:val="000626E3"/>
    <w:rsid w:val="000627F9"/>
    <w:rsid w:val="00062F32"/>
    <w:rsid w:val="000633AD"/>
    <w:rsid w:val="000656E0"/>
    <w:rsid w:val="00065CF2"/>
    <w:rsid w:val="00066CB2"/>
    <w:rsid w:val="00070359"/>
    <w:rsid w:val="00071527"/>
    <w:rsid w:val="000719D4"/>
    <w:rsid w:val="00071FD1"/>
    <w:rsid w:val="00072722"/>
    <w:rsid w:val="00072ECA"/>
    <w:rsid w:val="000740FA"/>
    <w:rsid w:val="00074FC7"/>
    <w:rsid w:val="00075340"/>
    <w:rsid w:val="0007649C"/>
    <w:rsid w:val="00077654"/>
    <w:rsid w:val="00077B19"/>
    <w:rsid w:val="000800CA"/>
    <w:rsid w:val="00080BFE"/>
    <w:rsid w:val="000814FA"/>
    <w:rsid w:val="000816C9"/>
    <w:rsid w:val="00081F22"/>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588F"/>
    <w:rsid w:val="00096366"/>
    <w:rsid w:val="000969F3"/>
    <w:rsid w:val="00096DED"/>
    <w:rsid w:val="000A1ADF"/>
    <w:rsid w:val="000A208B"/>
    <w:rsid w:val="000A276F"/>
    <w:rsid w:val="000A2A63"/>
    <w:rsid w:val="000A379D"/>
    <w:rsid w:val="000A3C1A"/>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17AC"/>
    <w:rsid w:val="000C46AC"/>
    <w:rsid w:val="000C4EE0"/>
    <w:rsid w:val="000C5035"/>
    <w:rsid w:val="000C55BA"/>
    <w:rsid w:val="000C71E2"/>
    <w:rsid w:val="000C7560"/>
    <w:rsid w:val="000D006B"/>
    <w:rsid w:val="000D02BB"/>
    <w:rsid w:val="000D0763"/>
    <w:rsid w:val="000D0E24"/>
    <w:rsid w:val="000D181F"/>
    <w:rsid w:val="000D3037"/>
    <w:rsid w:val="000D3226"/>
    <w:rsid w:val="000D3D34"/>
    <w:rsid w:val="000D3D60"/>
    <w:rsid w:val="000D4330"/>
    <w:rsid w:val="000D5300"/>
    <w:rsid w:val="000E1ABF"/>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63DA"/>
    <w:rsid w:val="00107792"/>
    <w:rsid w:val="001118C3"/>
    <w:rsid w:val="00112B26"/>
    <w:rsid w:val="00112E6E"/>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89E"/>
    <w:rsid w:val="00141D03"/>
    <w:rsid w:val="001420CE"/>
    <w:rsid w:val="00145491"/>
    <w:rsid w:val="00145822"/>
    <w:rsid w:val="001463C2"/>
    <w:rsid w:val="0014643B"/>
    <w:rsid w:val="00146B23"/>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7E6"/>
    <w:rsid w:val="00176B53"/>
    <w:rsid w:val="00176B75"/>
    <w:rsid w:val="0017713B"/>
    <w:rsid w:val="00180A58"/>
    <w:rsid w:val="00181E51"/>
    <w:rsid w:val="00182A13"/>
    <w:rsid w:val="00182EBD"/>
    <w:rsid w:val="001832D3"/>
    <w:rsid w:val="00183924"/>
    <w:rsid w:val="001844F6"/>
    <w:rsid w:val="00186538"/>
    <w:rsid w:val="001866A6"/>
    <w:rsid w:val="00186C42"/>
    <w:rsid w:val="00187CA0"/>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6229"/>
    <w:rsid w:val="001B68AF"/>
    <w:rsid w:val="001B7230"/>
    <w:rsid w:val="001C05F0"/>
    <w:rsid w:val="001C0AB6"/>
    <w:rsid w:val="001C2A26"/>
    <w:rsid w:val="001C32C8"/>
    <w:rsid w:val="001C3467"/>
    <w:rsid w:val="001C3B57"/>
    <w:rsid w:val="001C3DFA"/>
    <w:rsid w:val="001C4A3C"/>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2643"/>
    <w:rsid w:val="002146BC"/>
    <w:rsid w:val="0021594C"/>
    <w:rsid w:val="00216470"/>
    <w:rsid w:val="002169E9"/>
    <w:rsid w:val="00216D4E"/>
    <w:rsid w:val="00217476"/>
    <w:rsid w:val="00217B26"/>
    <w:rsid w:val="0022263C"/>
    <w:rsid w:val="0022503C"/>
    <w:rsid w:val="00227ABE"/>
    <w:rsid w:val="002312F0"/>
    <w:rsid w:val="002326C7"/>
    <w:rsid w:val="002330E7"/>
    <w:rsid w:val="00233999"/>
    <w:rsid w:val="00235D4C"/>
    <w:rsid w:val="002368D0"/>
    <w:rsid w:val="0023721B"/>
    <w:rsid w:val="002372CE"/>
    <w:rsid w:val="00237DB0"/>
    <w:rsid w:val="00237DCE"/>
    <w:rsid w:val="00241B14"/>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3E52"/>
    <w:rsid w:val="00285FE5"/>
    <w:rsid w:val="0028657C"/>
    <w:rsid w:val="0028668A"/>
    <w:rsid w:val="002871F0"/>
    <w:rsid w:val="002874C3"/>
    <w:rsid w:val="00291001"/>
    <w:rsid w:val="00291472"/>
    <w:rsid w:val="00291473"/>
    <w:rsid w:val="00291E97"/>
    <w:rsid w:val="00291EB9"/>
    <w:rsid w:val="0029274F"/>
    <w:rsid w:val="0029283B"/>
    <w:rsid w:val="002929EB"/>
    <w:rsid w:val="0029310D"/>
    <w:rsid w:val="0029449F"/>
    <w:rsid w:val="00294D8B"/>
    <w:rsid w:val="00295250"/>
    <w:rsid w:val="00295287"/>
    <w:rsid w:val="002955AD"/>
    <w:rsid w:val="00295D10"/>
    <w:rsid w:val="00295F23"/>
    <w:rsid w:val="002965D6"/>
    <w:rsid w:val="00296DD0"/>
    <w:rsid w:val="002975C2"/>
    <w:rsid w:val="002A04B6"/>
    <w:rsid w:val="002A052F"/>
    <w:rsid w:val="002A12D8"/>
    <w:rsid w:val="002A15DF"/>
    <w:rsid w:val="002A1662"/>
    <w:rsid w:val="002A2230"/>
    <w:rsid w:val="002A2E37"/>
    <w:rsid w:val="002A34AF"/>
    <w:rsid w:val="002A3569"/>
    <w:rsid w:val="002A4593"/>
    <w:rsid w:val="002A4B89"/>
    <w:rsid w:val="002A5986"/>
    <w:rsid w:val="002A7FF2"/>
    <w:rsid w:val="002B041B"/>
    <w:rsid w:val="002B04D3"/>
    <w:rsid w:val="002B118C"/>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578F"/>
    <w:rsid w:val="002D6A8D"/>
    <w:rsid w:val="002D6D4C"/>
    <w:rsid w:val="002D77D6"/>
    <w:rsid w:val="002E1782"/>
    <w:rsid w:val="002E297B"/>
    <w:rsid w:val="002E2F73"/>
    <w:rsid w:val="002E3060"/>
    <w:rsid w:val="002E3B89"/>
    <w:rsid w:val="002E46B3"/>
    <w:rsid w:val="002E4FB1"/>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7A4"/>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6A29"/>
    <w:rsid w:val="00336CE3"/>
    <w:rsid w:val="003373AC"/>
    <w:rsid w:val="00337B34"/>
    <w:rsid w:val="0034175A"/>
    <w:rsid w:val="00342081"/>
    <w:rsid w:val="0034245A"/>
    <w:rsid w:val="003425B2"/>
    <w:rsid w:val="00342831"/>
    <w:rsid w:val="003433D5"/>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02F"/>
    <w:rsid w:val="00365301"/>
    <w:rsid w:val="00366B51"/>
    <w:rsid w:val="00366CD8"/>
    <w:rsid w:val="00367B14"/>
    <w:rsid w:val="003709E3"/>
    <w:rsid w:val="00371418"/>
    <w:rsid w:val="0037176A"/>
    <w:rsid w:val="00371904"/>
    <w:rsid w:val="003725EB"/>
    <w:rsid w:val="00374DB7"/>
    <w:rsid w:val="003759C3"/>
    <w:rsid w:val="00375A6A"/>
    <w:rsid w:val="00375C16"/>
    <w:rsid w:val="003776F5"/>
    <w:rsid w:val="00380390"/>
    <w:rsid w:val="00380BC5"/>
    <w:rsid w:val="00381574"/>
    <w:rsid w:val="00382212"/>
    <w:rsid w:val="0038244E"/>
    <w:rsid w:val="00382F61"/>
    <w:rsid w:val="00383FA6"/>
    <w:rsid w:val="00385A69"/>
    <w:rsid w:val="00387384"/>
    <w:rsid w:val="003878CE"/>
    <w:rsid w:val="00387C7D"/>
    <w:rsid w:val="00387D0B"/>
    <w:rsid w:val="00387D3A"/>
    <w:rsid w:val="0039052D"/>
    <w:rsid w:val="00390C60"/>
    <w:rsid w:val="00391223"/>
    <w:rsid w:val="00391CEE"/>
    <w:rsid w:val="00394871"/>
    <w:rsid w:val="00395152"/>
    <w:rsid w:val="0039591C"/>
    <w:rsid w:val="00397746"/>
    <w:rsid w:val="00397875"/>
    <w:rsid w:val="00397F9E"/>
    <w:rsid w:val="003A2340"/>
    <w:rsid w:val="003A3280"/>
    <w:rsid w:val="003A476C"/>
    <w:rsid w:val="003A48F7"/>
    <w:rsid w:val="003A4EFC"/>
    <w:rsid w:val="003A50EC"/>
    <w:rsid w:val="003A6C34"/>
    <w:rsid w:val="003A7365"/>
    <w:rsid w:val="003A7A02"/>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605"/>
    <w:rsid w:val="003E06AD"/>
    <w:rsid w:val="003E07F8"/>
    <w:rsid w:val="003E1CAD"/>
    <w:rsid w:val="003E277C"/>
    <w:rsid w:val="003E28E9"/>
    <w:rsid w:val="003E3219"/>
    <w:rsid w:val="003E38CC"/>
    <w:rsid w:val="003E3905"/>
    <w:rsid w:val="003E5EBB"/>
    <w:rsid w:val="003E76A4"/>
    <w:rsid w:val="003F20CF"/>
    <w:rsid w:val="003F37E0"/>
    <w:rsid w:val="003F403B"/>
    <w:rsid w:val="003F4510"/>
    <w:rsid w:val="003F4D08"/>
    <w:rsid w:val="003F5719"/>
    <w:rsid w:val="003F623C"/>
    <w:rsid w:val="003F6E3B"/>
    <w:rsid w:val="003F7D38"/>
    <w:rsid w:val="003F7DE3"/>
    <w:rsid w:val="004005BB"/>
    <w:rsid w:val="004007D0"/>
    <w:rsid w:val="00400A4E"/>
    <w:rsid w:val="00401000"/>
    <w:rsid w:val="0040210E"/>
    <w:rsid w:val="00403DA4"/>
    <w:rsid w:val="00404DE3"/>
    <w:rsid w:val="004072DC"/>
    <w:rsid w:val="0040745A"/>
    <w:rsid w:val="00410733"/>
    <w:rsid w:val="00411493"/>
    <w:rsid w:val="004116D2"/>
    <w:rsid w:val="00411F30"/>
    <w:rsid w:val="00412187"/>
    <w:rsid w:val="0041271A"/>
    <w:rsid w:val="00412EE5"/>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4AC5"/>
    <w:rsid w:val="00444DB5"/>
    <w:rsid w:val="00446378"/>
    <w:rsid w:val="00446798"/>
    <w:rsid w:val="004478C9"/>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19F0"/>
    <w:rsid w:val="00462287"/>
    <w:rsid w:val="00462455"/>
    <w:rsid w:val="00462573"/>
    <w:rsid w:val="004647A2"/>
    <w:rsid w:val="004661DD"/>
    <w:rsid w:val="00466D20"/>
    <w:rsid w:val="00466D2D"/>
    <w:rsid w:val="00467403"/>
    <w:rsid w:val="004702EE"/>
    <w:rsid w:val="00471C8A"/>
    <w:rsid w:val="00471FF6"/>
    <w:rsid w:val="0047337A"/>
    <w:rsid w:val="00473B15"/>
    <w:rsid w:val="00473C0B"/>
    <w:rsid w:val="0047468A"/>
    <w:rsid w:val="00474D77"/>
    <w:rsid w:val="00480AC8"/>
    <w:rsid w:val="00480BD0"/>
    <w:rsid w:val="00481EB0"/>
    <w:rsid w:val="004826F5"/>
    <w:rsid w:val="00482A20"/>
    <w:rsid w:val="00482E23"/>
    <w:rsid w:val="0048403E"/>
    <w:rsid w:val="00484928"/>
    <w:rsid w:val="00484B1E"/>
    <w:rsid w:val="00484B29"/>
    <w:rsid w:val="00484DF7"/>
    <w:rsid w:val="004857E9"/>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6E3"/>
    <w:rsid w:val="0050328D"/>
    <w:rsid w:val="005034C7"/>
    <w:rsid w:val="0050568E"/>
    <w:rsid w:val="005065E5"/>
    <w:rsid w:val="005074C5"/>
    <w:rsid w:val="00507ABE"/>
    <w:rsid w:val="00511FA6"/>
    <w:rsid w:val="005124BD"/>
    <w:rsid w:val="0051332A"/>
    <w:rsid w:val="00513330"/>
    <w:rsid w:val="0051348A"/>
    <w:rsid w:val="00514AC6"/>
    <w:rsid w:val="00514EF5"/>
    <w:rsid w:val="005152A9"/>
    <w:rsid w:val="00515334"/>
    <w:rsid w:val="00515E66"/>
    <w:rsid w:val="00515FF6"/>
    <w:rsid w:val="00516246"/>
    <w:rsid w:val="00516A85"/>
    <w:rsid w:val="00516AB6"/>
    <w:rsid w:val="00516F63"/>
    <w:rsid w:val="0051746C"/>
    <w:rsid w:val="005177BD"/>
    <w:rsid w:val="0052062E"/>
    <w:rsid w:val="00521586"/>
    <w:rsid w:val="005219A3"/>
    <w:rsid w:val="00521C30"/>
    <w:rsid w:val="00521F70"/>
    <w:rsid w:val="0052210B"/>
    <w:rsid w:val="00522160"/>
    <w:rsid w:val="005238A1"/>
    <w:rsid w:val="0052538D"/>
    <w:rsid w:val="00525658"/>
    <w:rsid w:val="0052599D"/>
    <w:rsid w:val="00525EAA"/>
    <w:rsid w:val="00526439"/>
    <w:rsid w:val="00527DC0"/>
    <w:rsid w:val="00527F4C"/>
    <w:rsid w:val="00530663"/>
    <w:rsid w:val="00530795"/>
    <w:rsid w:val="00532A19"/>
    <w:rsid w:val="00532D4F"/>
    <w:rsid w:val="005350EA"/>
    <w:rsid w:val="00535465"/>
    <w:rsid w:val="00535A48"/>
    <w:rsid w:val="0053608E"/>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5FD0"/>
    <w:rsid w:val="005670A5"/>
    <w:rsid w:val="0056724F"/>
    <w:rsid w:val="005708E7"/>
    <w:rsid w:val="00570E81"/>
    <w:rsid w:val="00572414"/>
    <w:rsid w:val="0057293B"/>
    <w:rsid w:val="00573ABA"/>
    <w:rsid w:val="005748E7"/>
    <w:rsid w:val="005771A1"/>
    <w:rsid w:val="00577AD2"/>
    <w:rsid w:val="00577E23"/>
    <w:rsid w:val="00580811"/>
    <w:rsid w:val="00580B8D"/>
    <w:rsid w:val="00580C8C"/>
    <w:rsid w:val="00581974"/>
    <w:rsid w:val="005820BB"/>
    <w:rsid w:val="00583507"/>
    <w:rsid w:val="00584823"/>
    <w:rsid w:val="005858CC"/>
    <w:rsid w:val="00586648"/>
    <w:rsid w:val="005866DD"/>
    <w:rsid w:val="00586A65"/>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BF3"/>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5BC2"/>
    <w:rsid w:val="005C6228"/>
    <w:rsid w:val="005C7B38"/>
    <w:rsid w:val="005D00C3"/>
    <w:rsid w:val="005D10A1"/>
    <w:rsid w:val="005D13B0"/>
    <w:rsid w:val="005D241F"/>
    <w:rsid w:val="005D2A29"/>
    <w:rsid w:val="005D3752"/>
    <w:rsid w:val="005D3757"/>
    <w:rsid w:val="005D4696"/>
    <w:rsid w:val="005D4B2A"/>
    <w:rsid w:val="005D4CA1"/>
    <w:rsid w:val="005D4D60"/>
    <w:rsid w:val="005D61C7"/>
    <w:rsid w:val="005D733C"/>
    <w:rsid w:val="005D7C3D"/>
    <w:rsid w:val="005E022D"/>
    <w:rsid w:val="005E1561"/>
    <w:rsid w:val="005E169A"/>
    <w:rsid w:val="005E1900"/>
    <w:rsid w:val="005E318A"/>
    <w:rsid w:val="005E3787"/>
    <w:rsid w:val="005E4559"/>
    <w:rsid w:val="005E4B1F"/>
    <w:rsid w:val="005E5BC2"/>
    <w:rsid w:val="005E6227"/>
    <w:rsid w:val="005E665A"/>
    <w:rsid w:val="005E73D0"/>
    <w:rsid w:val="005F077A"/>
    <w:rsid w:val="005F1244"/>
    <w:rsid w:val="005F237D"/>
    <w:rsid w:val="005F27EA"/>
    <w:rsid w:val="005F40BE"/>
    <w:rsid w:val="005F421F"/>
    <w:rsid w:val="005F6055"/>
    <w:rsid w:val="005F66B2"/>
    <w:rsid w:val="005F72AB"/>
    <w:rsid w:val="005F790B"/>
    <w:rsid w:val="006002F4"/>
    <w:rsid w:val="00600F3B"/>
    <w:rsid w:val="00601141"/>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2206"/>
    <w:rsid w:val="0065281B"/>
    <w:rsid w:val="00652BEB"/>
    <w:rsid w:val="00653209"/>
    <w:rsid w:val="00653C0F"/>
    <w:rsid w:val="00653D65"/>
    <w:rsid w:val="00655BC9"/>
    <w:rsid w:val="00655C50"/>
    <w:rsid w:val="00657CF4"/>
    <w:rsid w:val="00660C6F"/>
    <w:rsid w:val="00660D60"/>
    <w:rsid w:val="00660DCA"/>
    <w:rsid w:val="00663234"/>
    <w:rsid w:val="0066369C"/>
    <w:rsid w:val="00665645"/>
    <w:rsid w:val="00667BF4"/>
    <w:rsid w:val="00670A72"/>
    <w:rsid w:val="00670FAD"/>
    <w:rsid w:val="0067592D"/>
    <w:rsid w:val="00676A92"/>
    <w:rsid w:val="00677C27"/>
    <w:rsid w:val="006802A2"/>
    <w:rsid w:val="00681567"/>
    <w:rsid w:val="0068164A"/>
    <w:rsid w:val="006817AF"/>
    <w:rsid w:val="00681B10"/>
    <w:rsid w:val="0068315E"/>
    <w:rsid w:val="00683585"/>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5B99"/>
    <w:rsid w:val="006D63BE"/>
    <w:rsid w:val="006D748D"/>
    <w:rsid w:val="006D7896"/>
    <w:rsid w:val="006D7F0A"/>
    <w:rsid w:val="006E0886"/>
    <w:rsid w:val="006E0BE9"/>
    <w:rsid w:val="006E0F1C"/>
    <w:rsid w:val="006E0F2B"/>
    <w:rsid w:val="006E1305"/>
    <w:rsid w:val="006E1451"/>
    <w:rsid w:val="006E1728"/>
    <w:rsid w:val="006E1DB8"/>
    <w:rsid w:val="006E2F82"/>
    <w:rsid w:val="006E3CE3"/>
    <w:rsid w:val="006F0A77"/>
    <w:rsid w:val="006F1307"/>
    <w:rsid w:val="006F19B7"/>
    <w:rsid w:val="006F2966"/>
    <w:rsid w:val="006F2C47"/>
    <w:rsid w:val="006F2CC5"/>
    <w:rsid w:val="006F38F8"/>
    <w:rsid w:val="006F5417"/>
    <w:rsid w:val="006F5C5D"/>
    <w:rsid w:val="006F755C"/>
    <w:rsid w:val="006F7E5D"/>
    <w:rsid w:val="00700765"/>
    <w:rsid w:val="0070199D"/>
    <w:rsid w:val="00701DE4"/>
    <w:rsid w:val="00701F76"/>
    <w:rsid w:val="007021F0"/>
    <w:rsid w:val="007026A3"/>
    <w:rsid w:val="0070355A"/>
    <w:rsid w:val="007036E9"/>
    <w:rsid w:val="007047CF"/>
    <w:rsid w:val="007048E5"/>
    <w:rsid w:val="00706643"/>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6BF1"/>
    <w:rsid w:val="00736C8F"/>
    <w:rsid w:val="0073791D"/>
    <w:rsid w:val="00737DE8"/>
    <w:rsid w:val="00740516"/>
    <w:rsid w:val="00741BA7"/>
    <w:rsid w:val="00742208"/>
    <w:rsid w:val="007433DD"/>
    <w:rsid w:val="0074377A"/>
    <w:rsid w:val="00743D66"/>
    <w:rsid w:val="0074511F"/>
    <w:rsid w:val="00746115"/>
    <w:rsid w:val="007478AE"/>
    <w:rsid w:val="00747981"/>
    <w:rsid w:val="00750953"/>
    <w:rsid w:val="0075146D"/>
    <w:rsid w:val="00751EB4"/>
    <w:rsid w:val="0075259F"/>
    <w:rsid w:val="0075394C"/>
    <w:rsid w:val="00753A10"/>
    <w:rsid w:val="00754644"/>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4CE"/>
    <w:rsid w:val="00792876"/>
    <w:rsid w:val="007934E9"/>
    <w:rsid w:val="00794440"/>
    <w:rsid w:val="00794731"/>
    <w:rsid w:val="007947B7"/>
    <w:rsid w:val="00794C41"/>
    <w:rsid w:val="00796305"/>
    <w:rsid w:val="0079638C"/>
    <w:rsid w:val="00796671"/>
    <w:rsid w:val="00796ACC"/>
    <w:rsid w:val="00797669"/>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854"/>
    <w:rsid w:val="007B7726"/>
    <w:rsid w:val="007B7F14"/>
    <w:rsid w:val="007C07F3"/>
    <w:rsid w:val="007C0913"/>
    <w:rsid w:val="007C0D82"/>
    <w:rsid w:val="007C16C1"/>
    <w:rsid w:val="007C2093"/>
    <w:rsid w:val="007C31DC"/>
    <w:rsid w:val="007C39E6"/>
    <w:rsid w:val="007C5632"/>
    <w:rsid w:val="007C5B70"/>
    <w:rsid w:val="007C633B"/>
    <w:rsid w:val="007C651E"/>
    <w:rsid w:val="007C7548"/>
    <w:rsid w:val="007C7AB4"/>
    <w:rsid w:val="007D0D9F"/>
    <w:rsid w:val="007D1FC2"/>
    <w:rsid w:val="007D2B07"/>
    <w:rsid w:val="007D398D"/>
    <w:rsid w:val="007D57B8"/>
    <w:rsid w:val="007D59C4"/>
    <w:rsid w:val="007D787D"/>
    <w:rsid w:val="007D7F2B"/>
    <w:rsid w:val="007E03DC"/>
    <w:rsid w:val="007E0642"/>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E47"/>
    <w:rsid w:val="008468A0"/>
    <w:rsid w:val="00846D09"/>
    <w:rsid w:val="00846D53"/>
    <w:rsid w:val="008471D0"/>
    <w:rsid w:val="00847595"/>
    <w:rsid w:val="00847E5A"/>
    <w:rsid w:val="00850124"/>
    <w:rsid w:val="008509A4"/>
    <w:rsid w:val="00850EC2"/>
    <w:rsid w:val="008518BD"/>
    <w:rsid w:val="00851A36"/>
    <w:rsid w:val="00852AE4"/>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4248"/>
    <w:rsid w:val="0086578F"/>
    <w:rsid w:val="00865E23"/>
    <w:rsid w:val="00867827"/>
    <w:rsid w:val="00870B29"/>
    <w:rsid w:val="0087320E"/>
    <w:rsid w:val="00873F91"/>
    <w:rsid w:val="0087470D"/>
    <w:rsid w:val="0087509E"/>
    <w:rsid w:val="008760F0"/>
    <w:rsid w:val="0087630B"/>
    <w:rsid w:val="00877E1E"/>
    <w:rsid w:val="008800DF"/>
    <w:rsid w:val="008809E6"/>
    <w:rsid w:val="008810AE"/>
    <w:rsid w:val="0088133D"/>
    <w:rsid w:val="00881A19"/>
    <w:rsid w:val="008823A4"/>
    <w:rsid w:val="00882631"/>
    <w:rsid w:val="00883B61"/>
    <w:rsid w:val="00884F24"/>
    <w:rsid w:val="00885DCA"/>
    <w:rsid w:val="00886537"/>
    <w:rsid w:val="00886F70"/>
    <w:rsid w:val="00887AC5"/>
    <w:rsid w:val="008910A5"/>
    <w:rsid w:val="00891D20"/>
    <w:rsid w:val="00892910"/>
    <w:rsid w:val="0089371B"/>
    <w:rsid w:val="0089378B"/>
    <w:rsid w:val="0089407F"/>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51D"/>
    <w:rsid w:val="008B2DE6"/>
    <w:rsid w:val="008B3673"/>
    <w:rsid w:val="008B47D3"/>
    <w:rsid w:val="008B4A18"/>
    <w:rsid w:val="008B600D"/>
    <w:rsid w:val="008B654E"/>
    <w:rsid w:val="008B683B"/>
    <w:rsid w:val="008B72D9"/>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62F"/>
    <w:rsid w:val="008D5BA8"/>
    <w:rsid w:val="008D5C91"/>
    <w:rsid w:val="008D71BB"/>
    <w:rsid w:val="008E02A4"/>
    <w:rsid w:val="008E02FD"/>
    <w:rsid w:val="008E05EA"/>
    <w:rsid w:val="008E1E65"/>
    <w:rsid w:val="008E2310"/>
    <w:rsid w:val="008E3498"/>
    <w:rsid w:val="008E356B"/>
    <w:rsid w:val="008E4B28"/>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38A9"/>
    <w:rsid w:val="009039DF"/>
    <w:rsid w:val="00904253"/>
    <w:rsid w:val="0090473A"/>
    <w:rsid w:val="0090522C"/>
    <w:rsid w:val="0090545D"/>
    <w:rsid w:val="00906391"/>
    <w:rsid w:val="00906748"/>
    <w:rsid w:val="00906A14"/>
    <w:rsid w:val="00906E72"/>
    <w:rsid w:val="009072CD"/>
    <w:rsid w:val="009077A7"/>
    <w:rsid w:val="00911618"/>
    <w:rsid w:val="00912868"/>
    <w:rsid w:val="00913286"/>
    <w:rsid w:val="00914B21"/>
    <w:rsid w:val="00915577"/>
    <w:rsid w:val="00916058"/>
    <w:rsid w:val="0091622C"/>
    <w:rsid w:val="00917A66"/>
    <w:rsid w:val="00917BAB"/>
    <w:rsid w:val="00920029"/>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51"/>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415B"/>
    <w:rsid w:val="00945271"/>
    <w:rsid w:val="009466DC"/>
    <w:rsid w:val="00946B84"/>
    <w:rsid w:val="00946E37"/>
    <w:rsid w:val="009472B8"/>
    <w:rsid w:val="00947730"/>
    <w:rsid w:val="00947E26"/>
    <w:rsid w:val="0095017A"/>
    <w:rsid w:val="00950C50"/>
    <w:rsid w:val="00951E00"/>
    <w:rsid w:val="00952622"/>
    <w:rsid w:val="00952FA2"/>
    <w:rsid w:val="00953564"/>
    <w:rsid w:val="00953C08"/>
    <w:rsid w:val="00953CB4"/>
    <w:rsid w:val="00954582"/>
    <w:rsid w:val="009550CB"/>
    <w:rsid w:val="00955252"/>
    <w:rsid w:val="009558CE"/>
    <w:rsid w:val="00956420"/>
    <w:rsid w:val="00957A29"/>
    <w:rsid w:val="0096198E"/>
    <w:rsid w:val="009627FE"/>
    <w:rsid w:val="00962E30"/>
    <w:rsid w:val="00965248"/>
    <w:rsid w:val="009656B3"/>
    <w:rsid w:val="00965F45"/>
    <w:rsid w:val="00966095"/>
    <w:rsid w:val="00966481"/>
    <w:rsid w:val="00966646"/>
    <w:rsid w:val="0097123A"/>
    <w:rsid w:val="00972880"/>
    <w:rsid w:val="009735B8"/>
    <w:rsid w:val="00974799"/>
    <w:rsid w:val="009751BB"/>
    <w:rsid w:val="009775D9"/>
    <w:rsid w:val="00977A3E"/>
    <w:rsid w:val="00980324"/>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A06A2"/>
    <w:rsid w:val="009A076E"/>
    <w:rsid w:val="009A1F29"/>
    <w:rsid w:val="009A2587"/>
    <w:rsid w:val="009A38BA"/>
    <w:rsid w:val="009A41D9"/>
    <w:rsid w:val="009A48A6"/>
    <w:rsid w:val="009A5B4F"/>
    <w:rsid w:val="009A707A"/>
    <w:rsid w:val="009A7A6E"/>
    <w:rsid w:val="009B0040"/>
    <w:rsid w:val="009B01E5"/>
    <w:rsid w:val="009B1404"/>
    <w:rsid w:val="009B251E"/>
    <w:rsid w:val="009B35C5"/>
    <w:rsid w:val="009B35D9"/>
    <w:rsid w:val="009B4619"/>
    <w:rsid w:val="009B4B90"/>
    <w:rsid w:val="009B51A6"/>
    <w:rsid w:val="009B525D"/>
    <w:rsid w:val="009B57E3"/>
    <w:rsid w:val="009B628A"/>
    <w:rsid w:val="009C1E8E"/>
    <w:rsid w:val="009C274B"/>
    <w:rsid w:val="009C2A8E"/>
    <w:rsid w:val="009C3DEF"/>
    <w:rsid w:val="009C43F7"/>
    <w:rsid w:val="009C5163"/>
    <w:rsid w:val="009C6C04"/>
    <w:rsid w:val="009D2B7D"/>
    <w:rsid w:val="009D3332"/>
    <w:rsid w:val="009D41C5"/>
    <w:rsid w:val="009D4BFD"/>
    <w:rsid w:val="009D4CA4"/>
    <w:rsid w:val="009D5A07"/>
    <w:rsid w:val="009D5E3D"/>
    <w:rsid w:val="009D6BBB"/>
    <w:rsid w:val="009D7957"/>
    <w:rsid w:val="009E2D32"/>
    <w:rsid w:val="009E4020"/>
    <w:rsid w:val="009E44DE"/>
    <w:rsid w:val="009E47D4"/>
    <w:rsid w:val="009E5217"/>
    <w:rsid w:val="009E602A"/>
    <w:rsid w:val="009E6074"/>
    <w:rsid w:val="009E76E2"/>
    <w:rsid w:val="009E7CE7"/>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1328"/>
    <w:rsid w:val="00A223CC"/>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6072"/>
    <w:rsid w:val="00A36416"/>
    <w:rsid w:val="00A368AB"/>
    <w:rsid w:val="00A36A1A"/>
    <w:rsid w:val="00A36A51"/>
    <w:rsid w:val="00A36D07"/>
    <w:rsid w:val="00A37248"/>
    <w:rsid w:val="00A41E86"/>
    <w:rsid w:val="00A4339A"/>
    <w:rsid w:val="00A433B0"/>
    <w:rsid w:val="00A463AC"/>
    <w:rsid w:val="00A4676E"/>
    <w:rsid w:val="00A46A68"/>
    <w:rsid w:val="00A4796C"/>
    <w:rsid w:val="00A47ECA"/>
    <w:rsid w:val="00A47FB0"/>
    <w:rsid w:val="00A50663"/>
    <w:rsid w:val="00A51FA9"/>
    <w:rsid w:val="00A522D1"/>
    <w:rsid w:val="00A53C2E"/>
    <w:rsid w:val="00A5452C"/>
    <w:rsid w:val="00A547EC"/>
    <w:rsid w:val="00A554D1"/>
    <w:rsid w:val="00A5564B"/>
    <w:rsid w:val="00A607F5"/>
    <w:rsid w:val="00A612B4"/>
    <w:rsid w:val="00A632F4"/>
    <w:rsid w:val="00A64127"/>
    <w:rsid w:val="00A64AF7"/>
    <w:rsid w:val="00A7041C"/>
    <w:rsid w:val="00A70A2F"/>
    <w:rsid w:val="00A70BC0"/>
    <w:rsid w:val="00A71039"/>
    <w:rsid w:val="00A710D8"/>
    <w:rsid w:val="00A729CD"/>
    <w:rsid w:val="00A7318D"/>
    <w:rsid w:val="00A742A4"/>
    <w:rsid w:val="00A742BF"/>
    <w:rsid w:val="00A74347"/>
    <w:rsid w:val="00A750A1"/>
    <w:rsid w:val="00A75C99"/>
    <w:rsid w:val="00A77397"/>
    <w:rsid w:val="00A777D0"/>
    <w:rsid w:val="00A778B9"/>
    <w:rsid w:val="00A813A3"/>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3F1F"/>
    <w:rsid w:val="00AE403F"/>
    <w:rsid w:val="00AE4C2F"/>
    <w:rsid w:val="00AE7445"/>
    <w:rsid w:val="00AE7D38"/>
    <w:rsid w:val="00AF0ABD"/>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696"/>
    <w:rsid w:val="00B476BC"/>
    <w:rsid w:val="00B477CF"/>
    <w:rsid w:val="00B47DF1"/>
    <w:rsid w:val="00B47FF4"/>
    <w:rsid w:val="00B519E7"/>
    <w:rsid w:val="00B51ADD"/>
    <w:rsid w:val="00B51C61"/>
    <w:rsid w:val="00B51D7F"/>
    <w:rsid w:val="00B5311D"/>
    <w:rsid w:val="00B537B9"/>
    <w:rsid w:val="00B537D4"/>
    <w:rsid w:val="00B545FE"/>
    <w:rsid w:val="00B54B9C"/>
    <w:rsid w:val="00B54F39"/>
    <w:rsid w:val="00B5588A"/>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31D3"/>
    <w:rsid w:val="00B73C38"/>
    <w:rsid w:val="00B73E50"/>
    <w:rsid w:val="00B74453"/>
    <w:rsid w:val="00B75024"/>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A2A"/>
    <w:rsid w:val="00BA0F97"/>
    <w:rsid w:val="00BA20A8"/>
    <w:rsid w:val="00BA3298"/>
    <w:rsid w:val="00BA360B"/>
    <w:rsid w:val="00BA3970"/>
    <w:rsid w:val="00BA3CCC"/>
    <w:rsid w:val="00BA4F6C"/>
    <w:rsid w:val="00BA729F"/>
    <w:rsid w:val="00BB03B4"/>
    <w:rsid w:val="00BB059B"/>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131"/>
    <w:rsid w:val="00C07847"/>
    <w:rsid w:val="00C078A2"/>
    <w:rsid w:val="00C07BF6"/>
    <w:rsid w:val="00C109C3"/>
    <w:rsid w:val="00C118C6"/>
    <w:rsid w:val="00C119AB"/>
    <w:rsid w:val="00C11D41"/>
    <w:rsid w:val="00C13D49"/>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671"/>
    <w:rsid w:val="00C249E6"/>
    <w:rsid w:val="00C25922"/>
    <w:rsid w:val="00C263A8"/>
    <w:rsid w:val="00C306CC"/>
    <w:rsid w:val="00C32291"/>
    <w:rsid w:val="00C334B5"/>
    <w:rsid w:val="00C334FA"/>
    <w:rsid w:val="00C33A93"/>
    <w:rsid w:val="00C33ACB"/>
    <w:rsid w:val="00C33E8D"/>
    <w:rsid w:val="00C340E5"/>
    <w:rsid w:val="00C3468D"/>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5F4"/>
    <w:rsid w:val="00C73DB0"/>
    <w:rsid w:val="00C76778"/>
    <w:rsid w:val="00C770AA"/>
    <w:rsid w:val="00C776D2"/>
    <w:rsid w:val="00C80271"/>
    <w:rsid w:val="00C804EC"/>
    <w:rsid w:val="00C80759"/>
    <w:rsid w:val="00C807D3"/>
    <w:rsid w:val="00C814B8"/>
    <w:rsid w:val="00C827AE"/>
    <w:rsid w:val="00C84A05"/>
    <w:rsid w:val="00C84C03"/>
    <w:rsid w:val="00C84D6B"/>
    <w:rsid w:val="00C8638B"/>
    <w:rsid w:val="00C86E80"/>
    <w:rsid w:val="00C87A51"/>
    <w:rsid w:val="00C90E11"/>
    <w:rsid w:val="00C912AB"/>
    <w:rsid w:val="00C91DDA"/>
    <w:rsid w:val="00C91E10"/>
    <w:rsid w:val="00C96CF5"/>
    <w:rsid w:val="00CA1AEC"/>
    <w:rsid w:val="00CA1E72"/>
    <w:rsid w:val="00CA261F"/>
    <w:rsid w:val="00CA407B"/>
    <w:rsid w:val="00CA5F84"/>
    <w:rsid w:val="00CA64DE"/>
    <w:rsid w:val="00CA68E0"/>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74"/>
    <w:rsid w:val="00CC5C80"/>
    <w:rsid w:val="00CD089A"/>
    <w:rsid w:val="00CD1214"/>
    <w:rsid w:val="00CD13AA"/>
    <w:rsid w:val="00CD15EC"/>
    <w:rsid w:val="00CD1B37"/>
    <w:rsid w:val="00CD1D81"/>
    <w:rsid w:val="00CD3365"/>
    <w:rsid w:val="00CD35FF"/>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36E"/>
    <w:rsid w:val="00CF5FD3"/>
    <w:rsid w:val="00CF67F7"/>
    <w:rsid w:val="00CF698F"/>
    <w:rsid w:val="00CF6CB1"/>
    <w:rsid w:val="00CF7513"/>
    <w:rsid w:val="00CF77D5"/>
    <w:rsid w:val="00CF7D7C"/>
    <w:rsid w:val="00D003FC"/>
    <w:rsid w:val="00D01314"/>
    <w:rsid w:val="00D02455"/>
    <w:rsid w:val="00D02792"/>
    <w:rsid w:val="00D028A8"/>
    <w:rsid w:val="00D02DA5"/>
    <w:rsid w:val="00D03428"/>
    <w:rsid w:val="00D03441"/>
    <w:rsid w:val="00D03EB1"/>
    <w:rsid w:val="00D053B4"/>
    <w:rsid w:val="00D055D4"/>
    <w:rsid w:val="00D0654D"/>
    <w:rsid w:val="00D06676"/>
    <w:rsid w:val="00D06BEF"/>
    <w:rsid w:val="00D10FB0"/>
    <w:rsid w:val="00D1153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28A7"/>
    <w:rsid w:val="00D32AE3"/>
    <w:rsid w:val="00D33C87"/>
    <w:rsid w:val="00D33EBF"/>
    <w:rsid w:val="00D342D0"/>
    <w:rsid w:val="00D34703"/>
    <w:rsid w:val="00D3687D"/>
    <w:rsid w:val="00D3735D"/>
    <w:rsid w:val="00D37C0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71F3"/>
    <w:rsid w:val="00D8003B"/>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8A9"/>
    <w:rsid w:val="00DB0FA4"/>
    <w:rsid w:val="00DB3AF6"/>
    <w:rsid w:val="00DB42F1"/>
    <w:rsid w:val="00DB47DE"/>
    <w:rsid w:val="00DB52AC"/>
    <w:rsid w:val="00DB5AAA"/>
    <w:rsid w:val="00DB6044"/>
    <w:rsid w:val="00DC17AE"/>
    <w:rsid w:val="00DC1991"/>
    <w:rsid w:val="00DC1E60"/>
    <w:rsid w:val="00DC3308"/>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14F2"/>
    <w:rsid w:val="00DF386C"/>
    <w:rsid w:val="00DF3FA5"/>
    <w:rsid w:val="00DF4E81"/>
    <w:rsid w:val="00DF698B"/>
    <w:rsid w:val="00DF7271"/>
    <w:rsid w:val="00E00CAF"/>
    <w:rsid w:val="00E02EEA"/>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C11"/>
    <w:rsid w:val="00E23F5E"/>
    <w:rsid w:val="00E23FDF"/>
    <w:rsid w:val="00E2467E"/>
    <w:rsid w:val="00E26476"/>
    <w:rsid w:val="00E27B91"/>
    <w:rsid w:val="00E30C6F"/>
    <w:rsid w:val="00E3132C"/>
    <w:rsid w:val="00E31F34"/>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4158"/>
    <w:rsid w:val="00E44A9E"/>
    <w:rsid w:val="00E454CF"/>
    <w:rsid w:val="00E46F73"/>
    <w:rsid w:val="00E46FC2"/>
    <w:rsid w:val="00E472DB"/>
    <w:rsid w:val="00E474AA"/>
    <w:rsid w:val="00E47594"/>
    <w:rsid w:val="00E50956"/>
    <w:rsid w:val="00E528D8"/>
    <w:rsid w:val="00E53DB1"/>
    <w:rsid w:val="00E54A96"/>
    <w:rsid w:val="00E55001"/>
    <w:rsid w:val="00E571C3"/>
    <w:rsid w:val="00E5773F"/>
    <w:rsid w:val="00E6047F"/>
    <w:rsid w:val="00E60D8E"/>
    <w:rsid w:val="00E6247A"/>
    <w:rsid w:val="00E62F10"/>
    <w:rsid w:val="00E63A2D"/>
    <w:rsid w:val="00E652D6"/>
    <w:rsid w:val="00E657FC"/>
    <w:rsid w:val="00E662D8"/>
    <w:rsid w:val="00E66D50"/>
    <w:rsid w:val="00E6782C"/>
    <w:rsid w:val="00E67D29"/>
    <w:rsid w:val="00E67EB6"/>
    <w:rsid w:val="00E715E7"/>
    <w:rsid w:val="00E72FDF"/>
    <w:rsid w:val="00E73770"/>
    <w:rsid w:val="00E741BA"/>
    <w:rsid w:val="00E74C94"/>
    <w:rsid w:val="00E74EFE"/>
    <w:rsid w:val="00E75450"/>
    <w:rsid w:val="00E7750C"/>
    <w:rsid w:val="00E777E6"/>
    <w:rsid w:val="00E77CDC"/>
    <w:rsid w:val="00E80C4A"/>
    <w:rsid w:val="00E824B6"/>
    <w:rsid w:val="00E82719"/>
    <w:rsid w:val="00E82A5D"/>
    <w:rsid w:val="00E82D3F"/>
    <w:rsid w:val="00E837A0"/>
    <w:rsid w:val="00E83BEC"/>
    <w:rsid w:val="00E83F8D"/>
    <w:rsid w:val="00E84728"/>
    <w:rsid w:val="00E847CD"/>
    <w:rsid w:val="00E84B6C"/>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6AFF"/>
    <w:rsid w:val="00EA72AE"/>
    <w:rsid w:val="00EA7AC5"/>
    <w:rsid w:val="00EB0C10"/>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139"/>
    <w:rsid w:val="00EE53A7"/>
    <w:rsid w:val="00EF0A46"/>
    <w:rsid w:val="00EF0BA6"/>
    <w:rsid w:val="00EF14C1"/>
    <w:rsid w:val="00EF1859"/>
    <w:rsid w:val="00EF1AD4"/>
    <w:rsid w:val="00EF3AC9"/>
    <w:rsid w:val="00EF40B4"/>
    <w:rsid w:val="00EF72EE"/>
    <w:rsid w:val="00F004D8"/>
    <w:rsid w:val="00F006A5"/>
    <w:rsid w:val="00F0123B"/>
    <w:rsid w:val="00F03514"/>
    <w:rsid w:val="00F0365F"/>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4EE8"/>
    <w:rsid w:val="00F55407"/>
    <w:rsid w:val="00F554DC"/>
    <w:rsid w:val="00F5579A"/>
    <w:rsid w:val="00F55FA5"/>
    <w:rsid w:val="00F56A01"/>
    <w:rsid w:val="00F57385"/>
    <w:rsid w:val="00F57537"/>
    <w:rsid w:val="00F57B6A"/>
    <w:rsid w:val="00F601F5"/>
    <w:rsid w:val="00F62FF2"/>
    <w:rsid w:val="00F6412E"/>
    <w:rsid w:val="00F648D6"/>
    <w:rsid w:val="00F65CA1"/>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41E8"/>
    <w:rsid w:val="00F85220"/>
    <w:rsid w:val="00F8590F"/>
    <w:rsid w:val="00F85CEB"/>
    <w:rsid w:val="00F9089E"/>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B74"/>
    <w:rsid w:val="00FD0C3D"/>
    <w:rsid w:val="00FD0CE6"/>
    <w:rsid w:val="00FD0D32"/>
    <w:rsid w:val="00FD190D"/>
    <w:rsid w:val="00FD1A90"/>
    <w:rsid w:val="00FD33B1"/>
    <w:rsid w:val="00FD34B3"/>
    <w:rsid w:val="00FD4D44"/>
    <w:rsid w:val="00FD4FB3"/>
    <w:rsid w:val="00FE1788"/>
    <w:rsid w:val="00FE28F6"/>
    <w:rsid w:val="00FE3035"/>
    <w:rsid w:val="00FE39FF"/>
    <w:rsid w:val="00FE50F2"/>
    <w:rsid w:val="00FE5642"/>
    <w:rsid w:val="00FE65F9"/>
    <w:rsid w:val="00FE6958"/>
    <w:rsid w:val="00FE74A5"/>
    <w:rsid w:val="00FE74AA"/>
    <w:rsid w:val="00FE789F"/>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8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D957-90F9-4161-8F10-24138C0B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7</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Northern Territory Government 2016 G45</vt:lpstr>
    </vt:vector>
  </TitlesOfParts>
  <Company>NTG</Company>
  <LinksUpToDate>false</LinksUpToDate>
  <CharactersWithSpaces>5762</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G45</dc:title>
  <dc:creator>Northern Territory Government</dc:creator>
  <cp:lastModifiedBy>mahec</cp:lastModifiedBy>
  <cp:revision>13</cp:revision>
  <cp:lastPrinted>2016-11-08T22:31:00Z</cp:lastPrinted>
  <dcterms:created xsi:type="dcterms:W3CDTF">2016-11-01T22:40:00Z</dcterms:created>
  <dcterms:modified xsi:type="dcterms:W3CDTF">2016-11-08T22:32:00Z</dcterms:modified>
</cp:coreProperties>
</file>