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54BD" w14:textId="6D4B9A58" w:rsidR="00D61FD1" w:rsidRDefault="00147C55" w:rsidP="00D61FD1">
      <w:pPr>
        <w:pStyle w:val="Heading1"/>
        <w:rPr>
          <w:lang w:eastAsia="en-AU"/>
        </w:rPr>
      </w:pPr>
      <w:bookmarkStart w:id="0" w:name="_GoBack"/>
      <w:bookmarkEnd w:id="0"/>
      <w:r>
        <w:rPr>
          <w:lang w:eastAsia="en-AU"/>
        </w:rPr>
        <w:t xml:space="preserve">Definition of a </w:t>
      </w:r>
      <w:r w:rsidR="00711A8F">
        <w:rPr>
          <w:lang w:eastAsia="en-AU"/>
        </w:rPr>
        <w:t>C</w:t>
      </w:r>
      <w:r>
        <w:rPr>
          <w:lang w:eastAsia="en-AU"/>
        </w:rPr>
        <w:t>aveat</w:t>
      </w:r>
    </w:p>
    <w:p w14:paraId="5C342F9A" w14:textId="77777777" w:rsidR="00147C55" w:rsidRPr="00C10BA2" w:rsidRDefault="00147C55" w:rsidP="00147C55">
      <w:pPr>
        <w:rPr>
          <w:rFonts w:cs="Arial"/>
        </w:rPr>
      </w:pPr>
      <w:r w:rsidRPr="00C10BA2">
        <w:rPr>
          <w:rFonts w:cs="Arial"/>
        </w:rPr>
        <w:t xml:space="preserve">A caveat </w:t>
      </w:r>
      <w:proofErr w:type="gramStart"/>
      <w:r w:rsidRPr="00C10BA2">
        <w:rPr>
          <w:rFonts w:cs="Arial"/>
        </w:rPr>
        <w:t>is defined</w:t>
      </w:r>
      <w:proofErr w:type="gramEnd"/>
      <w:r w:rsidRPr="00C10BA2">
        <w:rPr>
          <w:rFonts w:cs="Arial"/>
        </w:rPr>
        <w:t xml:space="preserve"> as a warning and is designed to act as a notification tool only. A caveat will not prevent further lodgement of dealings.</w:t>
      </w:r>
    </w:p>
    <w:p w14:paraId="3CDF8B5A" w14:textId="77777777" w:rsidR="005E297E" w:rsidRPr="00C10BA2" w:rsidRDefault="005E297E" w:rsidP="005E297E">
      <w:pPr>
        <w:ind w:right="-1"/>
        <w:rPr>
          <w:rFonts w:cs="Arial"/>
        </w:rPr>
      </w:pPr>
      <w:r w:rsidRPr="00C10BA2">
        <w:rPr>
          <w:rFonts w:cs="Arial"/>
        </w:rPr>
        <w:t xml:space="preserve">A caveat must be lodged on the appropriate approved form, with the relevant fees, before </w:t>
      </w:r>
      <w:proofErr w:type="gramStart"/>
      <w:r w:rsidRPr="00C10BA2">
        <w:rPr>
          <w:rFonts w:cs="Arial"/>
        </w:rPr>
        <w:t>it can be accepted by the Department</w:t>
      </w:r>
      <w:proofErr w:type="gramEnd"/>
      <w:r w:rsidRPr="00C10BA2">
        <w:rPr>
          <w:rFonts w:cs="Arial"/>
        </w:rPr>
        <w:t>.</w:t>
      </w:r>
      <w:r>
        <w:rPr>
          <w:rFonts w:cs="Arial"/>
        </w:rPr>
        <w:t xml:space="preserve">  The approved forms are available on the </w:t>
      </w:r>
      <w:hyperlink r:id="rId9" w:history="1">
        <w:r w:rsidRPr="005E297E">
          <w:rPr>
            <w:rStyle w:val="Hyperlink"/>
            <w:rFonts w:cs="Arial"/>
          </w:rPr>
          <w:t>Department's website</w:t>
        </w:r>
      </w:hyperlink>
      <w:r>
        <w:rPr>
          <w:rStyle w:val="FootnoteReference"/>
          <w:rFonts w:cs="Arial"/>
        </w:rPr>
        <w:footnoteReference w:id="1"/>
      </w:r>
      <w:r>
        <w:rPr>
          <w:rFonts w:cs="Arial"/>
        </w:rPr>
        <w:t>.</w:t>
      </w:r>
    </w:p>
    <w:p w14:paraId="59130A13" w14:textId="77777777" w:rsidR="00147C55" w:rsidRPr="00C10BA2" w:rsidRDefault="00147C55" w:rsidP="00147C55">
      <w:pPr>
        <w:rPr>
          <w:rFonts w:cs="Arial"/>
        </w:rPr>
      </w:pPr>
      <w:r w:rsidRPr="00C10BA2">
        <w:rPr>
          <w:rFonts w:cs="Arial"/>
        </w:rPr>
        <w:t xml:space="preserve">A caveat </w:t>
      </w:r>
      <w:proofErr w:type="gramStart"/>
      <w:r w:rsidRPr="00C10BA2">
        <w:rPr>
          <w:rFonts w:cs="Arial"/>
        </w:rPr>
        <w:t>may be lodged</w:t>
      </w:r>
      <w:proofErr w:type="gramEnd"/>
      <w:r w:rsidRPr="00C10BA2">
        <w:rPr>
          <w:rFonts w:cs="Arial"/>
        </w:rPr>
        <w:t xml:space="preserve"> by a person claiming a legal or equitable interest in a mineral title, or in an application relating to a mineral title.</w:t>
      </w:r>
    </w:p>
    <w:p w14:paraId="01CB7F08" w14:textId="77777777" w:rsidR="00147C55" w:rsidRPr="00C10BA2" w:rsidRDefault="00147C55" w:rsidP="00147C55">
      <w:pPr>
        <w:ind w:right="-1"/>
        <w:rPr>
          <w:rFonts w:cs="Arial"/>
        </w:rPr>
      </w:pPr>
      <w:r w:rsidRPr="00C10BA2">
        <w:rPr>
          <w:rFonts w:cs="Arial"/>
        </w:rPr>
        <w:t>A Caveator may also specify which dealings the caveat does not relate to, if they wish to do so.</w:t>
      </w:r>
      <w:r>
        <w:rPr>
          <w:rFonts w:cs="Arial"/>
        </w:rPr>
        <w:t xml:space="preserve">  </w:t>
      </w:r>
      <w:r w:rsidRPr="00C10BA2">
        <w:rPr>
          <w:rFonts w:cs="Arial"/>
        </w:rPr>
        <w:t>For example, you may only wish to be notified of future transfer dealings, in this case you would specify that the caveat did not apply to agreements, mortgages etc.</w:t>
      </w:r>
    </w:p>
    <w:p w14:paraId="5AE52338" w14:textId="77777777" w:rsidR="0038665C" w:rsidRDefault="00147C55" w:rsidP="0038665C">
      <w:pPr>
        <w:rPr>
          <w:rFonts w:cs="Arial"/>
        </w:rPr>
      </w:pPr>
      <w:r w:rsidRPr="00C10BA2">
        <w:rPr>
          <w:rFonts w:cs="Arial"/>
        </w:rPr>
        <w:t>Evidence to support the interest claimed must accompany the approved form.</w:t>
      </w:r>
      <w:r w:rsidR="0038665C" w:rsidRPr="0038665C">
        <w:rPr>
          <w:rFonts w:cs="Arial"/>
        </w:rPr>
        <w:t xml:space="preserve"> </w:t>
      </w:r>
    </w:p>
    <w:p w14:paraId="7064AD51" w14:textId="7DD879B2" w:rsidR="0038665C" w:rsidRDefault="0038665C" w:rsidP="0038665C">
      <w:pPr>
        <w:rPr>
          <w:rFonts w:cs="Arial"/>
        </w:rPr>
      </w:pPr>
      <w:r w:rsidRPr="00C10BA2">
        <w:rPr>
          <w:rFonts w:cs="Arial"/>
        </w:rPr>
        <w:t>Once lodged and accepted by the Minister, a caveat prevents the registration of further dealings until th</w:t>
      </w:r>
      <w:r>
        <w:rPr>
          <w:rFonts w:cs="Arial"/>
        </w:rPr>
        <w:t>e caveat ceases to have effect</w:t>
      </w:r>
      <w:r w:rsidR="00FC72CD">
        <w:rPr>
          <w:rFonts w:cs="Arial"/>
        </w:rPr>
        <w:t>.</w:t>
      </w:r>
    </w:p>
    <w:p w14:paraId="3DD6094C" w14:textId="77777777" w:rsidR="00FC72CD" w:rsidRDefault="00FC72CD" w:rsidP="00FC72CD">
      <w:pPr>
        <w:pStyle w:val="Heading1"/>
        <w:rPr>
          <w:lang w:eastAsia="en-AU"/>
        </w:rPr>
      </w:pPr>
      <w:r>
        <w:rPr>
          <w:lang w:eastAsia="en-AU"/>
        </w:rPr>
        <w:t>Continuation of a Caveat</w:t>
      </w:r>
    </w:p>
    <w:p w14:paraId="572F8D9D" w14:textId="77777777" w:rsidR="00FC72CD" w:rsidRDefault="00FC72CD" w:rsidP="00FC72CD">
      <w:pPr>
        <w:tabs>
          <w:tab w:val="center" w:pos="4153"/>
          <w:tab w:val="right" w:pos="8306"/>
        </w:tabs>
        <w:rPr>
          <w:rFonts w:cs="Arial"/>
        </w:rPr>
      </w:pPr>
      <w:r w:rsidRPr="00C10BA2">
        <w:rPr>
          <w:rFonts w:cs="Arial"/>
        </w:rPr>
        <w:t xml:space="preserve">When a dealing </w:t>
      </w:r>
      <w:proofErr w:type="gramStart"/>
      <w:r w:rsidRPr="00C10BA2">
        <w:rPr>
          <w:rFonts w:cs="Arial"/>
        </w:rPr>
        <w:t>is lodged</w:t>
      </w:r>
      <w:proofErr w:type="gramEnd"/>
      <w:r w:rsidRPr="00C10BA2">
        <w:rPr>
          <w:rFonts w:cs="Arial"/>
        </w:rPr>
        <w:t xml:space="preserve"> against an application or mineral title where a caveat is in force, the Caveator is notified of the lodgement of the dealing.</w:t>
      </w:r>
    </w:p>
    <w:p w14:paraId="5658942E" w14:textId="77777777" w:rsidR="00FC72CD" w:rsidRPr="00C10BA2" w:rsidRDefault="00FC72CD" w:rsidP="00FC72CD">
      <w:pPr>
        <w:tabs>
          <w:tab w:val="center" w:pos="4153"/>
          <w:tab w:val="right" w:pos="8306"/>
        </w:tabs>
        <w:rPr>
          <w:rFonts w:cs="Arial"/>
        </w:rPr>
      </w:pPr>
      <w:r w:rsidRPr="00C10BA2">
        <w:rPr>
          <w:rFonts w:cs="Arial"/>
        </w:rPr>
        <w:t>The Caveator has 30 days after this notification to either:</w:t>
      </w:r>
    </w:p>
    <w:p w14:paraId="1F3981E1" w14:textId="77777777" w:rsidR="00FC72CD" w:rsidRPr="00C10BA2" w:rsidRDefault="00FC72CD" w:rsidP="00FC72CD">
      <w:pPr>
        <w:numPr>
          <w:ilvl w:val="0"/>
          <w:numId w:val="49"/>
        </w:numPr>
        <w:tabs>
          <w:tab w:val="clear" w:pos="1287"/>
          <w:tab w:val="num" w:pos="709"/>
        </w:tabs>
        <w:ind w:left="709" w:hanging="284"/>
        <w:rPr>
          <w:rFonts w:cs="Arial"/>
        </w:rPr>
      </w:pPr>
      <w:r w:rsidRPr="00C10BA2">
        <w:rPr>
          <w:rFonts w:cs="Arial"/>
        </w:rPr>
        <w:t xml:space="preserve">lodge a continuation of the caveat; or </w:t>
      </w:r>
    </w:p>
    <w:p w14:paraId="7C384E0E" w14:textId="77777777" w:rsidR="00FC72CD" w:rsidRPr="00C10BA2" w:rsidRDefault="00FC72CD" w:rsidP="00FC72CD">
      <w:pPr>
        <w:numPr>
          <w:ilvl w:val="0"/>
          <w:numId w:val="49"/>
        </w:numPr>
        <w:tabs>
          <w:tab w:val="clear" w:pos="1287"/>
          <w:tab w:val="num" w:pos="709"/>
        </w:tabs>
        <w:ind w:left="709" w:hanging="284"/>
        <w:rPr>
          <w:rFonts w:cs="Arial"/>
        </w:rPr>
      </w:pPr>
      <w:proofErr w:type="gramStart"/>
      <w:r w:rsidRPr="00C10BA2">
        <w:rPr>
          <w:rFonts w:cs="Arial"/>
        </w:rPr>
        <w:t>take</w:t>
      </w:r>
      <w:proofErr w:type="gramEnd"/>
      <w:r w:rsidRPr="00C10BA2">
        <w:rPr>
          <w:rFonts w:cs="Arial"/>
        </w:rPr>
        <w:t xml:space="preserve"> action to prevent the registration of the dealing.  </w:t>
      </w:r>
    </w:p>
    <w:p w14:paraId="17176D91" w14:textId="77777777" w:rsidR="00FC72CD" w:rsidRPr="005E297E" w:rsidRDefault="00FC72CD" w:rsidP="00FC72CD">
      <w:pPr>
        <w:rPr>
          <w:rFonts w:cs="Arial"/>
        </w:rPr>
      </w:pPr>
      <w:r w:rsidRPr="005E297E">
        <w:rPr>
          <w:rFonts w:cs="Arial"/>
        </w:rPr>
        <w:t xml:space="preserve">A request for a continuation of caveat </w:t>
      </w:r>
      <w:proofErr w:type="gramStart"/>
      <w:r w:rsidRPr="005E297E">
        <w:rPr>
          <w:rFonts w:cs="Arial"/>
        </w:rPr>
        <w:t>must be lodged</w:t>
      </w:r>
      <w:proofErr w:type="gramEnd"/>
      <w:r w:rsidRPr="005E297E">
        <w:rPr>
          <w:rFonts w:cs="Arial"/>
        </w:rPr>
        <w:t xml:space="preserve"> on the appropriate approved form and must be accompanied by the appropriate fee.</w:t>
      </w:r>
    </w:p>
    <w:p w14:paraId="78D31E87" w14:textId="77777777" w:rsidR="00FC72CD" w:rsidRPr="00C10BA2" w:rsidRDefault="00FC72CD" w:rsidP="00FC72CD">
      <w:pPr>
        <w:tabs>
          <w:tab w:val="center" w:pos="4153"/>
          <w:tab w:val="right" w:pos="8306"/>
        </w:tabs>
        <w:rPr>
          <w:rFonts w:cs="Arial"/>
        </w:rPr>
      </w:pPr>
      <w:r w:rsidRPr="00C10BA2">
        <w:rPr>
          <w:rFonts w:cs="Arial"/>
        </w:rPr>
        <w:t>If a notice of continuation is received within this timeframe, and accepted by the Minister the caveat ceases to have effect in relation to the dealing in question and the registration of the dealing will proceed.</w:t>
      </w:r>
    </w:p>
    <w:p w14:paraId="56470C7D" w14:textId="77777777" w:rsidR="00FC72CD" w:rsidRPr="00C10BA2" w:rsidRDefault="00FC72CD" w:rsidP="00FC72CD">
      <w:pPr>
        <w:tabs>
          <w:tab w:val="center" w:pos="4153"/>
          <w:tab w:val="right" w:pos="8306"/>
        </w:tabs>
        <w:rPr>
          <w:rFonts w:cs="Arial"/>
        </w:rPr>
      </w:pPr>
      <w:r w:rsidRPr="00C10BA2">
        <w:rPr>
          <w:rFonts w:cs="Arial"/>
        </w:rPr>
        <w:t xml:space="preserve">If </w:t>
      </w:r>
      <w:r>
        <w:rPr>
          <w:rFonts w:cs="Arial"/>
        </w:rPr>
        <w:t>a</w:t>
      </w:r>
      <w:r w:rsidRPr="00C10BA2">
        <w:rPr>
          <w:rFonts w:cs="Arial"/>
        </w:rPr>
        <w:t xml:space="preserve"> notice of continuation </w:t>
      </w:r>
      <w:proofErr w:type="gramStart"/>
      <w:r w:rsidRPr="00C10BA2">
        <w:rPr>
          <w:rFonts w:cs="Arial"/>
        </w:rPr>
        <w:t>is</w:t>
      </w:r>
      <w:r>
        <w:rPr>
          <w:rFonts w:cs="Arial"/>
        </w:rPr>
        <w:t xml:space="preserve"> not</w:t>
      </w:r>
      <w:r w:rsidRPr="00C10BA2">
        <w:rPr>
          <w:rFonts w:cs="Arial"/>
        </w:rPr>
        <w:t xml:space="preserve"> received</w:t>
      </w:r>
      <w:proofErr w:type="gramEnd"/>
      <w:r w:rsidRPr="00C10BA2">
        <w:rPr>
          <w:rFonts w:cs="Arial"/>
        </w:rPr>
        <w:t xml:space="preserve"> then the caveat ceases to be in force and the registration of the dealing will proceed.</w:t>
      </w:r>
    </w:p>
    <w:p w14:paraId="7EB70387" w14:textId="77777777" w:rsidR="00FC72CD" w:rsidRDefault="00FC72CD" w:rsidP="00FC72CD">
      <w:pPr>
        <w:tabs>
          <w:tab w:val="center" w:pos="4153"/>
          <w:tab w:val="right" w:pos="8306"/>
        </w:tabs>
        <w:rPr>
          <w:rFonts w:cs="Arial"/>
        </w:rPr>
      </w:pPr>
      <w:r w:rsidRPr="00C10BA2">
        <w:rPr>
          <w:rFonts w:cs="Arial"/>
        </w:rPr>
        <w:lastRenderedPageBreak/>
        <w:t xml:space="preserve">Once this occurs, the Caveator </w:t>
      </w:r>
      <w:proofErr w:type="gramStart"/>
      <w:r w:rsidRPr="00C10BA2">
        <w:rPr>
          <w:rFonts w:cs="Arial"/>
        </w:rPr>
        <w:t>is prohibited</w:t>
      </w:r>
      <w:proofErr w:type="gramEnd"/>
      <w:r w:rsidRPr="00C10BA2">
        <w:rPr>
          <w:rFonts w:cs="Arial"/>
        </w:rPr>
        <w:t xml:space="preserve"> from lodging another caveat claiming the same interest as specified in the cancelled caveat.</w:t>
      </w:r>
    </w:p>
    <w:p w14:paraId="0E3BFC96" w14:textId="1933E93F" w:rsidR="00FC72CD" w:rsidRPr="00C10BA2" w:rsidRDefault="00FC72CD" w:rsidP="00FC72CD">
      <w:pPr>
        <w:pStyle w:val="Heading1"/>
      </w:pPr>
      <w:r>
        <w:t xml:space="preserve">When a Caveat ceases to be in force </w:t>
      </w:r>
    </w:p>
    <w:p w14:paraId="51C51AB0" w14:textId="77777777" w:rsidR="0038665C" w:rsidRPr="00C10BA2" w:rsidRDefault="0038665C" w:rsidP="0038665C">
      <w:pPr>
        <w:rPr>
          <w:rFonts w:cs="Arial"/>
        </w:rPr>
      </w:pPr>
      <w:r w:rsidRPr="00C10BA2">
        <w:rPr>
          <w:rFonts w:cs="Arial"/>
        </w:rPr>
        <w:t xml:space="preserve">A caveat may cease to </w:t>
      </w:r>
      <w:r>
        <w:rPr>
          <w:rFonts w:cs="Arial"/>
        </w:rPr>
        <w:t>be in force</w:t>
      </w:r>
      <w:r w:rsidRPr="00C10BA2">
        <w:rPr>
          <w:rFonts w:cs="Arial"/>
        </w:rPr>
        <w:t xml:space="preserve"> because:</w:t>
      </w:r>
    </w:p>
    <w:p w14:paraId="119DA436" w14:textId="77777777" w:rsidR="0038665C" w:rsidRPr="00C10BA2" w:rsidRDefault="0038665C" w:rsidP="0038665C">
      <w:pPr>
        <w:numPr>
          <w:ilvl w:val="0"/>
          <w:numId w:val="48"/>
        </w:numPr>
        <w:tabs>
          <w:tab w:val="clear" w:pos="1287"/>
          <w:tab w:val="num" w:pos="709"/>
        </w:tabs>
        <w:ind w:left="709" w:hanging="284"/>
        <w:rPr>
          <w:rFonts w:cs="Arial"/>
        </w:rPr>
      </w:pPr>
      <w:r>
        <w:rPr>
          <w:rFonts w:cs="Arial"/>
        </w:rPr>
        <w:t>it is withdrawn by the Caveator</w:t>
      </w:r>
    </w:p>
    <w:p w14:paraId="67B17006" w14:textId="77777777" w:rsidR="0038665C" w:rsidRPr="00C10BA2" w:rsidRDefault="0038665C" w:rsidP="0038665C">
      <w:pPr>
        <w:numPr>
          <w:ilvl w:val="0"/>
          <w:numId w:val="48"/>
        </w:numPr>
        <w:tabs>
          <w:tab w:val="clear" w:pos="1287"/>
          <w:tab w:val="num" w:pos="709"/>
        </w:tabs>
        <w:ind w:left="709" w:hanging="284"/>
        <w:rPr>
          <w:rFonts w:cs="Arial"/>
        </w:rPr>
      </w:pPr>
      <w:r w:rsidRPr="00C10BA2">
        <w:rPr>
          <w:rFonts w:cs="Arial"/>
        </w:rPr>
        <w:t>the Trib</w:t>
      </w:r>
      <w:r>
        <w:rPr>
          <w:rFonts w:cs="Arial"/>
        </w:rPr>
        <w:t>unal orders that it be removed</w:t>
      </w:r>
    </w:p>
    <w:p w14:paraId="76D5076E" w14:textId="387E526E" w:rsidR="00147C55" w:rsidRPr="00FC72CD" w:rsidRDefault="0038665C" w:rsidP="004A6649">
      <w:pPr>
        <w:numPr>
          <w:ilvl w:val="0"/>
          <w:numId w:val="48"/>
        </w:numPr>
        <w:tabs>
          <w:tab w:val="clear" w:pos="1287"/>
          <w:tab w:val="num" w:pos="709"/>
        </w:tabs>
        <w:ind w:left="709" w:right="-1" w:hanging="284"/>
        <w:rPr>
          <w:rFonts w:cs="Arial"/>
        </w:rPr>
      </w:pPr>
      <w:r w:rsidRPr="00FC72CD">
        <w:rPr>
          <w:rFonts w:cs="Arial"/>
        </w:rPr>
        <w:t>30 days after notice is given to the Caveator and no notice of continuance is accepted</w:t>
      </w:r>
    </w:p>
    <w:p w14:paraId="549F92A2" w14:textId="511F3121" w:rsidR="00D61FD1" w:rsidRDefault="00147C55" w:rsidP="00D61FD1">
      <w:pPr>
        <w:pStyle w:val="Heading1"/>
        <w:rPr>
          <w:lang w:eastAsia="en-AU"/>
        </w:rPr>
      </w:pPr>
      <w:r>
        <w:rPr>
          <w:lang w:eastAsia="en-AU"/>
        </w:rPr>
        <w:t>Withdrawal of a Caveat</w:t>
      </w:r>
    </w:p>
    <w:p w14:paraId="5D58A436" w14:textId="5059F78E" w:rsidR="00147C55" w:rsidRDefault="00147C55" w:rsidP="00147C55">
      <w:pPr>
        <w:tabs>
          <w:tab w:val="left" w:pos="3000"/>
        </w:tabs>
        <w:rPr>
          <w:rFonts w:cs="Arial"/>
        </w:rPr>
      </w:pPr>
      <w:r w:rsidRPr="00C10BA2">
        <w:rPr>
          <w:rFonts w:cs="Arial"/>
        </w:rPr>
        <w:t xml:space="preserve">If at any time the Caveator wishes to withdraw the caveat, the appropriate approved form </w:t>
      </w:r>
      <w:proofErr w:type="gramStart"/>
      <w:r w:rsidRPr="00C10BA2">
        <w:rPr>
          <w:rFonts w:cs="Arial"/>
        </w:rPr>
        <w:t>must be lodged</w:t>
      </w:r>
      <w:proofErr w:type="gramEnd"/>
      <w:r w:rsidRPr="00C10BA2">
        <w:rPr>
          <w:rFonts w:cs="Arial"/>
        </w:rPr>
        <w:t xml:space="preserve"> with the Department.</w:t>
      </w:r>
    </w:p>
    <w:p w14:paraId="2BF2B1E2" w14:textId="1B456A3A" w:rsidR="006A2F2D" w:rsidRDefault="00E201B9" w:rsidP="00147C55">
      <w:pPr>
        <w:pStyle w:val="Heading1"/>
        <w:rPr>
          <w:lang w:bidi="en-US"/>
        </w:rPr>
      </w:pPr>
      <w:r>
        <w:rPr>
          <w:lang w:bidi="en-US"/>
        </w:rPr>
        <w:t>F</w:t>
      </w:r>
      <w:r w:rsidR="00147C55">
        <w:rPr>
          <w:lang w:bidi="en-US"/>
        </w:rPr>
        <w:t>urther information</w:t>
      </w:r>
    </w:p>
    <w:p w14:paraId="7EA16880" w14:textId="5D8D2902" w:rsidR="00147C55" w:rsidRPr="00C10BA2" w:rsidRDefault="00147C55" w:rsidP="00147C55">
      <w:pPr>
        <w:ind w:right="567"/>
        <w:rPr>
          <w:rFonts w:cs="Arial"/>
        </w:rPr>
      </w:pPr>
      <w:r w:rsidRPr="00C10BA2">
        <w:rPr>
          <w:rFonts w:cs="Arial"/>
        </w:rPr>
        <w:t xml:space="preserve">Mineral Titles </w:t>
      </w:r>
    </w:p>
    <w:p w14:paraId="1132F2A9" w14:textId="77777777" w:rsidR="00147C55" w:rsidRPr="00C10BA2" w:rsidRDefault="00147C55" w:rsidP="00147C55">
      <w:pPr>
        <w:ind w:right="567"/>
        <w:rPr>
          <w:rFonts w:cs="Arial"/>
        </w:rPr>
      </w:pPr>
      <w:proofErr w:type="gramStart"/>
      <w:r w:rsidRPr="00C10BA2">
        <w:rPr>
          <w:rFonts w:cs="Arial"/>
        </w:rPr>
        <w:t>5</w:t>
      </w:r>
      <w:r w:rsidRPr="00C10BA2">
        <w:rPr>
          <w:rFonts w:cs="Arial"/>
          <w:vertAlign w:val="superscript"/>
        </w:rPr>
        <w:t>th</w:t>
      </w:r>
      <w:proofErr w:type="gramEnd"/>
      <w:r w:rsidRPr="00C10BA2">
        <w:rPr>
          <w:rFonts w:cs="Arial"/>
        </w:rPr>
        <w:t xml:space="preserve"> Floor Centrepoint Building, The Mall</w:t>
      </w:r>
    </w:p>
    <w:p w14:paraId="6A93F01E" w14:textId="77777777" w:rsidR="00147C55" w:rsidRPr="00C10BA2" w:rsidRDefault="00147C55" w:rsidP="00147C55">
      <w:pPr>
        <w:ind w:right="567"/>
        <w:rPr>
          <w:rFonts w:cs="Arial"/>
        </w:rPr>
      </w:pPr>
      <w:r w:rsidRPr="00C10BA2">
        <w:rPr>
          <w:rFonts w:cs="Arial"/>
        </w:rPr>
        <w:t>Darwin, Northern Territory</w:t>
      </w:r>
    </w:p>
    <w:p w14:paraId="486FADFA" w14:textId="77777777" w:rsidR="00147C55" w:rsidRPr="00C10BA2" w:rsidRDefault="00147C55" w:rsidP="00147C55">
      <w:pPr>
        <w:ind w:right="567"/>
        <w:rPr>
          <w:rFonts w:cs="Arial"/>
        </w:rPr>
      </w:pPr>
      <w:r w:rsidRPr="00C10BA2">
        <w:rPr>
          <w:rFonts w:cs="Arial"/>
        </w:rPr>
        <w:t>Phone: 08 8999 5322</w:t>
      </w:r>
    </w:p>
    <w:p w14:paraId="7F722C0E" w14:textId="616AE2B2" w:rsidR="00147C55" w:rsidRPr="00C10BA2" w:rsidRDefault="00147C55" w:rsidP="00147C55">
      <w:pPr>
        <w:ind w:right="567"/>
        <w:rPr>
          <w:rFonts w:cs="Arial"/>
        </w:rPr>
      </w:pPr>
      <w:r w:rsidRPr="00C10BA2">
        <w:rPr>
          <w:rFonts w:cs="Arial"/>
        </w:rPr>
        <w:t>Email:</w:t>
      </w:r>
      <w:r>
        <w:rPr>
          <w:rFonts w:cs="Arial"/>
        </w:rPr>
        <w:t xml:space="preserve"> </w:t>
      </w:r>
      <w:hyperlink r:id="rId10" w:history="1">
        <w:r w:rsidRPr="00C10BA2">
          <w:rPr>
            <w:rStyle w:val="Hyperlink"/>
            <w:rFonts w:cs="Arial"/>
          </w:rPr>
          <w:t>titles.info@nt.gov.au</w:t>
        </w:r>
      </w:hyperlink>
    </w:p>
    <w:p w14:paraId="5A1D4437" w14:textId="53477CC5" w:rsidR="00147C55" w:rsidRPr="0024687F" w:rsidRDefault="00147C55" w:rsidP="00147C55">
      <w:pPr>
        <w:rPr>
          <w:sz w:val="20"/>
        </w:rPr>
      </w:pPr>
      <w:r w:rsidRPr="00C10BA2">
        <w:rPr>
          <w:b/>
          <w:sz w:val="20"/>
        </w:rPr>
        <w:t xml:space="preserve">Disclaimer </w:t>
      </w:r>
      <w:r w:rsidRPr="0024687F">
        <w:rPr>
          <w:sz w:val="20"/>
        </w:rPr>
        <w:t xml:space="preserve">Whilst this information bulletin </w:t>
      </w:r>
      <w:proofErr w:type="gramStart"/>
      <w:r w:rsidRPr="0024687F">
        <w:rPr>
          <w:sz w:val="20"/>
        </w:rPr>
        <w:t>has been provided</w:t>
      </w:r>
      <w:proofErr w:type="gramEnd"/>
      <w:r w:rsidRPr="0024687F">
        <w:rPr>
          <w:sz w:val="20"/>
        </w:rPr>
        <w:t xml:space="preserve"> to assist applicants in their compliance with the Mineral Titles Act</w:t>
      </w:r>
      <w:r w:rsidR="0024687F">
        <w:rPr>
          <w:sz w:val="20"/>
        </w:rPr>
        <w:t xml:space="preserve"> 2010</w:t>
      </w:r>
      <w:r w:rsidRPr="0024687F">
        <w:rPr>
          <w:sz w:val="20"/>
        </w:rPr>
        <w:t>, it is</w:t>
      </w:r>
      <w:r w:rsidRPr="00C10BA2">
        <w:rPr>
          <w:sz w:val="20"/>
        </w:rPr>
        <w:t xml:space="preserve"> incumbent on them to acquaint themselves with the provisions of </w:t>
      </w:r>
      <w:r w:rsidRPr="0024687F">
        <w:rPr>
          <w:sz w:val="20"/>
        </w:rPr>
        <w:t>the Mineral Titles Act</w:t>
      </w:r>
      <w:r w:rsidR="0024687F">
        <w:rPr>
          <w:sz w:val="20"/>
        </w:rPr>
        <w:t xml:space="preserve"> 2010</w:t>
      </w:r>
      <w:r w:rsidRPr="0024687F">
        <w:rPr>
          <w:sz w:val="20"/>
        </w:rPr>
        <w:t xml:space="preserve"> and all other laws of the Northern Territory as are applicable.  Fees are subject to change without notice. </w:t>
      </w:r>
    </w:p>
    <w:p w14:paraId="48E20188" w14:textId="77777777" w:rsidR="00147C55" w:rsidRPr="00147C55" w:rsidRDefault="00147C55" w:rsidP="00147C55">
      <w:pPr>
        <w:rPr>
          <w:lang w:bidi="en-US"/>
        </w:rPr>
      </w:pPr>
    </w:p>
    <w:sectPr w:rsidR="00147C55" w:rsidRPr="00147C55"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4E69" w14:textId="77777777" w:rsidR="0099036A" w:rsidRDefault="0099036A" w:rsidP="007332FF">
      <w:r>
        <w:separator/>
      </w:r>
    </w:p>
  </w:endnote>
  <w:endnote w:type="continuationSeparator" w:id="0">
    <w:p w14:paraId="213C3EF0" w14:textId="77777777" w:rsidR="0099036A" w:rsidRDefault="0099036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7302"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7AF58278" w14:textId="77777777" w:rsidTr="001D258A">
      <w:trPr>
        <w:cantSplit/>
        <w:trHeight w:hRule="exact" w:val="567"/>
      </w:trPr>
      <w:tc>
        <w:tcPr>
          <w:tcW w:w="10318" w:type="dxa"/>
          <w:vAlign w:val="bottom"/>
        </w:tcPr>
        <w:p w14:paraId="306AEC5E" w14:textId="56DA341B"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BBACE393C7714C96B631D861525752FC"/>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644A2C">
                <w:rPr>
                  <w:rStyle w:val="PageNumber"/>
                  <w:b/>
                </w:rPr>
                <w:t>Industry, Tourism and Trade</w:t>
              </w:r>
            </w:sdtContent>
          </w:sdt>
        </w:p>
        <w:p w14:paraId="10FAA76C" w14:textId="083C7CA0"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40BB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40BB3">
            <w:rPr>
              <w:rStyle w:val="PageNumber"/>
              <w:noProof/>
            </w:rPr>
            <w:t>2</w:t>
          </w:r>
          <w:r w:rsidRPr="00AC4488">
            <w:rPr>
              <w:rStyle w:val="PageNumber"/>
            </w:rPr>
            <w:fldChar w:fldCharType="end"/>
          </w:r>
        </w:p>
      </w:tc>
    </w:tr>
  </w:tbl>
  <w:p w14:paraId="379B2430"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9A9C" w14:textId="77777777" w:rsidR="00D15D88" w:rsidRDefault="00D15D88" w:rsidP="00C0326E">
    <w:pPr>
      <w:spacing w:after="0"/>
    </w:pPr>
  </w:p>
  <w:p w14:paraId="3A5A07B9"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6F3E488B" w14:textId="77777777" w:rsidTr="00711A8F">
      <w:trPr>
        <w:cantSplit/>
        <w:trHeight w:hRule="exact" w:val="1134"/>
      </w:trPr>
      <w:tc>
        <w:tcPr>
          <w:tcW w:w="7767" w:type="dxa"/>
          <w:vAlign w:val="center"/>
        </w:tcPr>
        <w:p w14:paraId="2AE70EC3" w14:textId="670DC90F" w:rsidR="00901430" w:rsidRPr="00901430" w:rsidRDefault="00901430" w:rsidP="00711A8F">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555F17">
                <w:rPr>
                  <w:b/>
                  <w:sz w:val="19"/>
                  <w:szCs w:val="19"/>
                </w:rPr>
                <w:t xml:space="preserve">Industry, Tourism </w:t>
              </w:r>
              <w:r w:rsidR="00644A2C">
                <w:rPr>
                  <w:b/>
                  <w:sz w:val="19"/>
                  <w:szCs w:val="19"/>
                </w:rPr>
                <w:t xml:space="preserve">and </w:t>
              </w:r>
              <w:r w:rsidR="00555F17">
                <w:rPr>
                  <w:b/>
                  <w:sz w:val="19"/>
                  <w:szCs w:val="19"/>
                </w:rPr>
                <w:t>Trade</w:t>
              </w:r>
            </w:sdtContent>
          </w:sdt>
        </w:p>
        <w:p w14:paraId="7D2E1E69" w14:textId="2D92ECC9" w:rsidR="00C0326E" w:rsidRPr="00CE30CF" w:rsidRDefault="00C0326E" w:rsidP="00711A8F">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C40BB3">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C40BB3">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6D519E99" w14:textId="77777777" w:rsidR="00C0326E" w:rsidRPr="001E14EB" w:rsidRDefault="00C0326E" w:rsidP="00C0326E">
          <w:pPr>
            <w:spacing w:after="0"/>
            <w:jc w:val="right"/>
          </w:pPr>
          <w:r>
            <w:rPr>
              <w:noProof/>
              <w:lang w:eastAsia="en-AU"/>
            </w:rPr>
            <w:drawing>
              <wp:inline distT="0" distB="0" distL="0" distR="0" wp14:anchorId="4AE11D8A" wp14:editId="393715B1">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371EB2A"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AE602" w14:textId="77777777" w:rsidR="0099036A" w:rsidRDefault="0099036A" w:rsidP="007332FF">
      <w:r>
        <w:separator/>
      </w:r>
    </w:p>
  </w:footnote>
  <w:footnote w:type="continuationSeparator" w:id="0">
    <w:p w14:paraId="08B716A2" w14:textId="77777777" w:rsidR="0099036A" w:rsidRDefault="0099036A" w:rsidP="007332FF">
      <w:r>
        <w:continuationSeparator/>
      </w:r>
    </w:p>
  </w:footnote>
  <w:footnote w:id="1">
    <w:p w14:paraId="66F1CC17" w14:textId="77777777" w:rsidR="005E297E" w:rsidRDefault="005E297E" w:rsidP="005E297E">
      <w:pPr>
        <w:pStyle w:val="FootnoteText"/>
      </w:pPr>
      <w:r>
        <w:rPr>
          <w:rStyle w:val="FootnoteReference"/>
        </w:rPr>
        <w:footnoteRef/>
      </w:r>
      <w:r>
        <w:t xml:space="preserve"> </w:t>
      </w:r>
      <w:hyperlink r:id="rId1" w:history="1">
        <w:r>
          <w:rPr>
            <w:rStyle w:val="Hyperlink"/>
          </w:rPr>
          <w:t>https://nt.gov.au/industry/mining-and-petroleum/mineral-titles/mineral-titles-forms-and-guidelines/caveat-forms-and-guidelines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8A6B" w14:textId="101F4F17" w:rsidR="00983000" w:rsidRPr="00162207" w:rsidRDefault="00C40BB3"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711A8F">
          <w:t>Caveats – Lodgement, continuation and withdrawals on a Mineral Titles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placeholder>
        <w:docPart w:val="7F95194D27014F979F4E71055ACDA56E"/>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64D1206C" w14:textId="33708974" w:rsidR="00711A8F" w:rsidRDefault="00711A8F" w:rsidP="00711A8F">
        <w:pPr>
          <w:pStyle w:val="Title"/>
          <w:spacing w:after="360"/>
          <w:rPr>
            <w:rStyle w:val="TitleChar"/>
          </w:rPr>
        </w:pPr>
        <w:r>
          <w:rPr>
            <w:rStyle w:val="TitleChar"/>
          </w:rPr>
          <w:t>Caveats – Lodgement, continuation and withdrawals on a Mineral Titles</w:t>
        </w:r>
      </w:p>
    </w:sdtContent>
  </w:sdt>
  <w:p w14:paraId="79FA31BD" w14:textId="4461437C" w:rsidR="00E908F1" w:rsidRPr="000E3ED2" w:rsidRDefault="00147C55" w:rsidP="00711A8F">
    <w:pPr>
      <w:pStyle w:val="Subtitle0"/>
      <w:jc w:val="left"/>
    </w:pPr>
    <w:r>
      <w:t>Information Bulletin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1863BB"/>
    <w:multiLevelType w:val="hybridMultilevel"/>
    <w:tmpl w:val="A4C0C66E"/>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133C75"/>
    <w:multiLevelType w:val="hybridMultilevel"/>
    <w:tmpl w:val="2A1A75A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3"/>
  </w:num>
  <w:num w:numId="4">
    <w:abstractNumId w:val="44"/>
  </w:num>
  <w:num w:numId="5">
    <w:abstractNumId w:val="27"/>
  </w:num>
  <w:num w:numId="6">
    <w:abstractNumId w:val="15"/>
  </w:num>
  <w:num w:numId="7">
    <w:abstractNumId w:val="50"/>
  </w:num>
  <w:num w:numId="8">
    <w:abstractNumId w:val="24"/>
  </w:num>
  <w:num w:numId="9">
    <w:abstractNumId w:val="57"/>
  </w:num>
  <w:num w:numId="10">
    <w:abstractNumId w:val="20"/>
  </w:num>
  <w:num w:numId="11">
    <w:abstractNumId w:val="63"/>
  </w:num>
  <w:num w:numId="12">
    <w:abstractNumId w:val="17"/>
  </w:num>
  <w:num w:numId="13">
    <w:abstractNumId w:val="1"/>
  </w:num>
  <w:num w:numId="14">
    <w:abstractNumId w:val="61"/>
  </w:num>
  <w:num w:numId="15">
    <w:abstractNumId w:val="26"/>
  </w:num>
  <w:num w:numId="16">
    <w:abstractNumId w:val="62"/>
  </w:num>
  <w:num w:numId="17">
    <w:abstractNumId w:val="71"/>
  </w:num>
  <w:num w:numId="18">
    <w:abstractNumId w:val="56"/>
  </w:num>
  <w:num w:numId="19">
    <w:abstractNumId w:val="47"/>
  </w:num>
  <w:num w:numId="20">
    <w:abstractNumId w:val="52"/>
  </w:num>
  <w:num w:numId="21">
    <w:abstractNumId w:val="38"/>
  </w:num>
  <w:num w:numId="22">
    <w:abstractNumId w:val="55"/>
  </w:num>
  <w:num w:numId="23">
    <w:abstractNumId w:val="46"/>
  </w:num>
  <w:num w:numId="24">
    <w:abstractNumId w:val="41"/>
  </w:num>
  <w:num w:numId="25">
    <w:abstractNumId w:val="36"/>
  </w:num>
  <w:num w:numId="26">
    <w:abstractNumId w:val="10"/>
  </w:num>
  <w:num w:numId="27">
    <w:abstractNumId w:val="72"/>
  </w:num>
  <w:num w:numId="28">
    <w:abstractNumId w:val="35"/>
  </w:num>
  <w:num w:numId="29">
    <w:abstractNumId w:val="28"/>
  </w:num>
  <w:num w:numId="30">
    <w:abstractNumId w:val="0"/>
  </w:num>
  <w:num w:numId="31">
    <w:abstractNumId w:val="40"/>
  </w:num>
  <w:num w:numId="32">
    <w:abstractNumId w:val="9"/>
  </w:num>
  <w:num w:numId="33">
    <w:abstractNumId w:val="64"/>
  </w:num>
  <w:num w:numId="34">
    <w:abstractNumId w:val="31"/>
  </w:num>
  <w:num w:numId="35">
    <w:abstractNumId w:val="49"/>
  </w:num>
  <w:num w:numId="36">
    <w:abstractNumId w:val="65"/>
  </w:num>
  <w:num w:numId="37">
    <w:abstractNumId w:val="67"/>
  </w:num>
  <w:num w:numId="38">
    <w:abstractNumId w:val="14"/>
  </w:num>
  <w:num w:numId="39">
    <w:abstractNumId w:val="25"/>
  </w:num>
  <w:num w:numId="40">
    <w:abstractNumId w:val="68"/>
  </w:num>
  <w:num w:numId="41">
    <w:abstractNumId w:val="2"/>
  </w:num>
  <w:num w:numId="42">
    <w:abstractNumId w:val="60"/>
  </w:num>
  <w:num w:numId="43">
    <w:abstractNumId w:val="11"/>
  </w:num>
  <w:num w:numId="44">
    <w:abstractNumId w:val="34"/>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8"/>
  </w:num>
  <w:num w:numId="49">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5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47C55"/>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A5E1D"/>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687F"/>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665C"/>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35FA"/>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5F17"/>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297E"/>
    <w:rsid w:val="005E3A43"/>
    <w:rsid w:val="005E3FC4"/>
    <w:rsid w:val="005F0B17"/>
    <w:rsid w:val="005F77C7"/>
    <w:rsid w:val="00620675"/>
    <w:rsid w:val="00622910"/>
    <w:rsid w:val="006254B6"/>
    <w:rsid w:val="00627FC8"/>
    <w:rsid w:val="006433C3"/>
    <w:rsid w:val="00644A2C"/>
    <w:rsid w:val="00650F5B"/>
    <w:rsid w:val="006670D7"/>
    <w:rsid w:val="006719EA"/>
    <w:rsid w:val="00671F13"/>
    <w:rsid w:val="0067400A"/>
    <w:rsid w:val="006847AD"/>
    <w:rsid w:val="0069114B"/>
    <w:rsid w:val="006944C1"/>
    <w:rsid w:val="006A2F2D"/>
    <w:rsid w:val="006A756A"/>
    <w:rsid w:val="006D66F7"/>
    <w:rsid w:val="00705C9D"/>
    <w:rsid w:val="00705F13"/>
    <w:rsid w:val="00711A8F"/>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60F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036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0BB3"/>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40A35"/>
    <w:rsid w:val="00D517C6"/>
    <w:rsid w:val="00D61FD1"/>
    <w:rsid w:val="00D71D84"/>
    <w:rsid w:val="00D72464"/>
    <w:rsid w:val="00D72A57"/>
    <w:rsid w:val="00D768EB"/>
    <w:rsid w:val="00D81E17"/>
    <w:rsid w:val="00D82D1E"/>
    <w:rsid w:val="00D832D9"/>
    <w:rsid w:val="00D90F00"/>
    <w:rsid w:val="00D975C0"/>
    <w:rsid w:val="00DA2CCE"/>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01B9"/>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99A"/>
    <w:rsid w:val="00EF3CA4"/>
    <w:rsid w:val="00EF7362"/>
    <w:rsid w:val="00EF7859"/>
    <w:rsid w:val="00F014DA"/>
    <w:rsid w:val="00F02591"/>
    <w:rsid w:val="00F5696E"/>
    <w:rsid w:val="00F60EFF"/>
    <w:rsid w:val="00F67D2D"/>
    <w:rsid w:val="00F858F2"/>
    <w:rsid w:val="00F860CC"/>
    <w:rsid w:val="00F94398"/>
    <w:rsid w:val="00FA0A2E"/>
    <w:rsid w:val="00FB2B56"/>
    <w:rsid w:val="00FB55D5"/>
    <w:rsid w:val="00FC12BF"/>
    <w:rsid w:val="00FC2C60"/>
    <w:rsid w:val="00FC72CD"/>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3C47E"/>
  <w15:docId w15:val="{D5BE0BAD-B6F0-4297-B640-C2ECCB39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5E297E"/>
    <w:pPr>
      <w:spacing w:after="0"/>
    </w:pPr>
    <w:rPr>
      <w:sz w:val="20"/>
      <w:szCs w:val="20"/>
    </w:rPr>
  </w:style>
  <w:style w:type="character" w:customStyle="1" w:styleId="FootnoteTextChar">
    <w:name w:val="Footnote Text Char"/>
    <w:basedOn w:val="DefaultParagraphFont"/>
    <w:link w:val="FootnoteText"/>
    <w:uiPriority w:val="99"/>
    <w:semiHidden/>
    <w:rsid w:val="005E297E"/>
    <w:rPr>
      <w:rFonts w:ascii="Lato" w:hAnsi="Lato"/>
      <w:sz w:val="20"/>
      <w:szCs w:val="20"/>
    </w:rPr>
  </w:style>
  <w:style w:type="character" w:styleId="FootnoteReference">
    <w:name w:val="footnote reference"/>
    <w:basedOn w:val="DefaultParagraphFont"/>
    <w:uiPriority w:val="99"/>
    <w:semiHidden/>
    <w:unhideWhenUsed/>
    <w:rsid w:val="005E2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tles.info@nt.gov.au" TargetMode="External"/><Relationship Id="rId4" Type="http://schemas.openxmlformats.org/officeDocument/2006/relationships/styles" Target="styles.xml"/><Relationship Id="rId9" Type="http://schemas.openxmlformats.org/officeDocument/2006/relationships/hyperlink" Target="https://nt.gov.au/industry/mining-and-petroleum/mineral-titles/mineral-titles-forms-and-guidelines/caveat-forms-and-guidelin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nt.gov.au/industry/mining-and-petroleum/mineral-titles/mineral-titles-forms-and-guidelines/caveat-forms-and-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ntg-factsheet-template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CE393C7714C96B631D861525752FC"/>
        <w:category>
          <w:name w:val="General"/>
          <w:gallery w:val="placeholder"/>
        </w:category>
        <w:types>
          <w:type w:val="bbPlcHdr"/>
        </w:types>
        <w:behaviors>
          <w:behavior w:val="content"/>
        </w:behaviors>
        <w:guid w:val="{A3AE3826-2446-4D3A-BD51-8C548B979EB2}"/>
      </w:docPartPr>
      <w:docPartBody>
        <w:p w:rsidR="00BE5ADE" w:rsidRDefault="00361AA5">
          <w:pPr>
            <w:pStyle w:val="BBACE393C7714C96B631D861525752FC"/>
          </w:pPr>
          <w:r w:rsidRPr="000E6CF8">
            <w:rPr>
              <w:rStyle w:val="PlaceholderText"/>
            </w:rPr>
            <w:t>[Title]</w:t>
          </w:r>
        </w:p>
      </w:docPartBody>
    </w:docPart>
    <w:docPart>
      <w:docPartPr>
        <w:name w:val="7F95194D27014F979F4E71055ACDA56E"/>
        <w:category>
          <w:name w:val="General"/>
          <w:gallery w:val="placeholder"/>
        </w:category>
        <w:types>
          <w:type w:val="bbPlcHdr"/>
        </w:types>
        <w:behaviors>
          <w:behavior w:val="content"/>
        </w:behaviors>
        <w:guid w:val="{FCBEC3EE-F9E6-4A8F-A719-C40A04DD41AF}"/>
      </w:docPartPr>
      <w:docPartBody>
        <w:p w:rsidR="001F0062" w:rsidRDefault="00BE5ADE" w:rsidP="00BE5ADE">
          <w:pPr>
            <w:pStyle w:val="7F95194D27014F979F4E71055ACDA56E"/>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A5"/>
    <w:rsid w:val="00174652"/>
    <w:rsid w:val="001F0062"/>
    <w:rsid w:val="00361AA5"/>
    <w:rsid w:val="00552F5B"/>
    <w:rsid w:val="009B62C8"/>
    <w:rsid w:val="00BE5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ADE"/>
    <w:rPr>
      <w:color w:val="808080"/>
    </w:rPr>
  </w:style>
  <w:style w:type="paragraph" w:customStyle="1" w:styleId="BBACE393C7714C96B631D861525752FC">
    <w:name w:val="BBACE393C7714C96B631D861525752FC"/>
  </w:style>
  <w:style w:type="paragraph" w:customStyle="1" w:styleId="7F95194D27014F979F4E71055ACDA56E">
    <w:name w:val="7F95194D27014F979F4E71055ACDA56E"/>
    <w:rsid w:val="00BE5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297DB-E47E-40AE-A0EA-E9F26864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ntg-factsheet-template_0.dotx</Template>
  <TotalTime>6</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Caveats – Lodgement, continuation and withdrawals on a Mineral Titles</vt:lpstr>
    </vt:vector>
  </TitlesOfParts>
  <Company>Industry, Tourism and Trade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Caveats – Lodgement, continuation and withdrawals on a Mineral Titles</dc:title>
  <dc:creator>Northern Territory Government</dc:creator>
  <cp:lastModifiedBy>Alison Fry</cp:lastModifiedBy>
  <cp:revision>6</cp:revision>
  <cp:lastPrinted>2021-03-01T04:00:00Z</cp:lastPrinted>
  <dcterms:created xsi:type="dcterms:W3CDTF">2020-10-15T05:12:00Z</dcterms:created>
  <dcterms:modified xsi:type="dcterms:W3CDTF">2021-03-01T04:00:00Z</dcterms:modified>
</cp:coreProperties>
</file>