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Heading1Char"/>
          <w:sz w:val="60"/>
          <w:szCs w:val="64"/>
        </w:rPr>
        <w:alias w:val="Title"/>
        <w:tag w:val="Title"/>
        <w:id w:val="-509755993"/>
        <w:placeholder>
          <w:docPart w:val="DE59E3A11E9544528BED98F0BE45B240"/>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Heading1Char"/>
        </w:rPr>
      </w:sdtEndPr>
      <w:sdtContent>
        <w:p w14:paraId="36D4343C" w14:textId="26B16E66" w:rsidR="00D61FD1" w:rsidRDefault="007A3017" w:rsidP="00DC71FE">
          <w:pPr>
            <w:pStyle w:val="Title"/>
            <w:spacing w:after="0"/>
          </w:pPr>
          <w:r w:rsidRPr="002C0803">
            <w:rPr>
              <w:rStyle w:val="Heading1Char"/>
              <w:sz w:val="60"/>
              <w:szCs w:val="64"/>
            </w:rPr>
            <w:t xml:space="preserve">Applying </w:t>
          </w:r>
          <w:r>
            <w:rPr>
              <w:rStyle w:val="Heading1Char"/>
              <w:sz w:val="60"/>
              <w:szCs w:val="64"/>
            </w:rPr>
            <w:t>announced allocation licence c</w:t>
          </w:r>
          <w:r w:rsidRPr="002C0803">
            <w:rPr>
              <w:rStyle w:val="Heading1Char"/>
              <w:sz w:val="60"/>
              <w:szCs w:val="64"/>
            </w:rPr>
            <w:t>onditions</w:t>
          </w:r>
        </w:p>
      </w:sdtContent>
    </w:sdt>
    <w:bookmarkStart w:id="1" w:name="_Toc15286907" w:displacedByCustomXml="prev"/>
    <w:bookmarkStart w:id="2" w:name="_Toc15286861" w:displacedByCustomXml="prev"/>
    <w:bookmarkEnd w:id="2"/>
    <w:bookmarkEnd w:id="1"/>
    <w:p w14:paraId="1AAEB94C" w14:textId="00436415" w:rsidR="002C0803" w:rsidRDefault="007A3017" w:rsidP="008F30DE">
      <w:pPr>
        <w:pStyle w:val="Heading1"/>
        <w:shd w:val="clear" w:color="auto" w:fill="FFFFFF" w:themeFill="background1"/>
        <w:rPr>
          <w:rFonts w:ascii="Lato" w:eastAsia="Calibri" w:hAnsi="Lato"/>
          <w:color w:val="auto"/>
          <w:kern w:val="0"/>
          <w:sz w:val="22"/>
          <w:szCs w:val="22"/>
          <w:lang w:eastAsia="en-AU"/>
        </w:rPr>
      </w:pPr>
      <w:r>
        <w:rPr>
          <w:rFonts w:ascii="Lato" w:eastAsia="Calibri" w:hAnsi="Lato"/>
          <w:color w:val="auto"/>
          <w:kern w:val="0"/>
          <w:sz w:val="22"/>
          <w:szCs w:val="22"/>
          <w:lang w:eastAsia="en-AU"/>
        </w:rPr>
        <w:t>Announced</w:t>
      </w:r>
      <w:r w:rsidRPr="002C0803">
        <w:rPr>
          <w:rFonts w:ascii="Lato" w:eastAsia="Calibri" w:hAnsi="Lato"/>
          <w:color w:val="auto"/>
          <w:kern w:val="0"/>
          <w:sz w:val="22"/>
          <w:szCs w:val="22"/>
          <w:lang w:eastAsia="en-AU"/>
        </w:rPr>
        <w:t xml:space="preserve"> </w:t>
      </w:r>
      <w:r w:rsidR="002C0803" w:rsidRPr="002C0803">
        <w:rPr>
          <w:rFonts w:ascii="Lato" w:eastAsia="Calibri" w:hAnsi="Lato"/>
          <w:color w:val="auto"/>
          <w:kern w:val="0"/>
          <w:sz w:val="22"/>
          <w:szCs w:val="22"/>
          <w:lang w:eastAsia="en-AU"/>
        </w:rPr>
        <w:t xml:space="preserve">allocations </w:t>
      </w:r>
      <w:r w:rsidR="00666B87">
        <w:rPr>
          <w:rFonts w:ascii="Lato" w:eastAsia="Calibri" w:hAnsi="Lato"/>
          <w:color w:val="auto"/>
          <w:kern w:val="0"/>
          <w:sz w:val="22"/>
          <w:szCs w:val="22"/>
          <w:lang w:eastAsia="en-AU"/>
        </w:rPr>
        <w:t xml:space="preserve">(AA) </w:t>
      </w:r>
      <w:r w:rsidR="008E6010">
        <w:rPr>
          <w:rFonts w:ascii="Lato" w:eastAsia="Calibri" w:hAnsi="Lato"/>
          <w:color w:val="auto"/>
          <w:kern w:val="0"/>
          <w:sz w:val="22"/>
          <w:szCs w:val="22"/>
          <w:lang w:eastAsia="en-AU"/>
        </w:rPr>
        <w:t xml:space="preserve">are </w:t>
      </w:r>
      <w:r w:rsidR="002C0803" w:rsidRPr="002C0803">
        <w:rPr>
          <w:rFonts w:ascii="Lato" w:eastAsia="Calibri" w:hAnsi="Lato"/>
          <w:color w:val="auto"/>
          <w:kern w:val="0"/>
          <w:sz w:val="22"/>
          <w:szCs w:val="22"/>
          <w:lang w:eastAsia="en-AU"/>
        </w:rPr>
        <w:t xml:space="preserve">an adaptive management tool that allows </w:t>
      </w:r>
      <w:r w:rsidR="008E6010">
        <w:rPr>
          <w:rFonts w:ascii="Lato" w:eastAsia="Calibri" w:hAnsi="Lato"/>
          <w:color w:val="auto"/>
          <w:kern w:val="0"/>
          <w:sz w:val="22"/>
          <w:szCs w:val="22"/>
          <w:lang w:eastAsia="en-AU"/>
        </w:rPr>
        <w:t xml:space="preserve">the volume of licenced extraction </w:t>
      </w:r>
      <w:r w:rsidR="002C0803" w:rsidRPr="002C0803">
        <w:rPr>
          <w:rFonts w:ascii="Lato" w:eastAsia="Calibri" w:hAnsi="Lato"/>
          <w:color w:val="auto"/>
          <w:kern w:val="0"/>
          <w:sz w:val="22"/>
          <w:szCs w:val="22"/>
          <w:lang w:eastAsia="en-AU"/>
        </w:rPr>
        <w:t>to be varied in response to water availability</w:t>
      </w:r>
      <w:r w:rsidR="008E6010">
        <w:rPr>
          <w:rFonts w:ascii="Lato" w:eastAsia="Calibri" w:hAnsi="Lato"/>
          <w:color w:val="auto"/>
          <w:kern w:val="0"/>
          <w:sz w:val="22"/>
          <w:szCs w:val="22"/>
          <w:lang w:eastAsia="en-AU"/>
        </w:rPr>
        <w:t>.</w:t>
      </w:r>
    </w:p>
    <w:p w14:paraId="54507EE5" w14:textId="7F5CE6E0" w:rsidR="007A3017" w:rsidRDefault="002C0803" w:rsidP="002C0803">
      <w:pPr>
        <w:rPr>
          <w:lang w:eastAsia="en-AU"/>
        </w:rPr>
      </w:pPr>
      <w:r>
        <w:rPr>
          <w:lang w:eastAsia="en-AU"/>
        </w:rPr>
        <w:t xml:space="preserve">An </w:t>
      </w:r>
      <w:r w:rsidR="00666B87">
        <w:rPr>
          <w:lang w:eastAsia="en-AU"/>
        </w:rPr>
        <w:t>AA</w:t>
      </w:r>
      <w:r>
        <w:rPr>
          <w:lang w:eastAsia="en-AU"/>
        </w:rPr>
        <w:t xml:space="preserve"> is expressed as a percentage and is applied to</w:t>
      </w:r>
      <w:r w:rsidR="00CF327B">
        <w:rPr>
          <w:lang w:eastAsia="en-AU"/>
        </w:rPr>
        <w:t xml:space="preserve"> maximum</w:t>
      </w:r>
      <w:r>
        <w:rPr>
          <w:lang w:eastAsia="en-AU"/>
        </w:rPr>
        <w:t xml:space="preserve"> licensed entitlement</w:t>
      </w:r>
      <w:r w:rsidR="007A3017">
        <w:rPr>
          <w:lang w:eastAsia="en-AU"/>
        </w:rPr>
        <w:t xml:space="preserve"> defined in </w:t>
      </w:r>
      <w:r w:rsidR="00CF327B">
        <w:rPr>
          <w:lang w:eastAsia="en-AU"/>
        </w:rPr>
        <w:t xml:space="preserve">a </w:t>
      </w:r>
      <w:r w:rsidR="007A3017">
        <w:rPr>
          <w:lang w:eastAsia="en-AU"/>
        </w:rPr>
        <w:t xml:space="preserve">water extraction licence. </w:t>
      </w:r>
    </w:p>
    <w:p w14:paraId="661F9338" w14:textId="12C5945D" w:rsidR="002C0803" w:rsidRDefault="007A3017" w:rsidP="002C0803">
      <w:pPr>
        <w:rPr>
          <w:lang w:eastAsia="en-AU"/>
        </w:rPr>
      </w:pPr>
      <w:r>
        <w:rPr>
          <w:lang w:eastAsia="en-AU"/>
        </w:rPr>
        <w:t xml:space="preserve">Generally, these apply annually to licences that take water from water resources that are classified as Top End and may be applied less frequently in water resources classified as Arid Zone in future. </w:t>
      </w:r>
    </w:p>
    <w:p w14:paraId="766B376D" w14:textId="4459CD18" w:rsidR="00E152A3" w:rsidRDefault="003B6FAB" w:rsidP="008F30DE">
      <w:pPr>
        <w:pStyle w:val="Heading1"/>
        <w:shd w:val="clear" w:color="auto" w:fill="FFFFFF" w:themeFill="background1"/>
        <w:rPr>
          <w:lang w:eastAsia="en-AU"/>
        </w:rPr>
      </w:pPr>
      <w:r>
        <w:rPr>
          <w:lang w:eastAsia="en-AU"/>
        </w:rPr>
        <w:t xml:space="preserve">When does </w:t>
      </w:r>
      <w:r w:rsidR="00A42BC8">
        <w:rPr>
          <w:lang w:eastAsia="en-AU"/>
        </w:rPr>
        <w:t>it apply</w:t>
      </w:r>
      <w:r w:rsidR="00220326">
        <w:rPr>
          <w:lang w:eastAsia="en-AU"/>
        </w:rPr>
        <w:t>?</w:t>
      </w:r>
      <w:r w:rsidR="00A42BC8">
        <w:rPr>
          <w:lang w:eastAsia="en-AU"/>
        </w:rPr>
        <w:t xml:space="preserve"> </w:t>
      </w:r>
    </w:p>
    <w:p w14:paraId="71500779" w14:textId="4B35FADF" w:rsidR="003B6FAB" w:rsidRDefault="00220326" w:rsidP="003B6FAB">
      <w:pPr>
        <w:rPr>
          <w:lang w:eastAsia="en-AU"/>
        </w:rPr>
      </w:pPr>
      <w:r>
        <w:rPr>
          <w:lang w:eastAsia="en-AU"/>
        </w:rPr>
        <w:t xml:space="preserve">Every year the Department implements </w:t>
      </w:r>
      <w:r w:rsidR="00666B87">
        <w:rPr>
          <w:lang w:eastAsia="en-AU"/>
        </w:rPr>
        <w:t>AA</w:t>
      </w:r>
      <w:r>
        <w:rPr>
          <w:lang w:eastAsia="en-AU"/>
        </w:rPr>
        <w:t xml:space="preserve"> to</w:t>
      </w:r>
      <w:r w:rsidR="003B6FAB">
        <w:rPr>
          <w:lang w:eastAsia="en-AU"/>
        </w:rPr>
        <w:t xml:space="preserve"> facilitate consistency and transparency in decision-making. </w:t>
      </w:r>
      <w:r>
        <w:rPr>
          <w:lang w:eastAsia="en-AU"/>
        </w:rPr>
        <w:t>An announcement is made each year, regardless of whether a decision to r</w:t>
      </w:r>
      <w:r w:rsidR="00666B87">
        <w:rPr>
          <w:lang w:eastAsia="en-AU"/>
        </w:rPr>
        <w:t>educe allocations is made.</w:t>
      </w:r>
    </w:p>
    <w:p w14:paraId="47FE34E5" w14:textId="5EA8881C" w:rsidR="00220326" w:rsidRDefault="00220326" w:rsidP="003B6FAB">
      <w:pPr>
        <w:rPr>
          <w:lang w:eastAsia="en-AU"/>
        </w:rPr>
      </w:pPr>
      <w:r>
        <w:rPr>
          <w:lang w:eastAsia="en-AU"/>
        </w:rPr>
        <w:t>W</w:t>
      </w:r>
      <w:r w:rsidR="003B6FAB">
        <w:rPr>
          <w:lang w:eastAsia="en-AU"/>
        </w:rPr>
        <w:t xml:space="preserve">ater resources </w:t>
      </w:r>
      <w:r>
        <w:rPr>
          <w:lang w:eastAsia="en-AU"/>
        </w:rPr>
        <w:t xml:space="preserve">that meet both the following thresholds are subject to </w:t>
      </w:r>
      <w:r w:rsidR="00666B87">
        <w:rPr>
          <w:lang w:eastAsia="en-AU"/>
        </w:rPr>
        <w:t>AA</w:t>
      </w:r>
      <w:r>
        <w:rPr>
          <w:lang w:eastAsia="en-AU"/>
        </w:rPr>
        <w:t>:</w:t>
      </w:r>
    </w:p>
    <w:p w14:paraId="2A880592" w14:textId="4527C625" w:rsidR="00220326" w:rsidRDefault="00220326" w:rsidP="00A53AB2">
      <w:pPr>
        <w:pStyle w:val="ListParagraph"/>
        <w:numPr>
          <w:ilvl w:val="0"/>
          <w:numId w:val="14"/>
        </w:numPr>
        <w:rPr>
          <w:lang w:eastAsia="en-AU"/>
        </w:rPr>
      </w:pPr>
      <w:r>
        <w:rPr>
          <w:lang w:eastAsia="en-AU"/>
        </w:rPr>
        <w:t xml:space="preserve">consumptive pool allocated under water licences for extraction is </w:t>
      </w:r>
      <w:r w:rsidR="003B6FAB">
        <w:rPr>
          <w:lang w:eastAsia="en-AU"/>
        </w:rPr>
        <w:t>50% or more</w:t>
      </w:r>
      <w:r>
        <w:rPr>
          <w:lang w:eastAsia="en-AU"/>
        </w:rPr>
        <w:t>; and</w:t>
      </w:r>
      <w:r w:rsidR="003B6FAB">
        <w:rPr>
          <w:lang w:eastAsia="en-AU"/>
        </w:rPr>
        <w:t xml:space="preserve"> </w:t>
      </w:r>
    </w:p>
    <w:p w14:paraId="59749F48" w14:textId="21E95CF3" w:rsidR="003B6FAB" w:rsidRDefault="003B6FAB" w:rsidP="00A53AB2">
      <w:pPr>
        <w:pStyle w:val="ListParagraph"/>
        <w:numPr>
          <w:ilvl w:val="0"/>
          <w:numId w:val="14"/>
        </w:numPr>
        <w:rPr>
          <w:lang w:eastAsia="en-AU"/>
        </w:rPr>
      </w:pPr>
      <w:proofErr w:type="gramStart"/>
      <w:r>
        <w:rPr>
          <w:lang w:eastAsia="en-AU"/>
        </w:rPr>
        <w:t>actual</w:t>
      </w:r>
      <w:proofErr w:type="gramEnd"/>
      <w:r>
        <w:rPr>
          <w:lang w:eastAsia="en-AU"/>
        </w:rPr>
        <w:t xml:space="preserve"> water take of those licences are at 50%, or are trending towards 50% in the next 3 years.</w:t>
      </w:r>
    </w:p>
    <w:p w14:paraId="1177DE16" w14:textId="4D1B6314" w:rsidR="003B6FAB" w:rsidRDefault="00220326" w:rsidP="00A53AB2">
      <w:pPr>
        <w:pStyle w:val="Heading1"/>
        <w:rPr>
          <w:lang w:eastAsia="en-AU"/>
        </w:rPr>
      </w:pPr>
      <w:r>
        <w:rPr>
          <w:lang w:eastAsia="en-AU"/>
        </w:rPr>
        <w:t>What is the process?</w:t>
      </w:r>
    </w:p>
    <w:p w14:paraId="29693DF9" w14:textId="76988629" w:rsidR="00220326" w:rsidRDefault="00220326" w:rsidP="00A53AB2">
      <w:pPr>
        <w:rPr>
          <w:b/>
          <w:lang w:eastAsia="en-AU"/>
        </w:rPr>
      </w:pPr>
      <w:r>
        <w:rPr>
          <w:lang w:eastAsia="en-AU"/>
        </w:rPr>
        <w:t xml:space="preserve">AA decisions are based on available scientific data and information such as climate projections, water use, flow models and previous year AA outcomes. </w:t>
      </w:r>
    </w:p>
    <w:p w14:paraId="1F897A15" w14:textId="006178CA" w:rsidR="00476AEA" w:rsidRDefault="00AD5EEC" w:rsidP="00A53AB2">
      <w:pPr>
        <w:ind w:left="993" w:hanging="993"/>
        <w:rPr>
          <w:lang w:eastAsia="en-AU"/>
        </w:rPr>
      </w:pPr>
      <w:r w:rsidRPr="00A53AB2">
        <w:rPr>
          <w:b/>
          <w:lang w:eastAsia="en-AU"/>
        </w:rPr>
        <w:t>Stage 1:</w:t>
      </w:r>
      <w:r>
        <w:rPr>
          <w:lang w:eastAsia="en-AU"/>
        </w:rPr>
        <w:t xml:space="preserve"> </w:t>
      </w:r>
      <w:r w:rsidR="00666B87">
        <w:rPr>
          <w:lang w:eastAsia="en-AU"/>
        </w:rPr>
        <w:tab/>
        <w:t>At the s</w:t>
      </w:r>
      <w:r w:rsidR="00220326">
        <w:rPr>
          <w:lang w:eastAsia="en-AU"/>
        </w:rPr>
        <w:t>tart of the wet season the department reviews g</w:t>
      </w:r>
      <w:r w:rsidR="008E6010">
        <w:rPr>
          <w:lang w:eastAsia="en-AU"/>
        </w:rPr>
        <w:t>roundwater levels, river flow</w:t>
      </w:r>
      <w:r w:rsidR="001324E0">
        <w:rPr>
          <w:lang w:eastAsia="en-AU"/>
        </w:rPr>
        <w:t>s</w:t>
      </w:r>
      <w:r w:rsidR="008E6010">
        <w:rPr>
          <w:lang w:eastAsia="en-AU"/>
        </w:rPr>
        <w:t xml:space="preserve">, water </w:t>
      </w:r>
      <w:r w:rsidR="001324E0">
        <w:rPr>
          <w:lang w:eastAsia="en-AU"/>
        </w:rPr>
        <w:t xml:space="preserve">use, </w:t>
      </w:r>
      <w:r w:rsidR="008E6010">
        <w:rPr>
          <w:lang w:eastAsia="en-AU"/>
        </w:rPr>
        <w:t xml:space="preserve">and </w:t>
      </w:r>
      <w:r w:rsidR="001324E0">
        <w:rPr>
          <w:lang w:eastAsia="en-AU"/>
        </w:rPr>
        <w:t xml:space="preserve">information from the </w:t>
      </w:r>
      <w:r w:rsidR="008E6010">
        <w:rPr>
          <w:lang w:eastAsia="en-AU"/>
        </w:rPr>
        <w:t xml:space="preserve">Bureau of </w:t>
      </w:r>
      <w:r w:rsidR="001324E0">
        <w:rPr>
          <w:lang w:eastAsia="en-AU"/>
        </w:rPr>
        <w:t xml:space="preserve">Meteorology’s </w:t>
      </w:r>
      <w:r w:rsidR="008E6010">
        <w:rPr>
          <w:lang w:eastAsia="en-AU"/>
        </w:rPr>
        <w:t>Climate Outlook</w:t>
      </w:r>
      <w:r w:rsidR="00666B87">
        <w:rPr>
          <w:lang w:eastAsia="en-AU"/>
        </w:rPr>
        <w:t>. A</w:t>
      </w:r>
      <w:r w:rsidR="001324E0">
        <w:rPr>
          <w:lang w:eastAsia="en-AU"/>
        </w:rPr>
        <w:t xml:space="preserve"> </w:t>
      </w:r>
      <w:r w:rsidR="002179F8" w:rsidRPr="00055CAF">
        <w:rPr>
          <w:b/>
          <w:bCs/>
          <w:lang w:eastAsia="en-AU"/>
        </w:rPr>
        <w:t>status update</w:t>
      </w:r>
      <w:r w:rsidR="002179F8">
        <w:rPr>
          <w:lang w:eastAsia="en-AU"/>
        </w:rPr>
        <w:t xml:space="preserve"> </w:t>
      </w:r>
      <w:r w:rsidR="001324E0">
        <w:rPr>
          <w:lang w:eastAsia="en-AU"/>
        </w:rPr>
        <w:t xml:space="preserve">is prepared, informing licence holders of the </w:t>
      </w:r>
      <w:r w:rsidR="002179F8">
        <w:rPr>
          <w:lang w:eastAsia="en-AU"/>
        </w:rPr>
        <w:t>likelihood of AA being 100%</w:t>
      </w:r>
      <w:r w:rsidR="001324E0">
        <w:rPr>
          <w:lang w:eastAsia="en-AU"/>
        </w:rPr>
        <w:t>,</w:t>
      </w:r>
      <w:r w:rsidR="002179F8">
        <w:rPr>
          <w:lang w:eastAsia="en-AU"/>
        </w:rPr>
        <w:t xml:space="preserve"> for each resource. </w:t>
      </w:r>
    </w:p>
    <w:p w14:paraId="38ACF734" w14:textId="24C49914" w:rsidR="002179F8" w:rsidRDefault="002179F8" w:rsidP="00A53AB2">
      <w:pPr>
        <w:ind w:left="993" w:hanging="993"/>
        <w:rPr>
          <w:lang w:eastAsia="en-AU"/>
        </w:rPr>
      </w:pPr>
      <w:r w:rsidRPr="00A53AB2">
        <w:rPr>
          <w:b/>
          <w:lang w:eastAsia="en-AU"/>
        </w:rPr>
        <w:t>Stage 2:</w:t>
      </w:r>
      <w:r>
        <w:rPr>
          <w:lang w:eastAsia="en-AU"/>
        </w:rPr>
        <w:t xml:space="preserve"> </w:t>
      </w:r>
      <w:r w:rsidR="00666B87">
        <w:rPr>
          <w:lang w:eastAsia="en-AU"/>
        </w:rPr>
        <w:tab/>
        <w:t>During the wet season the department monitors the rainfall and makes an</w:t>
      </w:r>
      <w:r w:rsidR="001324E0">
        <w:rPr>
          <w:lang w:eastAsia="en-AU"/>
        </w:rPr>
        <w:t xml:space="preserve"> a</w:t>
      </w:r>
      <w:r w:rsidR="008E6010">
        <w:rPr>
          <w:lang w:eastAsia="en-AU"/>
        </w:rPr>
        <w:t xml:space="preserve">ssessment of the wet season rainfall to date, </w:t>
      </w:r>
      <w:r w:rsidR="001324E0">
        <w:rPr>
          <w:lang w:eastAsia="en-AU"/>
        </w:rPr>
        <w:t>combined with the initial data analysis</w:t>
      </w:r>
      <w:r w:rsidR="00666B87">
        <w:rPr>
          <w:lang w:eastAsia="en-AU"/>
        </w:rPr>
        <w:t>.</w:t>
      </w:r>
      <w:r w:rsidR="001324E0">
        <w:rPr>
          <w:lang w:eastAsia="en-AU"/>
        </w:rPr>
        <w:t xml:space="preserve"> </w:t>
      </w:r>
      <w:r w:rsidR="00666B87">
        <w:rPr>
          <w:lang w:eastAsia="en-AU"/>
        </w:rPr>
        <w:t>An</w:t>
      </w:r>
      <w:r w:rsidR="00D200A0">
        <w:rPr>
          <w:lang w:eastAsia="en-AU"/>
        </w:rPr>
        <w:t xml:space="preserve"> </w:t>
      </w:r>
      <w:r w:rsidR="00D200A0" w:rsidRPr="00055CAF">
        <w:rPr>
          <w:b/>
          <w:bCs/>
          <w:lang w:eastAsia="en-AU"/>
        </w:rPr>
        <w:t>early notice</w:t>
      </w:r>
      <w:r w:rsidR="00D200A0">
        <w:rPr>
          <w:lang w:eastAsia="en-AU"/>
        </w:rPr>
        <w:t xml:space="preserve"> </w:t>
      </w:r>
      <w:r w:rsidR="00666B87">
        <w:rPr>
          <w:lang w:eastAsia="en-AU"/>
        </w:rPr>
        <w:t xml:space="preserve">is prepared, </w:t>
      </w:r>
      <w:r w:rsidR="00D200A0">
        <w:rPr>
          <w:lang w:eastAsia="en-AU"/>
        </w:rPr>
        <w:t xml:space="preserve">which updates the likelihood of AA being 100% for each resource. </w:t>
      </w:r>
    </w:p>
    <w:p w14:paraId="63DCB5B3" w14:textId="4A9C77E4" w:rsidR="00D200A0" w:rsidRDefault="00D200A0" w:rsidP="00A53AB2">
      <w:pPr>
        <w:ind w:left="993" w:hanging="993"/>
        <w:rPr>
          <w:lang w:eastAsia="en-AU"/>
        </w:rPr>
      </w:pPr>
      <w:r w:rsidRPr="00A53AB2">
        <w:rPr>
          <w:b/>
          <w:lang w:eastAsia="en-AU"/>
        </w:rPr>
        <w:t>Stage 3:</w:t>
      </w:r>
      <w:r>
        <w:rPr>
          <w:lang w:eastAsia="en-AU"/>
        </w:rPr>
        <w:t xml:space="preserve"> </w:t>
      </w:r>
      <w:r w:rsidR="00666B87">
        <w:rPr>
          <w:lang w:eastAsia="en-AU"/>
        </w:rPr>
        <w:tab/>
      </w:r>
      <w:r w:rsidR="001324E0">
        <w:rPr>
          <w:lang w:eastAsia="en-AU"/>
        </w:rPr>
        <w:t xml:space="preserve">Towards the end of the wet season, a </w:t>
      </w:r>
      <w:r w:rsidR="00246A2E">
        <w:rPr>
          <w:lang w:eastAsia="en-AU"/>
        </w:rPr>
        <w:t xml:space="preserve">final review of </w:t>
      </w:r>
      <w:r w:rsidR="001324E0">
        <w:rPr>
          <w:lang w:eastAsia="en-AU"/>
        </w:rPr>
        <w:t xml:space="preserve">the </w:t>
      </w:r>
      <w:r w:rsidR="00246A2E">
        <w:rPr>
          <w:lang w:eastAsia="en-AU"/>
        </w:rPr>
        <w:t xml:space="preserve">data conducted </w:t>
      </w:r>
      <w:r w:rsidR="001324E0">
        <w:rPr>
          <w:lang w:eastAsia="en-AU"/>
        </w:rPr>
        <w:t xml:space="preserve">and used </w:t>
      </w:r>
      <w:r w:rsidR="00246A2E">
        <w:rPr>
          <w:lang w:eastAsia="en-AU"/>
        </w:rPr>
        <w:t>to prepare a recommendation</w:t>
      </w:r>
      <w:r w:rsidR="00B60951">
        <w:rPr>
          <w:lang w:eastAsia="en-AU"/>
        </w:rPr>
        <w:t xml:space="preserve"> of AA for consideration by the Controller</w:t>
      </w:r>
      <w:r w:rsidR="001324E0">
        <w:rPr>
          <w:lang w:eastAsia="en-AU"/>
        </w:rPr>
        <w:t xml:space="preserve"> of Water Resources (Controller)</w:t>
      </w:r>
      <w:r w:rsidR="00B60951">
        <w:rPr>
          <w:lang w:eastAsia="en-AU"/>
        </w:rPr>
        <w:t xml:space="preserve">. </w:t>
      </w:r>
    </w:p>
    <w:p w14:paraId="09B24A6B" w14:textId="511A891A" w:rsidR="009F7C6F" w:rsidRDefault="009F7C6F" w:rsidP="00A53AB2">
      <w:pPr>
        <w:ind w:left="993" w:hanging="993"/>
        <w:rPr>
          <w:lang w:eastAsia="en-AU"/>
        </w:rPr>
      </w:pPr>
      <w:r w:rsidRPr="00A53AB2">
        <w:rPr>
          <w:b/>
          <w:lang w:eastAsia="en-AU"/>
        </w:rPr>
        <w:t>Stage 4:</w:t>
      </w:r>
      <w:r>
        <w:rPr>
          <w:lang w:eastAsia="en-AU"/>
        </w:rPr>
        <w:t xml:space="preserve"> </w:t>
      </w:r>
      <w:r w:rsidR="00666B87">
        <w:rPr>
          <w:lang w:eastAsia="en-AU"/>
        </w:rPr>
        <w:tab/>
      </w:r>
      <w:r>
        <w:rPr>
          <w:lang w:eastAsia="en-AU"/>
        </w:rPr>
        <w:t xml:space="preserve">The Controller makes a decision, it is communicated to licence holders and </w:t>
      </w:r>
      <w:r w:rsidR="003B518D">
        <w:rPr>
          <w:lang w:eastAsia="en-AU"/>
        </w:rPr>
        <w:t xml:space="preserve">announced </w:t>
      </w:r>
      <w:r>
        <w:rPr>
          <w:lang w:eastAsia="en-AU"/>
        </w:rPr>
        <w:t>publicly</w:t>
      </w:r>
      <w:r w:rsidR="00055CAF">
        <w:rPr>
          <w:lang w:eastAsia="en-AU"/>
        </w:rPr>
        <w:t xml:space="preserve"> with a </w:t>
      </w:r>
      <w:r w:rsidR="00055CAF" w:rsidRPr="00055CAF">
        <w:rPr>
          <w:b/>
          <w:bCs/>
          <w:lang w:eastAsia="en-AU"/>
        </w:rPr>
        <w:t>decision report</w:t>
      </w:r>
      <w:r>
        <w:rPr>
          <w:lang w:eastAsia="en-AU"/>
        </w:rPr>
        <w:t xml:space="preserve">. </w:t>
      </w:r>
    </w:p>
    <w:p w14:paraId="2A101889" w14:textId="7FB170B4" w:rsidR="00D61FD1" w:rsidRDefault="002C0803" w:rsidP="00D61FD1">
      <w:pPr>
        <w:pStyle w:val="Heading1"/>
        <w:rPr>
          <w:lang w:eastAsia="en-AU"/>
        </w:rPr>
      </w:pPr>
      <w:r>
        <w:rPr>
          <w:lang w:eastAsia="en-AU"/>
        </w:rPr>
        <w:t>How we communicate</w:t>
      </w:r>
    </w:p>
    <w:p w14:paraId="6C5180B7" w14:textId="25316B8F" w:rsidR="00D54E49" w:rsidRDefault="00180FA4" w:rsidP="00D61FD1">
      <w:pPr>
        <w:rPr>
          <w:lang w:eastAsia="en-AU"/>
        </w:rPr>
      </w:pPr>
      <w:r>
        <w:rPr>
          <w:lang w:eastAsia="en-AU"/>
        </w:rPr>
        <w:t>We publish reports and releases at key points in the</w:t>
      </w:r>
      <w:r w:rsidR="00D54E49">
        <w:rPr>
          <w:lang w:eastAsia="en-AU"/>
        </w:rPr>
        <w:t xml:space="preserve"> AA process on this webpage </w:t>
      </w:r>
      <w:hyperlink r:id="rId12" w:history="1">
        <w:r w:rsidR="003B518D" w:rsidRPr="003B518D">
          <w:rPr>
            <w:color w:val="0000FF"/>
            <w:u w:val="single"/>
          </w:rPr>
          <w:t>Announced water allocations | NT.GOV.AU</w:t>
        </w:r>
      </w:hyperlink>
      <w:r w:rsidR="00666B87">
        <w:rPr>
          <w:lang w:eastAsia="en-AU"/>
        </w:rPr>
        <w:t xml:space="preserve">. </w:t>
      </w:r>
      <w:r w:rsidR="00D54E49">
        <w:rPr>
          <w:lang w:eastAsia="en-AU"/>
        </w:rPr>
        <w:t xml:space="preserve">We also communicate directly with licence holders when a decision is made. </w:t>
      </w:r>
    </w:p>
    <w:p w14:paraId="74D8FE5B" w14:textId="42D4D8AC" w:rsidR="00646D9A" w:rsidRDefault="00D0685A" w:rsidP="00996655">
      <w:pPr>
        <w:rPr>
          <w:lang w:bidi="en-US"/>
        </w:rPr>
        <w:sectPr w:rsidR="00646D9A" w:rsidSect="00CC571B">
          <w:headerReference w:type="default" r:id="rId13"/>
          <w:footerReference w:type="default" r:id="rId14"/>
          <w:footerReference w:type="first" r:id="rId15"/>
          <w:pgSz w:w="11906" w:h="16838" w:code="9"/>
          <w:pgMar w:top="794" w:right="794" w:bottom="794" w:left="794" w:header="794" w:footer="794" w:gutter="0"/>
          <w:cols w:space="708"/>
          <w:titlePg/>
          <w:docGrid w:linePitch="360"/>
        </w:sectPr>
      </w:pPr>
      <w:r w:rsidRPr="00D0685A">
        <w:rPr>
          <w:lang w:eastAsia="en-AU"/>
        </w:rPr>
        <w:t xml:space="preserve">For more information, please contact us at </w:t>
      </w:r>
      <w:hyperlink r:id="rId16" w:history="1">
        <w:r w:rsidRPr="004875D8">
          <w:rPr>
            <w:rStyle w:val="Hyperlink"/>
            <w:lang w:eastAsia="en-AU"/>
          </w:rPr>
          <w:t>water.regulation@nt.gov.au</w:t>
        </w:r>
      </w:hyperlink>
      <w:r>
        <w:rPr>
          <w:lang w:eastAsia="en-AU"/>
        </w:rPr>
        <w:t xml:space="preserve"> </w:t>
      </w:r>
      <w:r w:rsidRPr="00D0685A">
        <w:rPr>
          <w:lang w:eastAsia="en-AU"/>
        </w:rPr>
        <w:t>or phone 08 8999 4455.</w:t>
      </w:r>
    </w:p>
    <w:p w14:paraId="5D7D075D" w14:textId="73F817E0" w:rsidR="00664823" w:rsidRDefault="007764E2" w:rsidP="0084154C">
      <w:pPr>
        <w:pStyle w:val="Title"/>
        <w:spacing w:after="360"/>
        <w:rPr>
          <w:lang w:bidi="en-US"/>
        </w:rPr>
      </w:pPr>
      <w:r>
        <w:rPr>
          <w:lang w:bidi="en-US"/>
        </w:rPr>
        <w:lastRenderedPageBreak/>
        <w:t xml:space="preserve">Quick guide to </w:t>
      </w:r>
      <w:r w:rsidR="006F773B">
        <w:rPr>
          <w:lang w:bidi="en-US"/>
        </w:rPr>
        <w:t>AA</w:t>
      </w:r>
    </w:p>
    <w:tbl>
      <w:tblPr>
        <w:tblStyle w:val="NTGmeetingagendatable"/>
        <w:tblpPr w:leftFromText="180" w:rightFromText="180" w:vertAnchor="text" w:horzAnchor="margin" w:tblpY="-26"/>
        <w:tblW w:w="15182" w:type="dxa"/>
        <w:tblLook w:val="04A0" w:firstRow="1" w:lastRow="0" w:firstColumn="1" w:lastColumn="0" w:noHBand="0" w:noVBand="1"/>
      </w:tblPr>
      <w:tblGrid>
        <w:gridCol w:w="4762"/>
        <w:gridCol w:w="448"/>
        <w:gridCol w:w="4762"/>
        <w:gridCol w:w="448"/>
        <w:gridCol w:w="4762"/>
      </w:tblGrid>
      <w:tr w:rsidR="00E81194" w:rsidRPr="004C7253" w14:paraId="6ED72008" w14:textId="77777777" w:rsidTr="00A53AB2">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762" w:type="dxa"/>
          </w:tcPr>
          <w:p w14:paraId="0F785086" w14:textId="7AFE2545" w:rsidR="00F45EC4" w:rsidRPr="002C0927" w:rsidRDefault="00D63935" w:rsidP="0033593B">
            <w:pPr>
              <w:rPr>
                <w:sz w:val="28"/>
                <w:szCs w:val="28"/>
                <w:lang w:bidi="en-US"/>
              </w:rPr>
            </w:pPr>
            <w:r>
              <w:rPr>
                <w:noProof/>
                <w:sz w:val="24"/>
                <w:szCs w:val="24"/>
                <w:lang w:eastAsia="en-AU"/>
              </w:rPr>
              <mc:AlternateContent>
                <mc:Choice Requires="wps">
                  <w:drawing>
                    <wp:anchor distT="0" distB="0" distL="114300" distR="114300" simplePos="0" relativeHeight="251663360" behindDoc="0" locked="0" layoutInCell="1" allowOverlap="1" wp14:anchorId="755E5F41" wp14:editId="18439D9B">
                      <wp:simplePos x="0" y="0"/>
                      <wp:positionH relativeFrom="column">
                        <wp:posOffset>2433955</wp:posOffset>
                      </wp:positionH>
                      <wp:positionV relativeFrom="paragraph">
                        <wp:posOffset>55880</wp:posOffset>
                      </wp:positionV>
                      <wp:extent cx="381000" cy="143510"/>
                      <wp:effectExtent l="0" t="19050" r="38100" b="46990"/>
                      <wp:wrapNone/>
                      <wp:docPr id="6" name="Arrow: Right 6"/>
                      <wp:cNvGraphicFramePr/>
                      <a:graphic xmlns:a="http://schemas.openxmlformats.org/drawingml/2006/main">
                        <a:graphicData uri="http://schemas.microsoft.com/office/word/2010/wordprocessingShape">
                          <wps:wsp>
                            <wps:cNvSpPr/>
                            <wps:spPr>
                              <a:xfrm>
                                <a:off x="0" y="0"/>
                                <a:ext cx="381000" cy="143510"/>
                              </a:xfrm>
                              <a:prstGeom prst="rightArrow">
                                <a:avLst/>
                              </a:prstGeom>
                              <a:solidFill>
                                <a:schemeClr val="bg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35A4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191.65pt;margin-top:4.4pt;width:30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" adj="17532" fillcolor="white [3212]" strokecolor="white [3212]" strokeweight="2pt"/>
                  </w:pict>
                </mc:Fallback>
              </mc:AlternateContent>
            </w:r>
            <w:r w:rsidR="00F45EC4" w:rsidRPr="002C0927">
              <w:rPr>
                <w:sz w:val="28"/>
                <w:szCs w:val="28"/>
                <w:lang w:bidi="en-US"/>
              </w:rPr>
              <w:t>Information collection</w:t>
            </w:r>
          </w:p>
        </w:tc>
        <w:tc>
          <w:tcPr>
            <w:tcW w:w="448" w:type="dxa"/>
          </w:tcPr>
          <w:p w14:paraId="2A89DCD2" w14:textId="77777777" w:rsidR="00F45EC4" w:rsidRPr="002C0927" w:rsidRDefault="00F45EC4" w:rsidP="0033593B">
            <w:pPr>
              <w:cnfStyle w:val="100000000000" w:firstRow="1" w:lastRow="0" w:firstColumn="0" w:lastColumn="0" w:oddVBand="0" w:evenVBand="0" w:oddHBand="0" w:evenHBand="0" w:firstRowFirstColumn="0" w:firstRowLastColumn="0" w:lastRowFirstColumn="0" w:lastRowLastColumn="0"/>
              <w:rPr>
                <w:sz w:val="28"/>
                <w:szCs w:val="28"/>
                <w:lang w:bidi="en-US"/>
              </w:rPr>
            </w:pPr>
          </w:p>
        </w:tc>
        <w:tc>
          <w:tcPr>
            <w:tcW w:w="4762" w:type="dxa"/>
          </w:tcPr>
          <w:p w14:paraId="15B5E08D" w14:textId="336C3F8E" w:rsidR="00F45EC4" w:rsidRPr="002C0927" w:rsidRDefault="00F45EC4" w:rsidP="0033593B">
            <w:pPr>
              <w:cnfStyle w:val="100000000000" w:firstRow="1" w:lastRow="0" w:firstColumn="0" w:lastColumn="0" w:oddVBand="0" w:evenVBand="0" w:oddHBand="0" w:evenHBand="0" w:firstRowFirstColumn="0" w:firstRowLastColumn="0" w:lastRowFirstColumn="0" w:lastRowLastColumn="0"/>
              <w:rPr>
                <w:sz w:val="28"/>
                <w:szCs w:val="28"/>
                <w:lang w:bidi="en-US"/>
              </w:rPr>
            </w:pPr>
            <w:r w:rsidRPr="002C0927">
              <w:rPr>
                <w:sz w:val="28"/>
                <w:szCs w:val="28"/>
                <w:lang w:bidi="en-US"/>
              </w:rPr>
              <w:t>Assessment and determination</w:t>
            </w:r>
          </w:p>
        </w:tc>
        <w:tc>
          <w:tcPr>
            <w:tcW w:w="448" w:type="dxa"/>
          </w:tcPr>
          <w:p w14:paraId="64B6BDF4" w14:textId="5ACEF523" w:rsidR="00F45EC4" w:rsidRPr="002C0927" w:rsidRDefault="006D5C43" w:rsidP="0033593B">
            <w:pPr>
              <w:cnfStyle w:val="100000000000" w:firstRow="1" w:lastRow="0" w:firstColumn="0" w:lastColumn="0" w:oddVBand="0" w:evenVBand="0" w:oddHBand="0" w:evenHBand="0" w:firstRowFirstColumn="0" w:firstRowLastColumn="0" w:lastRowFirstColumn="0" w:lastRowLastColumn="0"/>
              <w:rPr>
                <w:sz w:val="28"/>
                <w:szCs w:val="28"/>
                <w:lang w:bidi="en-US"/>
              </w:rPr>
            </w:pPr>
            <w:r>
              <w:rPr>
                <w:noProof/>
                <w:sz w:val="24"/>
                <w:szCs w:val="24"/>
                <w:lang w:eastAsia="en-AU"/>
              </w:rPr>
              <mc:AlternateContent>
                <mc:Choice Requires="wps">
                  <w:drawing>
                    <wp:anchor distT="0" distB="0" distL="114300" distR="114300" simplePos="0" relativeHeight="251661312" behindDoc="0" locked="0" layoutInCell="1" allowOverlap="1" wp14:anchorId="01E1AE07" wp14:editId="089F59AD">
                      <wp:simplePos x="0" y="0"/>
                      <wp:positionH relativeFrom="column">
                        <wp:posOffset>-299085</wp:posOffset>
                      </wp:positionH>
                      <wp:positionV relativeFrom="paragraph">
                        <wp:posOffset>64135</wp:posOffset>
                      </wp:positionV>
                      <wp:extent cx="381000" cy="143510"/>
                      <wp:effectExtent l="0" t="19050" r="38100" b="46990"/>
                      <wp:wrapNone/>
                      <wp:docPr id="5" name="Arrow: Right 5"/>
                      <wp:cNvGraphicFramePr/>
                      <a:graphic xmlns:a="http://schemas.openxmlformats.org/drawingml/2006/main">
                        <a:graphicData uri="http://schemas.microsoft.com/office/word/2010/wordprocessingShape">
                          <wps:wsp>
                            <wps:cNvSpPr/>
                            <wps:spPr>
                              <a:xfrm>
                                <a:off x="0" y="0"/>
                                <a:ext cx="381000" cy="143510"/>
                              </a:xfrm>
                              <a:prstGeom prst="rightArrow">
                                <a:avLst/>
                              </a:prstGeom>
                              <a:solidFill>
                                <a:schemeClr val="bg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702FC0" id="Arrow: Right 5" o:spid="_x0000_s1026" type="#_x0000_t13" style="position:absolute;margin-left:-23.55pt;margin-top:5.05pt;width:30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" adj="17532" fillcolor="white [3212]" strokecolor="white [3212]" strokeweight="2pt"/>
                  </w:pict>
                </mc:Fallback>
              </mc:AlternateContent>
            </w:r>
          </w:p>
        </w:tc>
        <w:tc>
          <w:tcPr>
            <w:tcW w:w="4762" w:type="dxa"/>
          </w:tcPr>
          <w:p w14:paraId="7D7439B7" w14:textId="3ABFA200" w:rsidR="00F45EC4" w:rsidRPr="002C0927" w:rsidRDefault="00F45EC4" w:rsidP="0033593B">
            <w:pPr>
              <w:cnfStyle w:val="100000000000" w:firstRow="1" w:lastRow="0" w:firstColumn="0" w:lastColumn="0" w:oddVBand="0" w:evenVBand="0" w:oddHBand="0" w:evenHBand="0" w:firstRowFirstColumn="0" w:firstRowLastColumn="0" w:lastRowFirstColumn="0" w:lastRowLastColumn="0"/>
              <w:rPr>
                <w:sz w:val="28"/>
                <w:szCs w:val="28"/>
                <w:lang w:bidi="en-US"/>
              </w:rPr>
            </w:pPr>
            <w:r w:rsidRPr="002C0927">
              <w:rPr>
                <w:sz w:val="28"/>
                <w:szCs w:val="28"/>
                <w:lang w:bidi="en-US"/>
              </w:rPr>
              <w:t>Release and application</w:t>
            </w:r>
          </w:p>
        </w:tc>
      </w:tr>
      <w:tr w:rsidR="00E81194" w:rsidRPr="004C7253" w14:paraId="01A46F8C" w14:textId="77777777" w:rsidTr="00A53AB2">
        <w:trPr>
          <w:trHeight w:val="6900"/>
        </w:trPr>
        <w:tc>
          <w:tcPr>
            <w:cnfStyle w:val="001000000000" w:firstRow="0" w:lastRow="0" w:firstColumn="1" w:lastColumn="0" w:oddVBand="0" w:evenVBand="0" w:oddHBand="0" w:evenHBand="0" w:firstRowFirstColumn="0" w:firstRowLastColumn="0" w:lastRowFirstColumn="0" w:lastRowLastColumn="0"/>
            <w:tcW w:w="4762"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top"/>
          </w:tcPr>
          <w:p w14:paraId="2CB2D4C4" w14:textId="77777777" w:rsidR="000D64DD" w:rsidRDefault="000D64DD" w:rsidP="00314691">
            <w:pPr>
              <w:rPr>
                <w:b w:val="0"/>
                <w:bCs/>
                <w:sz w:val="24"/>
                <w:szCs w:val="24"/>
                <w:lang w:bidi="en-US"/>
              </w:rPr>
            </w:pPr>
          </w:p>
          <w:p w14:paraId="2192C34A" w14:textId="6C6C0F78" w:rsidR="00666B87" w:rsidRPr="00A53AB2" w:rsidRDefault="000D64DD" w:rsidP="00314691">
            <w:pPr>
              <w:rPr>
                <w:bCs/>
                <w:lang w:bidi="en-US"/>
              </w:rPr>
            </w:pPr>
            <w:r w:rsidRPr="00A53AB2">
              <w:rPr>
                <w:bCs/>
                <w:lang w:bidi="en-US"/>
              </w:rPr>
              <w:t>S</w:t>
            </w:r>
            <w:r w:rsidR="00666B87" w:rsidRPr="00A53AB2">
              <w:rPr>
                <w:bCs/>
                <w:lang w:bidi="en-US"/>
              </w:rPr>
              <w:t xml:space="preserve">tart of wet season </w:t>
            </w:r>
          </w:p>
          <w:p w14:paraId="4917FBAA" w14:textId="4E96FAAF" w:rsidR="000D64DD" w:rsidRPr="00A53AB2" w:rsidRDefault="000D64DD" w:rsidP="00314691">
            <w:pPr>
              <w:rPr>
                <w:b w:val="0"/>
                <w:bCs/>
                <w:lang w:bidi="en-US"/>
              </w:rPr>
            </w:pPr>
          </w:p>
          <w:p w14:paraId="419776B1" w14:textId="59AE83D5" w:rsidR="00F45EC4" w:rsidRPr="00A53AB2" w:rsidRDefault="000D64DD" w:rsidP="00314691">
            <w:pPr>
              <w:rPr>
                <w:b w:val="0"/>
                <w:bCs/>
                <w:lang w:bidi="en-US"/>
              </w:rPr>
            </w:pPr>
            <w:r w:rsidRPr="00A53AB2">
              <w:rPr>
                <w:b w:val="0"/>
                <w:bCs/>
                <w:lang w:bidi="en-US"/>
              </w:rPr>
              <w:t>Department considers latest information including:</w:t>
            </w:r>
          </w:p>
          <w:p w14:paraId="754EF4C5" w14:textId="1F7A8930" w:rsidR="00F45EC4" w:rsidRPr="00A53AB2" w:rsidRDefault="00F45EC4" w:rsidP="00314691">
            <w:pPr>
              <w:pStyle w:val="ListParagraph"/>
              <w:numPr>
                <w:ilvl w:val="0"/>
                <w:numId w:val="10"/>
              </w:numPr>
              <w:spacing w:before="240"/>
              <w:rPr>
                <w:b w:val="0"/>
                <w:bCs/>
                <w:lang w:bidi="en-US"/>
              </w:rPr>
            </w:pPr>
            <w:r w:rsidRPr="00A53AB2">
              <w:rPr>
                <w:bCs/>
                <w:lang w:bidi="en-US"/>
              </w:rPr>
              <w:t>Water</w:t>
            </w:r>
            <w:r w:rsidRPr="00A53AB2">
              <w:rPr>
                <w:lang w:bidi="en-US"/>
              </w:rPr>
              <w:t xml:space="preserve"> use for each resource</w:t>
            </w:r>
            <w:r w:rsidRPr="00A53AB2">
              <w:rPr>
                <w:bCs/>
                <w:lang w:bidi="en-US"/>
              </w:rPr>
              <w:t xml:space="preserve"> </w:t>
            </w:r>
            <w:r w:rsidR="000D64DD" w:rsidRPr="00A53AB2">
              <w:rPr>
                <w:bCs/>
                <w:lang w:bidi="en-US"/>
              </w:rPr>
              <w:t>-</w:t>
            </w:r>
            <w:r w:rsidR="000D64DD" w:rsidRPr="00A53AB2">
              <w:rPr>
                <w:lang w:bidi="en-US"/>
              </w:rPr>
              <w:t xml:space="preserve"> </w:t>
            </w:r>
            <w:r w:rsidRPr="00A53AB2">
              <w:rPr>
                <w:lang w:bidi="en-US"/>
              </w:rPr>
              <w:t xml:space="preserve">actual use, </w:t>
            </w:r>
            <w:r w:rsidRPr="00A53AB2">
              <w:rPr>
                <w:bCs/>
                <w:lang w:bidi="en-US"/>
              </w:rPr>
              <w:t>and</w:t>
            </w:r>
            <w:r w:rsidRPr="00A53AB2">
              <w:rPr>
                <w:lang w:bidi="en-US"/>
              </w:rPr>
              <w:t xml:space="preserve"> licensed volume</w:t>
            </w:r>
            <w:r w:rsidRPr="00A53AB2">
              <w:rPr>
                <w:bCs/>
                <w:lang w:bidi="en-US"/>
              </w:rPr>
              <w:t>s.</w:t>
            </w:r>
          </w:p>
          <w:p w14:paraId="07F1449C" w14:textId="670588BA" w:rsidR="00F45EC4" w:rsidRPr="00A53AB2" w:rsidRDefault="00F45EC4" w:rsidP="00314691">
            <w:pPr>
              <w:pStyle w:val="ListParagraph"/>
              <w:numPr>
                <w:ilvl w:val="0"/>
                <w:numId w:val="10"/>
              </w:numPr>
              <w:rPr>
                <w:b w:val="0"/>
                <w:bCs/>
                <w:lang w:bidi="en-US"/>
              </w:rPr>
            </w:pPr>
            <w:r w:rsidRPr="00A53AB2">
              <w:rPr>
                <w:bCs/>
                <w:lang w:bidi="en-US"/>
              </w:rPr>
              <w:t>S</w:t>
            </w:r>
            <w:r w:rsidRPr="00A53AB2">
              <w:rPr>
                <w:lang w:bidi="en-US"/>
              </w:rPr>
              <w:t>urface flow</w:t>
            </w:r>
            <w:r w:rsidR="001C2E9D" w:rsidRPr="00A53AB2">
              <w:rPr>
                <w:lang w:bidi="en-US"/>
              </w:rPr>
              <w:t>s</w:t>
            </w:r>
            <w:r w:rsidRPr="00A53AB2">
              <w:rPr>
                <w:lang w:bidi="en-US"/>
              </w:rPr>
              <w:t xml:space="preserve"> and ground water </w:t>
            </w:r>
            <w:r w:rsidR="001C2E9D" w:rsidRPr="00A53AB2">
              <w:rPr>
                <w:lang w:bidi="en-US"/>
              </w:rPr>
              <w:t xml:space="preserve">levels,  at the end of the dry season,  </w:t>
            </w:r>
          </w:p>
          <w:p w14:paraId="5B439C82" w14:textId="79EB70A0" w:rsidR="00F45EC4" w:rsidRPr="00A53AB2" w:rsidRDefault="00F45EC4" w:rsidP="00314691">
            <w:pPr>
              <w:pStyle w:val="ListParagraph"/>
              <w:numPr>
                <w:ilvl w:val="0"/>
                <w:numId w:val="10"/>
              </w:numPr>
              <w:rPr>
                <w:b w:val="0"/>
                <w:bCs/>
                <w:lang w:bidi="en-US"/>
              </w:rPr>
            </w:pPr>
            <w:r w:rsidRPr="00A53AB2">
              <w:rPr>
                <w:lang w:bidi="en-US"/>
              </w:rPr>
              <w:t>Outcomes from the previous AA</w:t>
            </w:r>
          </w:p>
          <w:p w14:paraId="2A68D06D" w14:textId="141234ED" w:rsidR="00F45EC4" w:rsidRPr="00A53AB2" w:rsidRDefault="00F45EC4" w:rsidP="00314691">
            <w:pPr>
              <w:pStyle w:val="ListParagraph"/>
              <w:numPr>
                <w:ilvl w:val="0"/>
                <w:numId w:val="10"/>
              </w:numPr>
              <w:rPr>
                <w:b w:val="0"/>
                <w:bCs/>
                <w:lang w:bidi="en-US"/>
              </w:rPr>
            </w:pPr>
            <w:r w:rsidRPr="00A53AB2">
              <w:rPr>
                <w:lang w:bidi="en-US"/>
              </w:rPr>
              <w:t>Climate drivers</w:t>
            </w:r>
            <w:r w:rsidRPr="00A53AB2">
              <w:rPr>
                <w:bCs/>
                <w:lang w:bidi="en-US"/>
              </w:rPr>
              <w:t xml:space="preserve"> and forecasts</w:t>
            </w:r>
            <w:r w:rsidRPr="00A53AB2">
              <w:rPr>
                <w:lang w:bidi="en-US"/>
              </w:rPr>
              <w:t xml:space="preserve"> for the coming season</w:t>
            </w:r>
          </w:p>
          <w:p w14:paraId="283436FA" w14:textId="0F80403B" w:rsidR="00F45EC4" w:rsidRPr="00A53AB2" w:rsidRDefault="00F45EC4" w:rsidP="00314691">
            <w:pPr>
              <w:pStyle w:val="ListParagraph"/>
              <w:numPr>
                <w:ilvl w:val="0"/>
                <w:numId w:val="10"/>
              </w:numPr>
              <w:rPr>
                <w:b w:val="0"/>
                <w:bCs/>
                <w:lang w:bidi="en-US"/>
              </w:rPr>
            </w:pPr>
            <w:r w:rsidRPr="00A53AB2">
              <w:rPr>
                <w:lang w:bidi="en-US"/>
              </w:rPr>
              <w:t>Recorded rainfall to date</w:t>
            </w:r>
          </w:p>
          <w:p w14:paraId="51B2B05E" w14:textId="671CF29D" w:rsidR="00F45EC4" w:rsidRPr="00A53AB2" w:rsidRDefault="00F45EC4" w:rsidP="00314691">
            <w:pPr>
              <w:rPr>
                <w:b w:val="0"/>
                <w:bCs/>
                <w:lang w:bidi="en-US"/>
              </w:rPr>
            </w:pPr>
          </w:p>
          <w:p w14:paraId="4DF4CB2A" w14:textId="5BB69029" w:rsidR="00F45EC4" w:rsidRPr="00A53AB2" w:rsidRDefault="00F45EC4" w:rsidP="00314691">
            <w:pPr>
              <w:spacing w:after="0"/>
              <w:rPr>
                <w:b w:val="0"/>
                <w:sz w:val="24"/>
                <w:szCs w:val="24"/>
                <w:lang w:bidi="en-US"/>
              </w:rPr>
            </w:pPr>
            <w:r w:rsidRPr="00A53AB2">
              <w:rPr>
                <w:b w:val="0"/>
                <w:lang w:bidi="en-US"/>
              </w:rPr>
              <w:t>This information is used to produce models which demonstrate the potential impact of projected water take on flows throughout the coming dry season.</w:t>
            </w:r>
          </w:p>
        </w:tc>
        <w:tc>
          <w:tcPr>
            <w:tcW w:w="448" w:type="dxa"/>
            <w:tcBorders>
              <w:left w:val="single" w:sz="4" w:space="0" w:color="FFFFFF" w:themeColor="background1"/>
              <w:bottom w:val="single" w:sz="4" w:space="0" w:color="FFFFFF" w:themeColor="background1"/>
              <w:right w:val="single" w:sz="4" w:space="0" w:color="FFFFFF" w:themeColor="background1"/>
            </w:tcBorders>
          </w:tcPr>
          <w:p w14:paraId="2835A5FD" w14:textId="5445208A" w:rsidR="00F45EC4" w:rsidRPr="002C0927" w:rsidRDefault="00F45EC4" w:rsidP="00314691">
            <w:pPr>
              <w:cnfStyle w:val="000000000000" w:firstRow="0" w:lastRow="0" w:firstColumn="0" w:lastColumn="0" w:oddVBand="0" w:evenVBand="0" w:oddHBand="0" w:evenHBand="0" w:firstRowFirstColumn="0" w:firstRowLastColumn="0" w:lastRowFirstColumn="0" w:lastRowLastColumn="0"/>
              <w:rPr>
                <w:sz w:val="24"/>
                <w:szCs w:val="24"/>
                <w:lang w:bidi="en-US"/>
              </w:rPr>
            </w:pPr>
          </w:p>
        </w:tc>
        <w:tc>
          <w:tcPr>
            <w:tcW w:w="4762" w:type="dxa"/>
            <w:tcBorders>
              <w:left w:val="single" w:sz="4" w:space="0" w:color="FFFFFF" w:themeColor="background1"/>
              <w:bottom w:val="single" w:sz="4" w:space="0" w:color="FFFFFF" w:themeColor="background1"/>
              <w:right w:val="single" w:sz="4" w:space="0" w:color="FFFFFF" w:themeColor="background1"/>
            </w:tcBorders>
            <w:vAlign w:val="top"/>
          </w:tcPr>
          <w:p w14:paraId="3239DED9" w14:textId="77777777" w:rsidR="000D64DD" w:rsidRPr="00A53AB2" w:rsidRDefault="000D64DD" w:rsidP="00314691">
            <w:pPr>
              <w:cnfStyle w:val="000000000000" w:firstRow="0" w:lastRow="0" w:firstColumn="0" w:lastColumn="0" w:oddVBand="0" w:evenVBand="0" w:oddHBand="0" w:evenHBand="0" w:firstRowFirstColumn="0" w:firstRowLastColumn="0" w:lastRowFirstColumn="0" w:lastRowLastColumn="0"/>
              <w:rPr>
                <w:lang w:bidi="en-US"/>
              </w:rPr>
            </w:pPr>
          </w:p>
          <w:p w14:paraId="5D3BE611" w14:textId="55F78533" w:rsidR="00666B87" w:rsidRPr="00A53AB2" w:rsidRDefault="00666B87" w:rsidP="00314691">
            <w:pPr>
              <w:cnfStyle w:val="000000000000" w:firstRow="0" w:lastRow="0" w:firstColumn="0" w:lastColumn="0" w:oddVBand="0" w:evenVBand="0" w:oddHBand="0" w:evenHBand="0" w:firstRowFirstColumn="0" w:firstRowLastColumn="0" w:lastRowFirstColumn="0" w:lastRowLastColumn="0"/>
              <w:rPr>
                <w:b/>
                <w:lang w:bidi="en-US"/>
              </w:rPr>
            </w:pPr>
            <w:r w:rsidRPr="00A53AB2">
              <w:rPr>
                <w:b/>
                <w:lang w:bidi="en-US"/>
              </w:rPr>
              <w:t>During wet season</w:t>
            </w:r>
          </w:p>
          <w:p w14:paraId="473294A0" w14:textId="77777777" w:rsidR="000D64DD" w:rsidRPr="00A53AB2" w:rsidRDefault="000D64DD" w:rsidP="00314691">
            <w:pPr>
              <w:cnfStyle w:val="000000000000" w:firstRow="0" w:lastRow="0" w:firstColumn="0" w:lastColumn="0" w:oddVBand="0" w:evenVBand="0" w:oddHBand="0" w:evenHBand="0" w:firstRowFirstColumn="0" w:firstRowLastColumn="0" w:lastRowFirstColumn="0" w:lastRowLastColumn="0"/>
              <w:rPr>
                <w:lang w:bidi="en-US"/>
              </w:rPr>
            </w:pPr>
          </w:p>
          <w:p w14:paraId="1E5FF652" w14:textId="05481A93" w:rsidR="000D64DD" w:rsidRPr="00A53AB2" w:rsidRDefault="00F45EC4" w:rsidP="00314691">
            <w:pPr>
              <w:cnfStyle w:val="000000000000" w:firstRow="0" w:lastRow="0" w:firstColumn="0" w:lastColumn="0" w:oddVBand="0" w:evenVBand="0" w:oddHBand="0" w:evenHBand="0" w:firstRowFirstColumn="0" w:firstRowLastColumn="0" w:lastRowFirstColumn="0" w:lastRowLastColumn="0"/>
              <w:rPr>
                <w:lang w:bidi="en-US"/>
              </w:rPr>
            </w:pPr>
            <w:r w:rsidRPr="00A53AB2">
              <w:rPr>
                <w:lang w:bidi="en-US"/>
              </w:rPr>
              <w:t>First, each resource is assessed for eligibility for AA</w:t>
            </w:r>
            <w:r w:rsidR="00F2330F">
              <w:rPr>
                <w:lang w:bidi="en-US"/>
              </w:rPr>
              <w:t xml:space="preserve"> further assessment</w:t>
            </w:r>
            <w:r w:rsidRPr="00A53AB2">
              <w:rPr>
                <w:lang w:bidi="en-US"/>
              </w:rPr>
              <w:t xml:space="preserve">. </w:t>
            </w:r>
          </w:p>
          <w:p w14:paraId="363A7EF1" w14:textId="77777777" w:rsidR="000D64DD" w:rsidRPr="00A53AB2" w:rsidRDefault="000D64DD" w:rsidP="00314691">
            <w:pPr>
              <w:cnfStyle w:val="000000000000" w:firstRow="0" w:lastRow="0" w:firstColumn="0" w:lastColumn="0" w:oddVBand="0" w:evenVBand="0" w:oddHBand="0" w:evenHBand="0" w:firstRowFirstColumn="0" w:firstRowLastColumn="0" w:lastRowFirstColumn="0" w:lastRowLastColumn="0"/>
              <w:rPr>
                <w:lang w:bidi="en-US"/>
              </w:rPr>
            </w:pPr>
          </w:p>
          <w:p w14:paraId="716E8C09" w14:textId="3AEDB7DA" w:rsidR="00F45EC4" w:rsidRPr="00A53AB2" w:rsidRDefault="00F45EC4" w:rsidP="00314691">
            <w:pPr>
              <w:cnfStyle w:val="000000000000" w:firstRow="0" w:lastRow="0" w:firstColumn="0" w:lastColumn="0" w:oddVBand="0" w:evenVBand="0" w:oddHBand="0" w:evenHBand="0" w:firstRowFirstColumn="0" w:firstRowLastColumn="0" w:lastRowFirstColumn="0" w:lastRowLastColumn="0"/>
              <w:rPr>
                <w:lang w:bidi="en-US"/>
              </w:rPr>
            </w:pPr>
            <w:r w:rsidRPr="00A53AB2">
              <w:rPr>
                <w:lang w:bidi="en-US"/>
              </w:rPr>
              <w:t>Those not eligible are declared to have 100% AA</w:t>
            </w:r>
            <w:r w:rsidR="00F2330F">
              <w:rPr>
                <w:lang w:bidi="en-US"/>
              </w:rPr>
              <w:t xml:space="preserve"> for the following 12 months. </w:t>
            </w:r>
          </w:p>
          <w:p w14:paraId="1577091F" w14:textId="77777777" w:rsidR="00F45EC4" w:rsidRPr="00A53AB2" w:rsidRDefault="00F45EC4" w:rsidP="00314691">
            <w:pPr>
              <w:cnfStyle w:val="000000000000" w:firstRow="0" w:lastRow="0" w:firstColumn="0" w:lastColumn="0" w:oddVBand="0" w:evenVBand="0" w:oddHBand="0" w:evenHBand="0" w:firstRowFirstColumn="0" w:firstRowLastColumn="0" w:lastRowFirstColumn="0" w:lastRowLastColumn="0"/>
              <w:rPr>
                <w:lang w:bidi="en-US"/>
              </w:rPr>
            </w:pPr>
          </w:p>
          <w:p w14:paraId="3F7991A3" w14:textId="130397E7" w:rsidR="00F45EC4" w:rsidRPr="00A53AB2" w:rsidRDefault="00F45EC4" w:rsidP="00314691">
            <w:pPr>
              <w:cnfStyle w:val="000000000000" w:firstRow="0" w:lastRow="0" w:firstColumn="0" w:lastColumn="0" w:oddVBand="0" w:evenVBand="0" w:oddHBand="0" w:evenHBand="0" w:firstRowFirstColumn="0" w:firstRowLastColumn="0" w:lastRowFirstColumn="0" w:lastRowLastColumn="0"/>
              <w:rPr>
                <w:lang w:bidi="en-US"/>
              </w:rPr>
            </w:pPr>
            <w:r w:rsidRPr="00A53AB2">
              <w:rPr>
                <w:lang w:bidi="en-US"/>
              </w:rPr>
              <w:t>Those resources that are eligible</w:t>
            </w:r>
            <w:r w:rsidR="000D64DD" w:rsidRPr="00A53AB2">
              <w:rPr>
                <w:lang w:bidi="en-US"/>
              </w:rPr>
              <w:t xml:space="preserve"> for AA</w:t>
            </w:r>
            <w:r w:rsidRPr="00A53AB2">
              <w:rPr>
                <w:lang w:bidi="en-US"/>
              </w:rPr>
              <w:t xml:space="preserve"> are assessed in 3 stages</w:t>
            </w:r>
            <w:r w:rsidR="007F6FF9" w:rsidRPr="00A53AB2">
              <w:rPr>
                <w:lang w:bidi="en-US"/>
              </w:rPr>
              <w:t xml:space="preserve"> </w:t>
            </w:r>
            <w:r w:rsidR="001C2E9D" w:rsidRPr="00A53AB2">
              <w:rPr>
                <w:lang w:bidi="en-US"/>
              </w:rPr>
              <w:t xml:space="preserve">using </w:t>
            </w:r>
            <w:r w:rsidR="007F6FF9" w:rsidRPr="00A53AB2">
              <w:rPr>
                <w:lang w:bidi="en-US"/>
              </w:rPr>
              <w:t xml:space="preserve">actual and </w:t>
            </w:r>
            <w:r w:rsidR="00BA0C4F" w:rsidRPr="00A53AB2">
              <w:rPr>
                <w:lang w:bidi="en-US"/>
              </w:rPr>
              <w:t xml:space="preserve">forecasted data. </w:t>
            </w:r>
          </w:p>
          <w:p w14:paraId="6F58CEF6" w14:textId="1EABC6A3" w:rsidR="00BA0C4F" w:rsidRPr="00A53AB2" w:rsidRDefault="00BA0C4F" w:rsidP="00314691">
            <w:pPr>
              <w:cnfStyle w:val="000000000000" w:firstRow="0" w:lastRow="0" w:firstColumn="0" w:lastColumn="0" w:oddVBand="0" w:evenVBand="0" w:oddHBand="0" w:evenHBand="0" w:firstRowFirstColumn="0" w:firstRowLastColumn="0" w:lastRowFirstColumn="0" w:lastRowLastColumn="0"/>
              <w:rPr>
                <w:lang w:bidi="en-US"/>
              </w:rPr>
            </w:pPr>
          </w:p>
          <w:p w14:paraId="10C9C634" w14:textId="2DFBA0A4" w:rsidR="00BA0C4F" w:rsidRPr="00A53AB2" w:rsidRDefault="00D63935" w:rsidP="00A53AB2">
            <w:pPr>
              <w:pStyle w:val="ListParagraph"/>
              <w:numPr>
                <w:ilvl w:val="0"/>
                <w:numId w:val="15"/>
              </w:numPr>
              <w:spacing w:after="40"/>
              <w:cnfStyle w:val="000000000000" w:firstRow="0" w:lastRow="0" w:firstColumn="0" w:lastColumn="0" w:oddVBand="0" w:evenVBand="0" w:oddHBand="0" w:evenHBand="0" w:firstRowFirstColumn="0" w:firstRowLastColumn="0" w:lastRowFirstColumn="0" w:lastRowLastColumn="0"/>
              <w:rPr>
                <w:lang w:bidi="en-US"/>
              </w:rPr>
            </w:pPr>
            <w:r w:rsidRPr="00A53AB2">
              <w:rPr>
                <w:lang w:bidi="en-US"/>
              </w:rPr>
              <w:t xml:space="preserve">The model is updated at each stage, to </w:t>
            </w:r>
            <w:r w:rsidR="001C2E9D" w:rsidRPr="00A53AB2">
              <w:rPr>
                <w:lang w:bidi="en-US"/>
              </w:rPr>
              <w:t xml:space="preserve">better predict </w:t>
            </w:r>
            <w:r w:rsidRPr="00A53AB2">
              <w:rPr>
                <w:lang w:bidi="en-US"/>
              </w:rPr>
              <w:t xml:space="preserve">what impact </w:t>
            </w:r>
            <w:r w:rsidR="001C2E9D" w:rsidRPr="00A53AB2">
              <w:rPr>
                <w:lang w:bidi="en-US"/>
              </w:rPr>
              <w:t xml:space="preserve">licenced </w:t>
            </w:r>
            <w:r w:rsidRPr="00A53AB2">
              <w:rPr>
                <w:lang w:bidi="en-US"/>
              </w:rPr>
              <w:t xml:space="preserve">water extraction </w:t>
            </w:r>
            <w:r w:rsidR="001C2E9D" w:rsidRPr="00A53AB2">
              <w:rPr>
                <w:lang w:bidi="en-US"/>
              </w:rPr>
              <w:t xml:space="preserve">may </w:t>
            </w:r>
            <w:r w:rsidRPr="00A53AB2">
              <w:rPr>
                <w:lang w:bidi="en-US"/>
              </w:rPr>
              <w:t xml:space="preserve">have on each water resource. </w:t>
            </w:r>
          </w:p>
          <w:p w14:paraId="427CF7B8" w14:textId="77777777" w:rsidR="00F45EC4" w:rsidRPr="00A53AB2" w:rsidRDefault="00F45EC4" w:rsidP="00314691">
            <w:pPr>
              <w:cnfStyle w:val="000000000000" w:firstRow="0" w:lastRow="0" w:firstColumn="0" w:lastColumn="0" w:oddVBand="0" w:evenVBand="0" w:oddHBand="0" w:evenHBand="0" w:firstRowFirstColumn="0" w:firstRowLastColumn="0" w:lastRowFirstColumn="0" w:lastRowLastColumn="0"/>
              <w:rPr>
                <w:lang w:bidi="en-US"/>
              </w:rPr>
            </w:pPr>
          </w:p>
          <w:p w14:paraId="041E1BA9" w14:textId="77777777" w:rsidR="00F2330F" w:rsidRDefault="00F45EC4" w:rsidP="00314691">
            <w:pPr>
              <w:cnfStyle w:val="000000000000" w:firstRow="0" w:lastRow="0" w:firstColumn="0" w:lastColumn="0" w:oddVBand="0" w:evenVBand="0" w:oddHBand="0" w:evenHBand="0" w:firstRowFirstColumn="0" w:firstRowLastColumn="0" w:lastRowFirstColumn="0" w:lastRowLastColumn="0"/>
              <w:rPr>
                <w:lang w:bidi="en-US"/>
              </w:rPr>
            </w:pPr>
            <w:r w:rsidRPr="00A53AB2">
              <w:rPr>
                <w:lang w:bidi="en-US"/>
              </w:rPr>
              <w:t xml:space="preserve">Criteria for an AA reduction can differ by resource under </w:t>
            </w:r>
            <w:r w:rsidR="00F2330F">
              <w:rPr>
                <w:lang w:bidi="en-US"/>
              </w:rPr>
              <w:t>either based on:</w:t>
            </w:r>
          </w:p>
          <w:p w14:paraId="3B1EBC2A" w14:textId="77777777" w:rsidR="00F2330F" w:rsidRDefault="00F2330F" w:rsidP="00A53AB2">
            <w:pPr>
              <w:ind w:left="284"/>
              <w:cnfStyle w:val="000000000000" w:firstRow="0" w:lastRow="0" w:firstColumn="0" w:lastColumn="0" w:oddVBand="0" w:evenVBand="0" w:oddHBand="0" w:evenHBand="0" w:firstRowFirstColumn="0" w:firstRowLastColumn="0" w:lastRowFirstColumn="0" w:lastRowLastColumn="0"/>
              <w:rPr>
                <w:lang w:bidi="en-US"/>
              </w:rPr>
            </w:pPr>
          </w:p>
          <w:p w14:paraId="6FE44595" w14:textId="24B181BF" w:rsidR="00F2330F" w:rsidRPr="00A53AB2" w:rsidRDefault="00F45EC4" w:rsidP="00A53AB2">
            <w:pPr>
              <w:pStyle w:val="ListParagraph"/>
              <w:numPr>
                <w:ilvl w:val="0"/>
                <w:numId w:val="15"/>
              </w:numPr>
              <w:spacing w:after="40"/>
              <w:cnfStyle w:val="000000000000" w:firstRow="0" w:lastRow="0" w:firstColumn="0" w:lastColumn="0" w:oddVBand="0" w:evenVBand="0" w:oddHBand="0" w:evenHBand="0" w:firstRowFirstColumn="0" w:firstRowLastColumn="0" w:lastRowFirstColumn="0" w:lastRowLastColumn="0"/>
              <w:rPr>
                <w:lang w:bidi="en-US"/>
              </w:rPr>
            </w:pPr>
            <w:r w:rsidRPr="00A53AB2">
              <w:rPr>
                <w:lang w:bidi="en-US"/>
              </w:rPr>
              <w:t xml:space="preserve">water allocation plan </w:t>
            </w:r>
            <w:r w:rsidR="00F2330F">
              <w:rPr>
                <w:lang w:bidi="en-US"/>
              </w:rPr>
              <w:t>or</w:t>
            </w:r>
          </w:p>
          <w:p w14:paraId="4322F8A1" w14:textId="5670F29B" w:rsidR="006D5C43" w:rsidRPr="00A53AB2" w:rsidRDefault="00F2330F" w:rsidP="006D5C43">
            <w:pPr>
              <w:pStyle w:val="ListParagraph"/>
              <w:numPr>
                <w:ilvl w:val="0"/>
                <w:numId w:val="15"/>
              </w:numPr>
              <w:spacing w:after="40"/>
              <w:cnfStyle w:val="000000000000" w:firstRow="0" w:lastRow="0" w:firstColumn="0" w:lastColumn="0" w:oddVBand="0" w:evenVBand="0" w:oddHBand="0" w:evenHBand="0" w:firstRowFirstColumn="0" w:firstRowLastColumn="0" w:lastRowFirstColumn="0" w:lastRowLastColumn="0"/>
              <w:rPr>
                <w:bCs/>
                <w:lang w:bidi="en-US"/>
              </w:rPr>
            </w:pPr>
            <w:r w:rsidRPr="00A53AB2">
              <w:rPr>
                <w:bCs/>
                <w:lang w:bidi="en-US"/>
              </w:rPr>
              <w:t xml:space="preserve">maintaining </w:t>
            </w:r>
            <w:r w:rsidR="00F45EC4" w:rsidRPr="00A53AB2">
              <w:rPr>
                <w:bCs/>
                <w:lang w:bidi="en-US"/>
              </w:rPr>
              <w:t xml:space="preserve">80% of natural river flows </w:t>
            </w:r>
          </w:p>
        </w:tc>
        <w:tc>
          <w:tcPr>
            <w:tcW w:w="448" w:type="dxa"/>
            <w:tcBorders>
              <w:left w:val="single" w:sz="4" w:space="0" w:color="FFFFFF" w:themeColor="background1"/>
              <w:bottom w:val="single" w:sz="4" w:space="0" w:color="FFFFFF" w:themeColor="background1"/>
              <w:right w:val="single" w:sz="4" w:space="0" w:color="FFFFFF" w:themeColor="background1"/>
            </w:tcBorders>
          </w:tcPr>
          <w:p w14:paraId="690A350A" w14:textId="56EE8B6A" w:rsidR="00F45EC4" w:rsidRPr="002C0927" w:rsidRDefault="00F45EC4" w:rsidP="00314691">
            <w:pPr>
              <w:cnfStyle w:val="000000000000" w:firstRow="0" w:lastRow="0" w:firstColumn="0" w:lastColumn="0" w:oddVBand="0" w:evenVBand="0" w:oddHBand="0" w:evenHBand="0" w:firstRowFirstColumn="0" w:firstRowLastColumn="0" w:lastRowFirstColumn="0" w:lastRowLastColumn="0"/>
              <w:rPr>
                <w:sz w:val="24"/>
                <w:szCs w:val="24"/>
                <w:lang w:bidi="en-US"/>
              </w:rPr>
            </w:pPr>
          </w:p>
        </w:tc>
        <w:tc>
          <w:tcPr>
            <w:tcW w:w="4762" w:type="dxa"/>
            <w:tcBorders>
              <w:left w:val="single" w:sz="4" w:space="0" w:color="FFFFFF" w:themeColor="background1"/>
              <w:bottom w:val="single" w:sz="4" w:space="0" w:color="FFFFFF" w:themeColor="background1"/>
              <w:right w:val="single" w:sz="4" w:space="0" w:color="FFFFFF" w:themeColor="background1"/>
            </w:tcBorders>
            <w:vAlign w:val="top"/>
          </w:tcPr>
          <w:p w14:paraId="1523F4B2" w14:textId="77777777" w:rsidR="000D64DD" w:rsidRPr="00A53AB2" w:rsidRDefault="000D64DD" w:rsidP="00314691">
            <w:pPr>
              <w:cnfStyle w:val="000000000000" w:firstRow="0" w:lastRow="0" w:firstColumn="0" w:lastColumn="0" w:oddVBand="0" w:evenVBand="0" w:oddHBand="0" w:evenHBand="0" w:firstRowFirstColumn="0" w:firstRowLastColumn="0" w:lastRowFirstColumn="0" w:lastRowLastColumn="0"/>
              <w:rPr>
                <w:lang w:bidi="en-US"/>
              </w:rPr>
            </w:pPr>
          </w:p>
          <w:p w14:paraId="13AECFC1" w14:textId="0229B57C" w:rsidR="00666B87" w:rsidRPr="00A53AB2" w:rsidRDefault="00666B87" w:rsidP="00314691">
            <w:pPr>
              <w:cnfStyle w:val="000000000000" w:firstRow="0" w:lastRow="0" w:firstColumn="0" w:lastColumn="0" w:oddVBand="0" w:evenVBand="0" w:oddHBand="0" w:evenHBand="0" w:firstRowFirstColumn="0" w:firstRowLastColumn="0" w:lastRowFirstColumn="0" w:lastRowLastColumn="0"/>
              <w:rPr>
                <w:b/>
                <w:lang w:bidi="en-US"/>
              </w:rPr>
            </w:pPr>
            <w:r w:rsidRPr="00A53AB2">
              <w:rPr>
                <w:b/>
                <w:lang w:bidi="en-US"/>
              </w:rPr>
              <w:t>End of wet season</w:t>
            </w:r>
          </w:p>
          <w:p w14:paraId="2302732B" w14:textId="77777777" w:rsidR="000D64DD" w:rsidRPr="00A53AB2" w:rsidRDefault="000D64DD" w:rsidP="00314691">
            <w:pPr>
              <w:cnfStyle w:val="000000000000" w:firstRow="0" w:lastRow="0" w:firstColumn="0" w:lastColumn="0" w:oddVBand="0" w:evenVBand="0" w:oddHBand="0" w:evenHBand="0" w:firstRowFirstColumn="0" w:firstRowLastColumn="0" w:lastRowFirstColumn="0" w:lastRowLastColumn="0"/>
              <w:rPr>
                <w:lang w:bidi="en-US"/>
              </w:rPr>
            </w:pPr>
          </w:p>
          <w:p w14:paraId="62CAFF71" w14:textId="77777777" w:rsidR="000D64DD" w:rsidRPr="00A53AB2" w:rsidRDefault="000D64DD" w:rsidP="00314691">
            <w:pPr>
              <w:cnfStyle w:val="000000000000" w:firstRow="0" w:lastRow="0" w:firstColumn="0" w:lastColumn="0" w:oddVBand="0" w:evenVBand="0" w:oddHBand="0" w:evenHBand="0" w:firstRowFirstColumn="0" w:firstRowLastColumn="0" w:lastRowFirstColumn="0" w:lastRowLastColumn="0"/>
              <w:rPr>
                <w:lang w:bidi="en-US"/>
              </w:rPr>
            </w:pPr>
            <w:r w:rsidRPr="00A53AB2">
              <w:rPr>
                <w:lang w:bidi="en-US"/>
              </w:rPr>
              <w:t>The model outputs and other information is collated into a report and with a recommendation for the Controller to review.</w:t>
            </w:r>
          </w:p>
          <w:p w14:paraId="3B1CEDBA" w14:textId="77777777" w:rsidR="000D64DD" w:rsidRPr="00A53AB2" w:rsidRDefault="000D64DD" w:rsidP="00314691">
            <w:pPr>
              <w:cnfStyle w:val="000000000000" w:firstRow="0" w:lastRow="0" w:firstColumn="0" w:lastColumn="0" w:oddVBand="0" w:evenVBand="0" w:oddHBand="0" w:evenHBand="0" w:firstRowFirstColumn="0" w:firstRowLastColumn="0" w:lastRowFirstColumn="0" w:lastRowLastColumn="0"/>
              <w:rPr>
                <w:lang w:bidi="en-US"/>
              </w:rPr>
            </w:pPr>
          </w:p>
          <w:p w14:paraId="2D45897D" w14:textId="3072B1D4" w:rsidR="00F45EC4" w:rsidRPr="00A53AB2" w:rsidRDefault="00F45EC4" w:rsidP="00314691">
            <w:pPr>
              <w:cnfStyle w:val="000000000000" w:firstRow="0" w:lastRow="0" w:firstColumn="0" w:lastColumn="0" w:oddVBand="0" w:evenVBand="0" w:oddHBand="0" w:evenHBand="0" w:firstRowFirstColumn="0" w:firstRowLastColumn="0" w:lastRowFirstColumn="0" w:lastRowLastColumn="0"/>
              <w:rPr>
                <w:lang w:bidi="en-US"/>
              </w:rPr>
            </w:pPr>
            <w:r w:rsidRPr="00A53AB2">
              <w:rPr>
                <w:lang w:bidi="en-US"/>
              </w:rPr>
              <w:t xml:space="preserve">If </w:t>
            </w:r>
            <w:r w:rsidR="00404BD9" w:rsidRPr="00A53AB2">
              <w:rPr>
                <w:lang w:bidi="en-US"/>
              </w:rPr>
              <w:t>the</w:t>
            </w:r>
            <w:r w:rsidR="00F70581" w:rsidRPr="00A53AB2">
              <w:rPr>
                <w:lang w:bidi="en-US"/>
              </w:rPr>
              <w:t xml:space="preserve"> Controller determines that a reduction</w:t>
            </w:r>
            <w:r w:rsidRPr="00A53AB2">
              <w:rPr>
                <w:lang w:bidi="en-US"/>
              </w:rPr>
              <w:t xml:space="preserve"> </w:t>
            </w:r>
            <w:r w:rsidR="00F70581" w:rsidRPr="00A53AB2">
              <w:rPr>
                <w:lang w:bidi="en-US"/>
              </w:rPr>
              <w:t>is necessary</w:t>
            </w:r>
            <w:r w:rsidRPr="00A53AB2">
              <w:rPr>
                <w:lang w:bidi="en-US"/>
              </w:rPr>
              <w:t xml:space="preserve">, the department will notify all stakeholders. </w:t>
            </w:r>
          </w:p>
          <w:p w14:paraId="3B128176" w14:textId="77777777" w:rsidR="00F45EC4" w:rsidRPr="00A53AB2" w:rsidRDefault="00F45EC4" w:rsidP="00314691">
            <w:pPr>
              <w:cnfStyle w:val="000000000000" w:firstRow="0" w:lastRow="0" w:firstColumn="0" w:lastColumn="0" w:oddVBand="0" w:evenVBand="0" w:oddHBand="0" w:evenHBand="0" w:firstRowFirstColumn="0" w:firstRowLastColumn="0" w:lastRowFirstColumn="0" w:lastRowLastColumn="0"/>
              <w:rPr>
                <w:lang w:bidi="en-US"/>
              </w:rPr>
            </w:pPr>
          </w:p>
          <w:p w14:paraId="0FF24CA5" w14:textId="43278CD7" w:rsidR="00F45EC4" w:rsidRPr="00A53AB2" w:rsidRDefault="00F45EC4" w:rsidP="00A53AB2">
            <w:pPr>
              <w:pStyle w:val="ListParagraph"/>
              <w:numPr>
                <w:ilvl w:val="0"/>
                <w:numId w:val="15"/>
              </w:numPr>
              <w:spacing w:after="40"/>
              <w:cnfStyle w:val="000000000000" w:firstRow="0" w:lastRow="0" w:firstColumn="0" w:lastColumn="0" w:oddVBand="0" w:evenVBand="0" w:oddHBand="0" w:evenHBand="0" w:firstRowFirstColumn="0" w:firstRowLastColumn="0" w:lastRowFirstColumn="0" w:lastRowLastColumn="0"/>
              <w:rPr>
                <w:lang w:bidi="en-US"/>
              </w:rPr>
            </w:pPr>
            <w:r w:rsidRPr="00A53AB2">
              <w:rPr>
                <w:lang w:bidi="en-US"/>
              </w:rPr>
              <w:t xml:space="preserve">Licence holders need to adjust their water entitlement as per the advice provided from the department. </w:t>
            </w:r>
          </w:p>
          <w:p w14:paraId="0893D037" w14:textId="77777777" w:rsidR="00F45EC4" w:rsidRPr="00A53AB2" w:rsidRDefault="00F45EC4" w:rsidP="00314691">
            <w:pPr>
              <w:cnfStyle w:val="000000000000" w:firstRow="0" w:lastRow="0" w:firstColumn="0" w:lastColumn="0" w:oddVBand="0" w:evenVBand="0" w:oddHBand="0" w:evenHBand="0" w:firstRowFirstColumn="0" w:firstRowLastColumn="0" w:lastRowFirstColumn="0" w:lastRowLastColumn="0"/>
              <w:rPr>
                <w:lang w:bidi="en-US"/>
              </w:rPr>
            </w:pPr>
          </w:p>
          <w:p w14:paraId="19A57C9C" w14:textId="65BC4076" w:rsidR="00F45EC4" w:rsidRPr="00A53AB2" w:rsidRDefault="000D64DD" w:rsidP="00314691">
            <w:pPr>
              <w:cnfStyle w:val="000000000000" w:firstRow="0" w:lastRow="0" w:firstColumn="0" w:lastColumn="0" w:oddVBand="0" w:evenVBand="0" w:oddHBand="0" w:evenHBand="0" w:firstRowFirstColumn="0" w:firstRowLastColumn="0" w:lastRowFirstColumn="0" w:lastRowLastColumn="0"/>
              <w:rPr>
                <w:lang w:bidi="en-US"/>
              </w:rPr>
            </w:pPr>
            <w:r w:rsidRPr="00A53AB2">
              <w:rPr>
                <w:lang w:bidi="en-US"/>
              </w:rPr>
              <w:t xml:space="preserve">AA provide an effective regulatory to maintain </w:t>
            </w:r>
            <w:r w:rsidR="00F45EC4" w:rsidRPr="00A53AB2">
              <w:rPr>
                <w:b/>
                <w:bCs/>
                <w:lang w:bidi="en-US"/>
              </w:rPr>
              <w:t>natural river flows</w:t>
            </w:r>
            <w:r w:rsidRPr="00A53AB2">
              <w:rPr>
                <w:b/>
                <w:bCs/>
                <w:lang w:bidi="en-US"/>
              </w:rPr>
              <w:t>.</w:t>
            </w:r>
          </w:p>
          <w:p w14:paraId="41773744" w14:textId="77777777" w:rsidR="00F45EC4" w:rsidRPr="00A53AB2" w:rsidRDefault="00F45EC4" w:rsidP="00314691">
            <w:pPr>
              <w:cnfStyle w:val="000000000000" w:firstRow="0" w:lastRow="0" w:firstColumn="0" w:lastColumn="0" w:oddVBand="0" w:evenVBand="0" w:oddHBand="0" w:evenHBand="0" w:firstRowFirstColumn="0" w:firstRowLastColumn="0" w:lastRowFirstColumn="0" w:lastRowLastColumn="0"/>
              <w:rPr>
                <w:lang w:bidi="en-US"/>
              </w:rPr>
            </w:pPr>
          </w:p>
          <w:p w14:paraId="2FA90152" w14:textId="1A77AE2D" w:rsidR="00F45EC4" w:rsidRPr="00A53AB2" w:rsidRDefault="000D64DD" w:rsidP="00A53AB2">
            <w:pPr>
              <w:spacing w:after="0"/>
              <w:cnfStyle w:val="000000000000" w:firstRow="0" w:lastRow="0" w:firstColumn="0" w:lastColumn="0" w:oddVBand="0" w:evenVBand="0" w:oddHBand="0" w:evenHBand="0" w:firstRowFirstColumn="0" w:firstRowLastColumn="0" w:lastRowFirstColumn="0" w:lastRowLastColumn="0"/>
              <w:rPr>
                <w:lang w:bidi="en-US"/>
              </w:rPr>
            </w:pPr>
            <w:r w:rsidRPr="00A53AB2">
              <w:rPr>
                <w:lang w:bidi="en-US"/>
              </w:rPr>
              <w:t xml:space="preserve">Each year, the department measures the actual flows </w:t>
            </w:r>
            <w:r w:rsidR="00F2330F">
              <w:rPr>
                <w:lang w:bidi="en-US"/>
              </w:rPr>
              <w:t xml:space="preserve">at the end of the wet season to compare against the predictions at the start. </w:t>
            </w:r>
            <w:r w:rsidR="00F45EC4" w:rsidRPr="00A53AB2">
              <w:rPr>
                <w:lang w:bidi="en-US"/>
              </w:rPr>
              <w:t>Th</w:t>
            </w:r>
            <w:r w:rsidR="00F2330F">
              <w:rPr>
                <w:lang w:bidi="en-US"/>
              </w:rPr>
              <w:t xml:space="preserve">is is used to refine and improve water resource management. </w:t>
            </w:r>
          </w:p>
        </w:tc>
      </w:tr>
    </w:tbl>
    <w:p w14:paraId="63250272" w14:textId="3DF11ED9" w:rsidR="009F3DAE" w:rsidRPr="00996655" w:rsidRDefault="009F3DAE">
      <w:pPr>
        <w:rPr>
          <w:lang w:bidi="en-US"/>
        </w:rPr>
      </w:pPr>
    </w:p>
    <w:sectPr w:rsidR="009F3DAE" w:rsidRPr="00996655" w:rsidSect="00900F9B">
      <w:footerReference w:type="first" r:id="rId17"/>
      <w:pgSz w:w="16838" w:h="11906" w:orient="landscape"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7A1D4" w14:textId="77777777" w:rsidR="007C5BD2" w:rsidRDefault="007C5BD2" w:rsidP="007332FF">
      <w:r>
        <w:separator/>
      </w:r>
    </w:p>
  </w:endnote>
  <w:endnote w:type="continuationSeparator" w:id="0">
    <w:p w14:paraId="230C2037" w14:textId="77777777" w:rsidR="007C5BD2" w:rsidRDefault="007C5BD2" w:rsidP="007332FF">
      <w:r>
        <w:continuationSeparator/>
      </w:r>
    </w:p>
  </w:endnote>
  <w:endnote w:type="continuationNotice" w:id="1">
    <w:p w14:paraId="6A08F49B" w14:textId="77777777" w:rsidR="007C5BD2" w:rsidRDefault="007C5B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F3A8A" w14:textId="77777777" w:rsidR="00996655" w:rsidRDefault="00996655" w:rsidP="00996655">
    <w:pPr>
      <w:spacing w:after="0"/>
    </w:pPr>
  </w:p>
  <w:tbl>
    <w:tblPr>
      <w:tblW w:w="15320"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320"/>
    </w:tblGrid>
    <w:tr w:rsidR="00996655" w:rsidRPr="00132658" w14:paraId="6C65C8CC" w14:textId="77777777" w:rsidTr="00A53AB2">
      <w:trPr>
        <w:cantSplit/>
        <w:trHeight w:hRule="exact" w:val="637"/>
      </w:trPr>
      <w:tc>
        <w:tcPr>
          <w:tcW w:w="15320" w:type="dxa"/>
          <w:vAlign w:val="bottom"/>
        </w:tcPr>
        <w:p w14:paraId="28F57CE7" w14:textId="3AEF030A"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DE59E3A11E9544528BED98F0BE45B240"/>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914B19">
                <w:rPr>
                  <w:rStyle w:val="PageNumber"/>
                  <w:b/>
                </w:rPr>
                <w:t>ENVIRONMENT, PARKS AND WATER SECURITY</w:t>
              </w:r>
            </w:sdtContent>
          </w:sdt>
          <w:r w:rsidR="00592E78" w:rsidRPr="00750D2F">
            <w:rPr>
              <w:rStyle w:val="PageNumber"/>
            </w:rPr>
            <w:t xml:space="preserve"> </w:t>
          </w:r>
        </w:p>
        <w:p w14:paraId="6CC5694E" w14:textId="72AD6325"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2330F">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2330F">
            <w:rPr>
              <w:rStyle w:val="PageNumber"/>
              <w:noProof/>
            </w:rPr>
            <w:t>3</w:t>
          </w:r>
          <w:r w:rsidRPr="00AC4488">
            <w:rPr>
              <w:rStyle w:val="PageNumber"/>
            </w:rPr>
            <w:fldChar w:fldCharType="end"/>
          </w:r>
        </w:p>
      </w:tc>
    </w:tr>
  </w:tbl>
  <w:p w14:paraId="17D536DE" w14:textId="77777777"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CellMar>
        <w:left w:w="0" w:type="dxa"/>
        <w:right w:w="0" w:type="dxa"/>
      </w:tblCellMar>
      <w:tblLook w:val="04A0" w:firstRow="1" w:lastRow="0" w:firstColumn="1" w:lastColumn="0" w:noHBand="0" w:noVBand="1"/>
      <w:tblDescription w:val="Footer area"/>
    </w:tblPr>
    <w:tblGrid>
      <w:gridCol w:w="7514"/>
      <w:gridCol w:w="2804"/>
    </w:tblGrid>
    <w:tr w:rsidR="00D0685A" w:rsidRPr="00132658" w14:paraId="06DFBF0E" w14:textId="77777777" w:rsidTr="00D83508">
      <w:trPr>
        <w:cantSplit/>
        <w:trHeight w:hRule="exact" w:val="1020"/>
      </w:trPr>
      <w:tc>
        <w:tcPr>
          <w:tcW w:w="3641" w:type="pct"/>
          <w:vAlign w:val="bottom"/>
        </w:tcPr>
        <w:p w14:paraId="6A3D52C5" w14:textId="11D6B281" w:rsidR="00914B19" w:rsidRPr="00901430" w:rsidRDefault="00914B19" w:rsidP="00914B19">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EndPr/>
            <w:sdtContent>
              <w:r>
                <w:rPr>
                  <w:b/>
                  <w:sz w:val="19"/>
                  <w:szCs w:val="19"/>
                </w:rPr>
                <w:t>ENVIRONMENT, PARKS AND WATER SECURITY</w:t>
              </w:r>
            </w:sdtContent>
          </w:sdt>
          <w:r>
            <w:rPr>
              <w:rStyle w:val="PageNumber"/>
            </w:rPr>
            <w:t xml:space="preserve"> – Water Resources</w:t>
          </w:r>
        </w:p>
        <w:p w14:paraId="4D9D3611" w14:textId="3DF13017" w:rsidR="00914B19" w:rsidRPr="00CE30CF" w:rsidRDefault="00914B19" w:rsidP="00914B19">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6A6DDB">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6A6DDB">
            <w:rPr>
              <w:rStyle w:val="PageNumber"/>
              <w:noProof/>
            </w:rPr>
            <w:t>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1359" w:type="pct"/>
          <w:vAlign w:val="bottom"/>
        </w:tcPr>
        <w:p w14:paraId="23301699" w14:textId="77777777" w:rsidR="00914B19" w:rsidRPr="001E14EB" w:rsidRDefault="00914B19" w:rsidP="00914B19">
          <w:pPr>
            <w:spacing w:after="0"/>
            <w:jc w:val="right"/>
          </w:pPr>
          <w:r>
            <w:rPr>
              <w:noProof/>
              <w:lang w:eastAsia="en-AU"/>
            </w:rPr>
            <w:drawing>
              <wp:inline distT="0" distB="0" distL="0" distR="0" wp14:anchorId="50B13CE6" wp14:editId="3A7A21F7">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444B73E" w14:textId="77777777" w:rsidR="00D15D88" w:rsidRDefault="00D15D88" w:rsidP="00C0326E">
    <w:pPr>
      <w:spacing w:after="0"/>
    </w:pPr>
  </w:p>
  <w:p w14:paraId="7B3682BD" w14:textId="77777777" w:rsidR="00996655" w:rsidRDefault="00996655" w:rsidP="00996655">
    <w:pPr>
      <w:pStyle w:val="Hidden"/>
    </w:pPr>
  </w:p>
  <w:p w14:paraId="5FDA5DBB" w14:textId="77777777" w:rsidR="00EF7362" w:rsidRPr="00661BE1" w:rsidRDefault="00EF7362" w:rsidP="00D15D88">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CellMar>
        <w:left w:w="0" w:type="dxa"/>
        <w:right w:w="0" w:type="dxa"/>
      </w:tblCellMar>
      <w:tblLook w:val="04A0" w:firstRow="1" w:lastRow="0" w:firstColumn="1" w:lastColumn="0" w:noHBand="0" w:noVBand="1"/>
      <w:tblDescription w:val="Footer area"/>
    </w:tblPr>
    <w:tblGrid>
      <w:gridCol w:w="7796"/>
      <w:gridCol w:w="7454"/>
    </w:tblGrid>
    <w:tr w:rsidR="00D0685A" w:rsidRPr="00132658" w14:paraId="4A21AAB3" w14:textId="77777777" w:rsidTr="00D83508">
      <w:trPr>
        <w:cantSplit/>
        <w:trHeight w:hRule="exact" w:val="1020"/>
      </w:trPr>
      <w:tc>
        <w:tcPr>
          <w:tcW w:w="2556" w:type="pct"/>
          <w:vAlign w:val="bottom"/>
        </w:tcPr>
        <w:p w14:paraId="57EA3FFB" w14:textId="77777777" w:rsidR="00D0685A" w:rsidRPr="00901430" w:rsidRDefault="00D0685A" w:rsidP="00914B19">
          <w:pPr>
            <w:spacing w:after="0"/>
            <w:rPr>
              <w:rStyle w:val="PageNumber"/>
            </w:rPr>
          </w:pPr>
          <w:r>
            <w:rPr>
              <w:rStyle w:val="PageNumber"/>
            </w:rPr>
            <w:t xml:space="preserve">Department of </w:t>
          </w:r>
          <w:sdt>
            <w:sdtPr>
              <w:rPr>
                <w:b/>
                <w:sz w:val="19"/>
                <w:szCs w:val="19"/>
              </w:rPr>
              <w:alias w:val="Company"/>
              <w:tag w:val=""/>
              <w:id w:val="1129516980"/>
              <w:dataBinding w:prefixMappings="xmlns:ns0='http://schemas.openxmlformats.org/officeDocument/2006/extended-properties' " w:xpath="/ns0:Properties[1]/ns0:Company[1]" w:storeItemID="{6668398D-A668-4E3E-A5EB-62B293D839F1}"/>
              <w15:color w:val="000000"/>
              <w:text w:multiLine="1"/>
            </w:sdtPr>
            <w:sdtEndPr/>
            <w:sdtContent>
              <w:r>
                <w:rPr>
                  <w:b/>
                  <w:sz w:val="19"/>
                  <w:szCs w:val="19"/>
                </w:rPr>
                <w:t>ENVIRONMENT, PARKS AND WATER SECURITY</w:t>
              </w:r>
            </w:sdtContent>
          </w:sdt>
          <w:r>
            <w:rPr>
              <w:rStyle w:val="PageNumber"/>
            </w:rPr>
            <w:t xml:space="preserve"> – Water Resources</w:t>
          </w:r>
        </w:p>
        <w:p w14:paraId="50A56855" w14:textId="04AA91AA" w:rsidR="00D0685A" w:rsidRPr="00CE30CF" w:rsidRDefault="00D0685A" w:rsidP="00914B19">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6A6DDB">
            <w:rPr>
              <w:rStyle w:val="PageNumber"/>
              <w:noProof/>
            </w:rPr>
            <w:t>2</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6A6DDB">
            <w:rPr>
              <w:rStyle w:val="PageNumber"/>
              <w:noProof/>
            </w:rPr>
            <w:t>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444" w:type="pct"/>
          <w:vAlign w:val="bottom"/>
        </w:tcPr>
        <w:p w14:paraId="74A07126" w14:textId="77777777" w:rsidR="00D0685A" w:rsidRPr="001E14EB" w:rsidRDefault="00D0685A" w:rsidP="00914B19">
          <w:pPr>
            <w:spacing w:after="0"/>
            <w:jc w:val="right"/>
          </w:pPr>
          <w:r>
            <w:rPr>
              <w:noProof/>
              <w:lang w:eastAsia="en-AU"/>
            </w:rPr>
            <w:drawing>
              <wp:inline distT="0" distB="0" distL="0" distR="0" wp14:anchorId="46B71055" wp14:editId="77FA6E35">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89E8473" w14:textId="77777777" w:rsidR="00D0685A" w:rsidRDefault="00D0685A" w:rsidP="00C0326E">
    <w:pPr>
      <w:spacing w:after="0"/>
    </w:pPr>
  </w:p>
  <w:p w14:paraId="444BE713" w14:textId="77777777" w:rsidR="00D0685A" w:rsidRDefault="00D0685A" w:rsidP="00996655">
    <w:pPr>
      <w:pStyle w:val="Hidden"/>
    </w:pPr>
  </w:p>
  <w:p w14:paraId="2EEC9FB1" w14:textId="77777777" w:rsidR="00D0685A" w:rsidRPr="00661BE1" w:rsidRDefault="00D0685A"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35975" w14:textId="77777777" w:rsidR="007C5BD2" w:rsidRDefault="007C5BD2" w:rsidP="007332FF">
      <w:r>
        <w:separator/>
      </w:r>
    </w:p>
  </w:footnote>
  <w:footnote w:type="continuationSeparator" w:id="0">
    <w:p w14:paraId="6EFBC329" w14:textId="77777777" w:rsidR="007C5BD2" w:rsidRDefault="007C5BD2" w:rsidP="007332FF">
      <w:r>
        <w:continuationSeparator/>
      </w:r>
    </w:p>
  </w:footnote>
  <w:footnote w:type="continuationNotice" w:id="1">
    <w:p w14:paraId="4726486A" w14:textId="77777777" w:rsidR="007C5BD2" w:rsidRDefault="007C5B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5A75" w14:textId="7FE515E5" w:rsidR="00983000" w:rsidRPr="00162207" w:rsidRDefault="007C5BD2"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7A3017">
          <w:t>Applying announced allocation licence conditions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1D67CF3"/>
    <w:multiLevelType w:val="hybridMultilevel"/>
    <w:tmpl w:val="71EA8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8EC17CC"/>
    <w:multiLevelType w:val="hybridMultilevel"/>
    <w:tmpl w:val="43AC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3E777E"/>
    <w:multiLevelType w:val="hybridMultilevel"/>
    <w:tmpl w:val="B3F2EF4A"/>
    <w:lvl w:ilvl="0" w:tplc="AA74AF9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4C40569"/>
    <w:multiLevelType w:val="hybridMultilevel"/>
    <w:tmpl w:val="6D8276E0"/>
    <w:lvl w:ilvl="0" w:tplc="14CE6AD2">
      <w:start w:val="1"/>
      <w:numFmt w:val="bullet"/>
      <w:lvlText w:val="•"/>
      <w:lvlJc w:val="left"/>
      <w:pPr>
        <w:tabs>
          <w:tab w:val="num" w:pos="720"/>
        </w:tabs>
        <w:ind w:left="720" w:hanging="360"/>
      </w:pPr>
      <w:rPr>
        <w:rFonts w:ascii="Times New Roman" w:hAnsi="Times New Roman" w:hint="default"/>
      </w:rPr>
    </w:lvl>
    <w:lvl w:ilvl="1" w:tplc="88C8FC1A" w:tentative="1">
      <w:start w:val="1"/>
      <w:numFmt w:val="bullet"/>
      <w:lvlText w:val="•"/>
      <w:lvlJc w:val="left"/>
      <w:pPr>
        <w:tabs>
          <w:tab w:val="num" w:pos="1440"/>
        </w:tabs>
        <w:ind w:left="1440" w:hanging="360"/>
      </w:pPr>
      <w:rPr>
        <w:rFonts w:ascii="Times New Roman" w:hAnsi="Times New Roman" w:hint="default"/>
      </w:rPr>
    </w:lvl>
    <w:lvl w:ilvl="2" w:tplc="1E3AF9CC" w:tentative="1">
      <w:start w:val="1"/>
      <w:numFmt w:val="bullet"/>
      <w:lvlText w:val="•"/>
      <w:lvlJc w:val="left"/>
      <w:pPr>
        <w:tabs>
          <w:tab w:val="num" w:pos="2160"/>
        </w:tabs>
        <w:ind w:left="2160" w:hanging="360"/>
      </w:pPr>
      <w:rPr>
        <w:rFonts w:ascii="Times New Roman" w:hAnsi="Times New Roman" w:hint="default"/>
      </w:rPr>
    </w:lvl>
    <w:lvl w:ilvl="3" w:tplc="CE204850" w:tentative="1">
      <w:start w:val="1"/>
      <w:numFmt w:val="bullet"/>
      <w:lvlText w:val="•"/>
      <w:lvlJc w:val="left"/>
      <w:pPr>
        <w:tabs>
          <w:tab w:val="num" w:pos="2880"/>
        </w:tabs>
        <w:ind w:left="2880" w:hanging="360"/>
      </w:pPr>
      <w:rPr>
        <w:rFonts w:ascii="Times New Roman" w:hAnsi="Times New Roman" w:hint="default"/>
      </w:rPr>
    </w:lvl>
    <w:lvl w:ilvl="4" w:tplc="B8A42372" w:tentative="1">
      <w:start w:val="1"/>
      <w:numFmt w:val="bullet"/>
      <w:lvlText w:val="•"/>
      <w:lvlJc w:val="left"/>
      <w:pPr>
        <w:tabs>
          <w:tab w:val="num" w:pos="3600"/>
        </w:tabs>
        <w:ind w:left="3600" w:hanging="360"/>
      </w:pPr>
      <w:rPr>
        <w:rFonts w:ascii="Times New Roman" w:hAnsi="Times New Roman" w:hint="default"/>
      </w:rPr>
    </w:lvl>
    <w:lvl w:ilvl="5" w:tplc="185CE4B8" w:tentative="1">
      <w:start w:val="1"/>
      <w:numFmt w:val="bullet"/>
      <w:lvlText w:val="•"/>
      <w:lvlJc w:val="left"/>
      <w:pPr>
        <w:tabs>
          <w:tab w:val="num" w:pos="4320"/>
        </w:tabs>
        <w:ind w:left="4320" w:hanging="360"/>
      </w:pPr>
      <w:rPr>
        <w:rFonts w:ascii="Times New Roman" w:hAnsi="Times New Roman" w:hint="default"/>
      </w:rPr>
    </w:lvl>
    <w:lvl w:ilvl="6" w:tplc="16C878A4" w:tentative="1">
      <w:start w:val="1"/>
      <w:numFmt w:val="bullet"/>
      <w:lvlText w:val="•"/>
      <w:lvlJc w:val="left"/>
      <w:pPr>
        <w:tabs>
          <w:tab w:val="num" w:pos="5040"/>
        </w:tabs>
        <w:ind w:left="5040" w:hanging="360"/>
      </w:pPr>
      <w:rPr>
        <w:rFonts w:ascii="Times New Roman" w:hAnsi="Times New Roman" w:hint="default"/>
      </w:rPr>
    </w:lvl>
    <w:lvl w:ilvl="7" w:tplc="9258DD6E" w:tentative="1">
      <w:start w:val="1"/>
      <w:numFmt w:val="bullet"/>
      <w:lvlText w:val="•"/>
      <w:lvlJc w:val="left"/>
      <w:pPr>
        <w:tabs>
          <w:tab w:val="num" w:pos="5760"/>
        </w:tabs>
        <w:ind w:left="5760" w:hanging="360"/>
      </w:pPr>
      <w:rPr>
        <w:rFonts w:ascii="Times New Roman" w:hAnsi="Times New Roman" w:hint="default"/>
      </w:rPr>
    </w:lvl>
    <w:lvl w:ilvl="8" w:tplc="4BD6B20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8F3326C"/>
    <w:multiLevelType w:val="hybridMultilevel"/>
    <w:tmpl w:val="4F362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AB02EF6"/>
    <w:multiLevelType w:val="hybridMultilevel"/>
    <w:tmpl w:val="AA3ADF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CA3A22"/>
    <w:multiLevelType w:val="hybridMultilevel"/>
    <w:tmpl w:val="4A4A7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2"/>
  </w:num>
  <w:num w:numId="3">
    <w:abstractNumId w:val="40"/>
  </w:num>
  <w:num w:numId="4">
    <w:abstractNumId w:val="26"/>
  </w:num>
  <w:num w:numId="5">
    <w:abstractNumId w:val="18"/>
  </w:num>
  <w:num w:numId="6">
    <w:abstractNumId w:val="8"/>
  </w:num>
  <w:num w:numId="7">
    <w:abstractNumId w:val="28"/>
  </w:num>
  <w:num w:numId="8">
    <w:abstractNumId w:val="15"/>
  </w:num>
  <w:num w:numId="9">
    <w:abstractNumId w:val="4"/>
  </w:num>
  <w:num w:numId="10">
    <w:abstractNumId w:val="36"/>
  </w:num>
  <w:num w:numId="11">
    <w:abstractNumId w:val="16"/>
  </w:num>
  <w:num w:numId="12">
    <w:abstractNumId w:val="17"/>
  </w:num>
  <w:num w:numId="13">
    <w:abstractNumId w:val="22"/>
  </w:num>
  <w:num w:numId="14">
    <w:abstractNumId w:val="32"/>
  </w:num>
  <w:num w:numId="1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03"/>
    <w:rsid w:val="00001DDF"/>
    <w:rsid w:val="000021AC"/>
    <w:rsid w:val="0000322D"/>
    <w:rsid w:val="00007670"/>
    <w:rsid w:val="00010665"/>
    <w:rsid w:val="00013A1D"/>
    <w:rsid w:val="0001452C"/>
    <w:rsid w:val="00014652"/>
    <w:rsid w:val="0002393A"/>
    <w:rsid w:val="00023959"/>
    <w:rsid w:val="00026E22"/>
    <w:rsid w:val="00027DB8"/>
    <w:rsid w:val="00031A96"/>
    <w:rsid w:val="00040BF3"/>
    <w:rsid w:val="0004211C"/>
    <w:rsid w:val="00046C59"/>
    <w:rsid w:val="00051362"/>
    <w:rsid w:val="00051F45"/>
    <w:rsid w:val="00052953"/>
    <w:rsid w:val="0005341A"/>
    <w:rsid w:val="0005465F"/>
    <w:rsid w:val="00055CAF"/>
    <w:rsid w:val="00056DEF"/>
    <w:rsid w:val="00056EDC"/>
    <w:rsid w:val="000624E2"/>
    <w:rsid w:val="0006635A"/>
    <w:rsid w:val="000720BE"/>
    <w:rsid w:val="0007259C"/>
    <w:rsid w:val="00072657"/>
    <w:rsid w:val="00080202"/>
    <w:rsid w:val="00080DCD"/>
    <w:rsid w:val="00080E22"/>
    <w:rsid w:val="00082573"/>
    <w:rsid w:val="000840A3"/>
    <w:rsid w:val="00085062"/>
    <w:rsid w:val="00085814"/>
    <w:rsid w:val="00086A5F"/>
    <w:rsid w:val="000911EF"/>
    <w:rsid w:val="000962C5"/>
    <w:rsid w:val="00097865"/>
    <w:rsid w:val="000A4317"/>
    <w:rsid w:val="000A559C"/>
    <w:rsid w:val="000B2CA1"/>
    <w:rsid w:val="000C18D2"/>
    <w:rsid w:val="000C52B5"/>
    <w:rsid w:val="000C5744"/>
    <w:rsid w:val="000D1F29"/>
    <w:rsid w:val="000D633D"/>
    <w:rsid w:val="000D64DD"/>
    <w:rsid w:val="000E342B"/>
    <w:rsid w:val="000E3ED2"/>
    <w:rsid w:val="000E5DD2"/>
    <w:rsid w:val="000F15BE"/>
    <w:rsid w:val="000F2958"/>
    <w:rsid w:val="000F3850"/>
    <w:rsid w:val="000F604F"/>
    <w:rsid w:val="00104E7F"/>
    <w:rsid w:val="0011278E"/>
    <w:rsid w:val="001137EC"/>
    <w:rsid w:val="00114404"/>
    <w:rsid w:val="001152F5"/>
    <w:rsid w:val="00117743"/>
    <w:rsid w:val="00117F5B"/>
    <w:rsid w:val="00127715"/>
    <w:rsid w:val="0013009E"/>
    <w:rsid w:val="00130E78"/>
    <w:rsid w:val="001324E0"/>
    <w:rsid w:val="00132658"/>
    <w:rsid w:val="00133C18"/>
    <w:rsid w:val="001421B2"/>
    <w:rsid w:val="00150DC0"/>
    <w:rsid w:val="00156CD4"/>
    <w:rsid w:val="0016153B"/>
    <w:rsid w:val="00162207"/>
    <w:rsid w:val="00164A3E"/>
    <w:rsid w:val="00166FF6"/>
    <w:rsid w:val="00176123"/>
    <w:rsid w:val="00180FA4"/>
    <w:rsid w:val="00181620"/>
    <w:rsid w:val="00181761"/>
    <w:rsid w:val="00184694"/>
    <w:rsid w:val="00187130"/>
    <w:rsid w:val="001957AD"/>
    <w:rsid w:val="00196F8E"/>
    <w:rsid w:val="001A2B7F"/>
    <w:rsid w:val="001A3AFD"/>
    <w:rsid w:val="001A496C"/>
    <w:rsid w:val="001A576A"/>
    <w:rsid w:val="001B28DA"/>
    <w:rsid w:val="001B2B6C"/>
    <w:rsid w:val="001C0084"/>
    <w:rsid w:val="001C2E9D"/>
    <w:rsid w:val="001D01C4"/>
    <w:rsid w:val="001D4F99"/>
    <w:rsid w:val="001D52B0"/>
    <w:rsid w:val="001D5A18"/>
    <w:rsid w:val="001D7CA4"/>
    <w:rsid w:val="001E057F"/>
    <w:rsid w:val="001E118D"/>
    <w:rsid w:val="001E14EB"/>
    <w:rsid w:val="001F59E6"/>
    <w:rsid w:val="001F5C55"/>
    <w:rsid w:val="00203F1C"/>
    <w:rsid w:val="00206936"/>
    <w:rsid w:val="00206C6F"/>
    <w:rsid w:val="00206FBD"/>
    <w:rsid w:val="00207746"/>
    <w:rsid w:val="002158CF"/>
    <w:rsid w:val="002179F8"/>
    <w:rsid w:val="00217B97"/>
    <w:rsid w:val="00220326"/>
    <w:rsid w:val="00230031"/>
    <w:rsid w:val="00235C01"/>
    <w:rsid w:val="00245419"/>
    <w:rsid w:val="00246A2E"/>
    <w:rsid w:val="00247343"/>
    <w:rsid w:val="00247F10"/>
    <w:rsid w:val="0026105A"/>
    <w:rsid w:val="00264C32"/>
    <w:rsid w:val="00265C56"/>
    <w:rsid w:val="00266726"/>
    <w:rsid w:val="002716CD"/>
    <w:rsid w:val="00274D4B"/>
    <w:rsid w:val="002806F5"/>
    <w:rsid w:val="00281577"/>
    <w:rsid w:val="00282971"/>
    <w:rsid w:val="00287293"/>
    <w:rsid w:val="002926BC"/>
    <w:rsid w:val="00293A72"/>
    <w:rsid w:val="002A0160"/>
    <w:rsid w:val="002A30C3"/>
    <w:rsid w:val="002A6F6A"/>
    <w:rsid w:val="002A7712"/>
    <w:rsid w:val="002A7ED4"/>
    <w:rsid w:val="002B38F7"/>
    <w:rsid w:val="002B4F50"/>
    <w:rsid w:val="002B5591"/>
    <w:rsid w:val="002B6AA4"/>
    <w:rsid w:val="002C0803"/>
    <w:rsid w:val="002C0927"/>
    <w:rsid w:val="002C1FE9"/>
    <w:rsid w:val="002C32A6"/>
    <w:rsid w:val="002D3A57"/>
    <w:rsid w:val="002D7D05"/>
    <w:rsid w:val="002E20C8"/>
    <w:rsid w:val="002E3D13"/>
    <w:rsid w:val="002E4290"/>
    <w:rsid w:val="002E4AF2"/>
    <w:rsid w:val="002E5096"/>
    <w:rsid w:val="002E66A6"/>
    <w:rsid w:val="002F0DB1"/>
    <w:rsid w:val="002F2885"/>
    <w:rsid w:val="002F45A1"/>
    <w:rsid w:val="002F525F"/>
    <w:rsid w:val="0030203D"/>
    <w:rsid w:val="003037F9"/>
    <w:rsid w:val="0030583E"/>
    <w:rsid w:val="00307FE1"/>
    <w:rsid w:val="00314691"/>
    <w:rsid w:val="003164BA"/>
    <w:rsid w:val="003258E6"/>
    <w:rsid w:val="0033593B"/>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3765"/>
    <w:rsid w:val="003A6341"/>
    <w:rsid w:val="003B4FF1"/>
    <w:rsid w:val="003B518D"/>
    <w:rsid w:val="003B67FD"/>
    <w:rsid w:val="003B6A61"/>
    <w:rsid w:val="003B6FAB"/>
    <w:rsid w:val="003D0F63"/>
    <w:rsid w:val="003D42C0"/>
    <w:rsid w:val="003D5B29"/>
    <w:rsid w:val="003D7818"/>
    <w:rsid w:val="003E2445"/>
    <w:rsid w:val="003E3BB2"/>
    <w:rsid w:val="003E3C57"/>
    <w:rsid w:val="003E7A32"/>
    <w:rsid w:val="003F5B58"/>
    <w:rsid w:val="00401E6D"/>
    <w:rsid w:val="0040222A"/>
    <w:rsid w:val="004031C6"/>
    <w:rsid w:val="00404285"/>
    <w:rsid w:val="004047BC"/>
    <w:rsid w:val="00404BD9"/>
    <w:rsid w:val="00406E74"/>
    <w:rsid w:val="004100F7"/>
    <w:rsid w:val="00414CB3"/>
    <w:rsid w:val="00414F8F"/>
    <w:rsid w:val="0041563D"/>
    <w:rsid w:val="00426E25"/>
    <w:rsid w:val="00427D9C"/>
    <w:rsid w:val="00427E7E"/>
    <w:rsid w:val="0043465D"/>
    <w:rsid w:val="00443B6E"/>
    <w:rsid w:val="0045420A"/>
    <w:rsid w:val="004554D4"/>
    <w:rsid w:val="004573B7"/>
    <w:rsid w:val="00461744"/>
    <w:rsid w:val="00466185"/>
    <w:rsid w:val="00466303"/>
    <w:rsid w:val="004668A7"/>
    <w:rsid w:val="00466D96"/>
    <w:rsid w:val="00467747"/>
    <w:rsid w:val="00470017"/>
    <w:rsid w:val="0047105A"/>
    <w:rsid w:val="00473C98"/>
    <w:rsid w:val="0047438F"/>
    <w:rsid w:val="00474965"/>
    <w:rsid w:val="00476AEA"/>
    <w:rsid w:val="00482DF8"/>
    <w:rsid w:val="004864DE"/>
    <w:rsid w:val="00492915"/>
    <w:rsid w:val="00494BE5"/>
    <w:rsid w:val="004A0EBA"/>
    <w:rsid w:val="004A2538"/>
    <w:rsid w:val="004A331E"/>
    <w:rsid w:val="004A408C"/>
    <w:rsid w:val="004B0C15"/>
    <w:rsid w:val="004B35EA"/>
    <w:rsid w:val="004B69E4"/>
    <w:rsid w:val="004C3ACC"/>
    <w:rsid w:val="004C6C39"/>
    <w:rsid w:val="004C7253"/>
    <w:rsid w:val="004D075F"/>
    <w:rsid w:val="004D1B76"/>
    <w:rsid w:val="004D344E"/>
    <w:rsid w:val="004D3DB6"/>
    <w:rsid w:val="004E019E"/>
    <w:rsid w:val="004E06EC"/>
    <w:rsid w:val="004E0A3F"/>
    <w:rsid w:val="004E2CB7"/>
    <w:rsid w:val="004F016A"/>
    <w:rsid w:val="00500F94"/>
    <w:rsid w:val="00502FB3"/>
    <w:rsid w:val="00503DE9"/>
    <w:rsid w:val="0050530C"/>
    <w:rsid w:val="00505DEA"/>
    <w:rsid w:val="00507782"/>
    <w:rsid w:val="0051097E"/>
    <w:rsid w:val="00512A04"/>
    <w:rsid w:val="00520499"/>
    <w:rsid w:val="005249F5"/>
    <w:rsid w:val="005260F7"/>
    <w:rsid w:val="0054295C"/>
    <w:rsid w:val="00543BD1"/>
    <w:rsid w:val="00556113"/>
    <w:rsid w:val="00556448"/>
    <w:rsid w:val="00564C12"/>
    <w:rsid w:val="005654B8"/>
    <w:rsid w:val="00570CE5"/>
    <w:rsid w:val="005762CC"/>
    <w:rsid w:val="00581081"/>
    <w:rsid w:val="00582838"/>
    <w:rsid w:val="00582D3D"/>
    <w:rsid w:val="00585080"/>
    <w:rsid w:val="00590040"/>
    <w:rsid w:val="00592E78"/>
    <w:rsid w:val="00595386"/>
    <w:rsid w:val="00597234"/>
    <w:rsid w:val="005A3294"/>
    <w:rsid w:val="005A4AC0"/>
    <w:rsid w:val="005A5FDF"/>
    <w:rsid w:val="005B0FB7"/>
    <w:rsid w:val="005B122A"/>
    <w:rsid w:val="005B1FCB"/>
    <w:rsid w:val="005B5AC2"/>
    <w:rsid w:val="005C2833"/>
    <w:rsid w:val="005D30EB"/>
    <w:rsid w:val="005E144D"/>
    <w:rsid w:val="005E1500"/>
    <w:rsid w:val="005E3A43"/>
    <w:rsid w:val="005E3FC4"/>
    <w:rsid w:val="005F08FD"/>
    <w:rsid w:val="005F0B17"/>
    <w:rsid w:val="005F77C7"/>
    <w:rsid w:val="00612010"/>
    <w:rsid w:val="00620675"/>
    <w:rsid w:val="00622910"/>
    <w:rsid w:val="006254B6"/>
    <w:rsid w:val="00627FC8"/>
    <w:rsid w:val="00632709"/>
    <w:rsid w:val="006433C3"/>
    <w:rsid w:val="00646D9A"/>
    <w:rsid w:val="00650F5B"/>
    <w:rsid w:val="00664823"/>
    <w:rsid w:val="00666B87"/>
    <w:rsid w:val="006670D7"/>
    <w:rsid w:val="006719EA"/>
    <w:rsid w:val="00671F13"/>
    <w:rsid w:val="0067400A"/>
    <w:rsid w:val="006801EF"/>
    <w:rsid w:val="006847AD"/>
    <w:rsid w:val="0069114B"/>
    <w:rsid w:val="006944C1"/>
    <w:rsid w:val="00695099"/>
    <w:rsid w:val="006A1CEB"/>
    <w:rsid w:val="006A2F2D"/>
    <w:rsid w:val="006A47C0"/>
    <w:rsid w:val="006A6DDB"/>
    <w:rsid w:val="006A756A"/>
    <w:rsid w:val="006B6064"/>
    <w:rsid w:val="006D0CAF"/>
    <w:rsid w:val="006D5C43"/>
    <w:rsid w:val="006D66F7"/>
    <w:rsid w:val="006E73B3"/>
    <w:rsid w:val="006F5A73"/>
    <w:rsid w:val="006F773B"/>
    <w:rsid w:val="007019DB"/>
    <w:rsid w:val="00705C9D"/>
    <w:rsid w:val="00705F13"/>
    <w:rsid w:val="00714F1D"/>
    <w:rsid w:val="00715225"/>
    <w:rsid w:val="00720CC6"/>
    <w:rsid w:val="00722DDB"/>
    <w:rsid w:val="00724728"/>
    <w:rsid w:val="00724F98"/>
    <w:rsid w:val="00730B9B"/>
    <w:rsid w:val="00731477"/>
    <w:rsid w:val="0073182E"/>
    <w:rsid w:val="007328FF"/>
    <w:rsid w:val="00732FA0"/>
    <w:rsid w:val="007332FF"/>
    <w:rsid w:val="00733C87"/>
    <w:rsid w:val="00734D32"/>
    <w:rsid w:val="007408F5"/>
    <w:rsid w:val="00741EAE"/>
    <w:rsid w:val="007449C1"/>
    <w:rsid w:val="00750D2F"/>
    <w:rsid w:val="00755248"/>
    <w:rsid w:val="0076190B"/>
    <w:rsid w:val="00763448"/>
    <w:rsid w:val="0076355D"/>
    <w:rsid w:val="00763A2D"/>
    <w:rsid w:val="007641DE"/>
    <w:rsid w:val="007670BC"/>
    <w:rsid w:val="007676A4"/>
    <w:rsid w:val="00767D11"/>
    <w:rsid w:val="00773D28"/>
    <w:rsid w:val="007764E2"/>
    <w:rsid w:val="00777795"/>
    <w:rsid w:val="00783A57"/>
    <w:rsid w:val="00784C92"/>
    <w:rsid w:val="007859CD"/>
    <w:rsid w:val="00785C24"/>
    <w:rsid w:val="007907E4"/>
    <w:rsid w:val="0079346D"/>
    <w:rsid w:val="00796461"/>
    <w:rsid w:val="007A0C71"/>
    <w:rsid w:val="007A3017"/>
    <w:rsid w:val="007A6A4F"/>
    <w:rsid w:val="007B03F5"/>
    <w:rsid w:val="007B5C09"/>
    <w:rsid w:val="007B5DA2"/>
    <w:rsid w:val="007C0966"/>
    <w:rsid w:val="007C19E7"/>
    <w:rsid w:val="007C5BD2"/>
    <w:rsid w:val="007C5CFD"/>
    <w:rsid w:val="007C6D9F"/>
    <w:rsid w:val="007D34D4"/>
    <w:rsid w:val="007D4893"/>
    <w:rsid w:val="007E128D"/>
    <w:rsid w:val="007E70CF"/>
    <w:rsid w:val="007E74A4"/>
    <w:rsid w:val="007F1B6F"/>
    <w:rsid w:val="007F263F"/>
    <w:rsid w:val="007F6673"/>
    <w:rsid w:val="007F6FF9"/>
    <w:rsid w:val="008015A8"/>
    <w:rsid w:val="0080766E"/>
    <w:rsid w:val="00811169"/>
    <w:rsid w:val="00813491"/>
    <w:rsid w:val="00813B0A"/>
    <w:rsid w:val="00815297"/>
    <w:rsid w:val="008170DB"/>
    <w:rsid w:val="00817BA1"/>
    <w:rsid w:val="0082162B"/>
    <w:rsid w:val="008229FA"/>
    <w:rsid w:val="00823022"/>
    <w:rsid w:val="0082634E"/>
    <w:rsid w:val="008313C4"/>
    <w:rsid w:val="00835434"/>
    <w:rsid w:val="008358C0"/>
    <w:rsid w:val="00837842"/>
    <w:rsid w:val="0084154C"/>
    <w:rsid w:val="00842838"/>
    <w:rsid w:val="00844B80"/>
    <w:rsid w:val="00854EC1"/>
    <w:rsid w:val="0085797F"/>
    <w:rsid w:val="00861DC3"/>
    <w:rsid w:val="00867019"/>
    <w:rsid w:val="008705BA"/>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4E98"/>
    <w:rsid w:val="008E510B"/>
    <w:rsid w:val="008E6010"/>
    <w:rsid w:val="008F30DE"/>
    <w:rsid w:val="008F422B"/>
    <w:rsid w:val="00900F9B"/>
    <w:rsid w:val="00901430"/>
    <w:rsid w:val="00902A4A"/>
    <w:rsid w:val="00902B13"/>
    <w:rsid w:val="00911941"/>
    <w:rsid w:val="00914B19"/>
    <w:rsid w:val="0092024D"/>
    <w:rsid w:val="00925146"/>
    <w:rsid w:val="00925F0F"/>
    <w:rsid w:val="00932F6B"/>
    <w:rsid w:val="009468BC"/>
    <w:rsid w:val="00947FAE"/>
    <w:rsid w:val="00952476"/>
    <w:rsid w:val="00953762"/>
    <w:rsid w:val="009616DF"/>
    <w:rsid w:val="00963E4F"/>
    <w:rsid w:val="00964F05"/>
    <w:rsid w:val="0096542F"/>
    <w:rsid w:val="00967FA7"/>
    <w:rsid w:val="00971645"/>
    <w:rsid w:val="00975B66"/>
    <w:rsid w:val="00977919"/>
    <w:rsid w:val="00983000"/>
    <w:rsid w:val="009870FA"/>
    <w:rsid w:val="009921C3"/>
    <w:rsid w:val="00993721"/>
    <w:rsid w:val="0099551D"/>
    <w:rsid w:val="00996655"/>
    <w:rsid w:val="009A5897"/>
    <w:rsid w:val="009A5F24"/>
    <w:rsid w:val="009B0B3E"/>
    <w:rsid w:val="009B1913"/>
    <w:rsid w:val="009B6657"/>
    <w:rsid w:val="009B6966"/>
    <w:rsid w:val="009C5834"/>
    <w:rsid w:val="009D0EB5"/>
    <w:rsid w:val="009D14F9"/>
    <w:rsid w:val="009D2B74"/>
    <w:rsid w:val="009D63FF"/>
    <w:rsid w:val="009D772C"/>
    <w:rsid w:val="009E175D"/>
    <w:rsid w:val="009E3CC2"/>
    <w:rsid w:val="009F06BD"/>
    <w:rsid w:val="009F2A4D"/>
    <w:rsid w:val="009F3DAE"/>
    <w:rsid w:val="009F7C6F"/>
    <w:rsid w:val="00A00828"/>
    <w:rsid w:val="00A03290"/>
    <w:rsid w:val="00A0387E"/>
    <w:rsid w:val="00A05BFD"/>
    <w:rsid w:val="00A07490"/>
    <w:rsid w:val="00A10655"/>
    <w:rsid w:val="00A12B64"/>
    <w:rsid w:val="00A22C38"/>
    <w:rsid w:val="00A23CA4"/>
    <w:rsid w:val="00A25193"/>
    <w:rsid w:val="00A26E80"/>
    <w:rsid w:val="00A31AE8"/>
    <w:rsid w:val="00A3739D"/>
    <w:rsid w:val="00A37DDA"/>
    <w:rsid w:val="00A42BC8"/>
    <w:rsid w:val="00A43D48"/>
    <w:rsid w:val="00A45005"/>
    <w:rsid w:val="00A53AB2"/>
    <w:rsid w:val="00A55A4D"/>
    <w:rsid w:val="00A55A62"/>
    <w:rsid w:val="00A57017"/>
    <w:rsid w:val="00A66857"/>
    <w:rsid w:val="00A71EB0"/>
    <w:rsid w:val="00A76790"/>
    <w:rsid w:val="00A77EC9"/>
    <w:rsid w:val="00A925EC"/>
    <w:rsid w:val="00A929AA"/>
    <w:rsid w:val="00A92B6B"/>
    <w:rsid w:val="00AA541E"/>
    <w:rsid w:val="00AB5413"/>
    <w:rsid w:val="00AB5EE6"/>
    <w:rsid w:val="00AC2324"/>
    <w:rsid w:val="00AD0DA4"/>
    <w:rsid w:val="00AD4085"/>
    <w:rsid w:val="00AD4169"/>
    <w:rsid w:val="00AD5EEC"/>
    <w:rsid w:val="00AE1772"/>
    <w:rsid w:val="00AE25C6"/>
    <w:rsid w:val="00AE306C"/>
    <w:rsid w:val="00AF28C1"/>
    <w:rsid w:val="00AF4CF7"/>
    <w:rsid w:val="00AF61DF"/>
    <w:rsid w:val="00B006B0"/>
    <w:rsid w:val="00B02EF1"/>
    <w:rsid w:val="00B07010"/>
    <w:rsid w:val="00B073AA"/>
    <w:rsid w:val="00B07C97"/>
    <w:rsid w:val="00B11C67"/>
    <w:rsid w:val="00B15754"/>
    <w:rsid w:val="00B2046E"/>
    <w:rsid w:val="00B20E8B"/>
    <w:rsid w:val="00B257E1"/>
    <w:rsid w:val="00B2599A"/>
    <w:rsid w:val="00B27AC4"/>
    <w:rsid w:val="00B3016D"/>
    <w:rsid w:val="00B343CC"/>
    <w:rsid w:val="00B50228"/>
    <w:rsid w:val="00B5084A"/>
    <w:rsid w:val="00B606A1"/>
    <w:rsid w:val="00B60951"/>
    <w:rsid w:val="00B614F7"/>
    <w:rsid w:val="00B61B26"/>
    <w:rsid w:val="00B63629"/>
    <w:rsid w:val="00B65E6B"/>
    <w:rsid w:val="00B675B2"/>
    <w:rsid w:val="00B746F2"/>
    <w:rsid w:val="00B81261"/>
    <w:rsid w:val="00B81852"/>
    <w:rsid w:val="00B819EA"/>
    <w:rsid w:val="00B8223E"/>
    <w:rsid w:val="00B832AE"/>
    <w:rsid w:val="00B842CD"/>
    <w:rsid w:val="00B86678"/>
    <w:rsid w:val="00B87024"/>
    <w:rsid w:val="00B87BBA"/>
    <w:rsid w:val="00B92F9B"/>
    <w:rsid w:val="00B93DB1"/>
    <w:rsid w:val="00B941B3"/>
    <w:rsid w:val="00B9502E"/>
    <w:rsid w:val="00B96513"/>
    <w:rsid w:val="00BA0C4F"/>
    <w:rsid w:val="00BA1D47"/>
    <w:rsid w:val="00BA66F0"/>
    <w:rsid w:val="00BB2239"/>
    <w:rsid w:val="00BB2AE7"/>
    <w:rsid w:val="00BB6464"/>
    <w:rsid w:val="00BC0053"/>
    <w:rsid w:val="00BC1BB8"/>
    <w:rsid w:val="00BD063E"/>
    <w:rsid w:val="00BD7FE1"/>
    <w:rsid w:val="00BE37CA"/>
    <w:rsid w:val="00BE5A74"/>
    <w:rsid w:val="00BE6144"/>
    <w:rsid w:val="00BE635A"/>
    <w:rsid w:val="00BF17E9"/>
    <w:rsid w:val="00BF2ABB"/>
    <w:rsid w:val="00BF5099"/>
    <w:rsid w:val="00C004C4"/>
    <w:rsid w:val="00C0326E"/>
    <w:rsid w:val="00C04D35"/>
    <w:rsid w:val="00C072FA"/>
    <w:rsid w:val="00C10F10"/>
    <w:rsid w:val="00C15D4D"/>
    <w:rsid w:val="00C175DC"/>
    <w:rsid w:val="00C30171"/>
    <w:rsid w:val="00C309D8"/>
    <w:rsid w:val="00C322B4"/>
    <w:rsid w:val="00C357F6"/>
    <w:rsid w:val="00C4187C"/>
    <w:rsid w:val="00C43519"/>
    <w:rsid w:val="00C45263"/>
    <w:rsid w:val="00C51537"/>
    <w:rsid w:val="00C52BC3"/>
    <w:rsid w:val="00C55B5A"/>
    <w:rsid w:val="00C61AFA"/>
    <w:rsid w:val="00C61D64"/>
    <w:rsid w:val="00C62099"/>
    <w:rsid w:val="00C64EA3"/>
    <w:rsid w:val="00C72867"/>
    <w:rsid w:val="00C75E81"/>
    <w:rsid w:val="00C807B6"/>
    <w:rsid w:val="00C86609"/>
    <w:rsid w:val="00C92B4C"/>
    <w:rsid w:val="00C92C5E"/>
    <w:rsid w:val="00C954F6"/>
    <w:rsid w:val="00C965D7"/>
    <w:rsid w:val="00CA17E5"/>
    <w:rsid w:val="00CA36A0"/>
    <w:rsid w:val="00CA6BC5"/>
    <w:rsid w:val="00CC26C4"/>
    <w:rsid w:val="00CC571B"/>
    <w:rsid w:val="00CC61CD"/>
    <w:rsid w:val="00CC6C02"/>
    <w:rsid w:val="00CC737B"/>
    <w:rsid w:val="00CD15D4"/>
    <w:rsid w:val="00CD5011"/>
    <w:rsid w:val="00CE431D"/>
    <w:rsid w:val="00CE640F"/>
    <w:rsid w:val="00CE76BC"/>
    <w:rsid w:val="00CF327B"/>
    <w:rsid w:val="00CF540E"/>
    <w:rsid w:val="00D02F07"/>
    <w:rsid w:val="00D0685A"/>
    <w:rsid w:val="00D15D88"/>
    <w:rsid w:val="00D200A0"/>
    <w:rsid w:val="00D27EBE"/>
    <w:rsid w:val="00D31835"/>
    <w:rsid w:val="00D36A49"/>
    <w:rsid w:val="00D40972"/>
    <w:rsid w:val="00D517C6"/>
    <w:rsid w:val="00D54E49"/>
    <w:rsid w:val="00D61FD1"/>
    <w:rsid w:val="00D63935"/>
    <w:rsid w:val="00D71D84"/>
    <w:rsid w:val="00D72464"/>
    <w:rsid w:val="00D72A57"/>
    <w:rsid w:val="00D765C3"/>
    <w:rsid w:val="00D768EB"/>
    <w:rsid w:val="00D81E17"/>
    <w:rsid w:val="00D82D1E"/>
    <w:rsid w:val="00D832D9"/>
    <w:rsid w:val="00D83508"/>
    <w:rsid w:val="00D90D0E"/>
    <w:rsid w:val="00D90F00"/>
    <w:rsid w:val="00D93440"/>
    <w:rsid w:val="00D94B1C"/>
    <w:rsid w:val="00D975C0"/>
    <w:rsid w:val="00DA4BAE"/>
    <w:rsid w:val="00DA5285"/>
    <w:rsid w:val="00DB191D"/>
    <w:rsid w:val="00DB4C05"/>
    <w:rsid w:val="00DB4F91"/>
    <w:rsid w:val="00DB6D0A"/>
    <w:rsid w:val="00DC06BE"/>
    <w:rsid w:val="00DC1F0F"/>
    <w:rsid w:val="00DC3117"/>
    <w:rsid w:val="00DC5DD9"/>
    <w:rsid w:val="00DC6D2D"/>
    <w:rsid w:val="00DC71FE"/>
    <w:rsid w:val="00DC76CD"/>
    <w:rsid w:val="00DD30E2"/>
    <w:rsid w:val="00DD4E59"/>
    <w:rsid w:val="00DE22E2"/>
    <w:rsid w:val="00DE33B5"/>
    <w:rsid w:val="00DE5E18"/>
    <w:rsid w:val="00DF0487"/>
    <w:rsid w:val="00DF0920"/>
    <w:rsid w:val="00DF413B"/>
    <w:rsid w:val="00DF5EA4"/>
    <w:rsid w:val="00DF71DD"/>
    <w:rsid w:val="00E02681"/>
    <w:rsid w:val="00E02792"/>
    <w:rsid w:val="00E034D8"/>
    <w:rsid w:val="00E04CC0"/>
    <w:rsid w:val="00E152A3"/>
    <w:rsid w:val="00E15816"/>
    <w:rsid w:val="00E160D5"/>
    <w:rsid w:val="00E17797"/>
    <w:rsid w:val="00E239FF"/>
    <w:rsid w:val="00E27A7F"/>
    <w:rsid w:val="00E27D7B"/>
    <w:rsid w:val="00E30556"/>
    <w:rsid w:val="00E30981"/>
    <w:rsid w:val="00E33136"/>
    <w:rsid w:val="00E33BB7"/>
    <w:rsid w:val="00E34D7C"/>
    <w:rsid w:val="00E36941"/>
    <w:rsid w:val="00E3723D"/>
    <w:rsid w:val="00E43866"/>
    <w:rsid w:val="00E441A2"/>
    <w:rsid w:val="00E44B8A"/>
    <w:rsid w:val="00E44C89"/>
    <w:rsid w:val="00E457A6"/>
    <w:rsid w:val="00E52375"/>
    <w:rsid w:val="00E61BA2"/>
    <w:rsid w:val="00E63864"/>
    <w:rsid w:val="00E6403F"/>
    <w:rsid w:val="00E75451"/>
    <w:rsid w:val="00E770C4"/>
    <w:rsid w:val="00E81194"/>
    <w:rsid w:val="00E84C5A"/>
    <w:rsid w:val="00E861DB"/>
    <w:rsid w:val="00E908F1"/>
    <w:rsid w:val="00E91B95"/>
    <w:rsid w:val="00E93406"/>
    <w:rsid w:val="00E9402C"/>
    <w:rsid w:val="00E956C5"/>
    <w:rsid w:val="00E95C39"/>
    <w:rsid w:val="00EA2C39"/>
    <w:rsid w:val="00EA75BC"/>
    <w:rsid w:val="00EB0A3C"/>
    <w:rsid w:val="00EB0A96"/>
    <w:rsid w:val="00EB164C"/>
    <w:rsid w:val="00EB1D82"/>
    <w:rsid w:val="00EB77F9"/>
    <w:rsid w:val="00EC2706"/>
    <w:rsid w:val="00EC46CB"/>
    <w:rsid w:val="00EC5769"/>
    <w:rsid w:val="00EC7D00"/>
    <w:rsid w:val="00ED0304"/>
    <w:rsid w:val="00ED5B7B"/>
    <w:rsid w:val="00EE1506"/>
    <w:rsid w:val="00EE38FA"/>
    <w:rsid w:val="00EE3E2C"/>
    <w:rsid w:val="00EE5D23"/>
    <w:rsid w:val="00EE750D"/>
    <w:rsid w:val="00EF3CA4"/>
    <w:rsid w:val="00EF5E74"/>
    <w:rsid w:val="00EF7362"/>
    <w:rsid w:val="00EF7859"/>
    <w:rsid w:val="00F014DA"/>
    <w:rsid w:val="00F02591"/>
    <w:rsid w:val="00F03125"/>
    <w:rsid w:val="00F069AC"/>
    <w:rsid w:val="00F2330F"/>
    <w:rsid w:val="00F2573D"/>
    <w:rsid w:val="00F2589C"/>
    <w:rsid w:val="00F270F3"/>
    <w:rsid w:val="00F303C4"/>
    <w:rsid w:val="00F45EC4"/>
    <w:rsid w:val="00F5696E"/>
    <w:rsid w:val="00F57A3C"/>
    <w:rsid w:val="00F60EFF"/>
    <w:rsid w:val="00F61B2B"/>
    <w:rsid w:val="00F62CB8"/>
    <w:rsid w:val="00F67D2D"/>
    <w:rsid w:val="00F70581"/>
    <w:rsid w:val="00F7420E"/>
    <w:rsid w:val="00F74481"/>
    <w:rsid w:val="00F845B9"/>
    <w:rsid w:val="00F858F2"/>
    <w:rsid w:val="00F860CC"/>
    <w:rsid w:val="00F94398"/>
    <w:rsid w:val="00FB2B56"/>
    <w:rsid w:val="00FB55D5"/>
    <w:rsid w:val="00FC12BF"/>
    <w:rsid w:val="00FC2C60"/>
    <w:rsid w:val="00FD3E6F"/>
    <w:rsid w:val="00FD51B9"/>
    <w:rsid w:val="00FD5733"/>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B3B59"/>
  <w15:docId w15:val="{942CBF8D-5649-4A0B-B1CC-1847FA90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 w:type="character" w:customStyle="1" w:styleId="UnresolvedMention1">
    <w:name w:val="Unresolved Mention1"/>
    <w:basedOn w:val="DefaultParagraphFont"/>
    <w:uiPriority w:val="99"/>
    <w:semiHidden/>
    <w:unhideWhenUsed/>
    <w:rsid w:val="00A77EC9"/>
    <w:rPr>
      <w:color w:val="605E5C"/>
      <w:shd w:val="clear" w:color="auto" w:fill="E1DFDD"/>
    </w:rPr>
  </w:style>
  <w:style w:type="table" w:styleId="GridTable4">
    <w:name w:val="Grid Table 4"/>
    <w:basedOn w:val="TableNormal"/>
    <w:uiPriority w:val="49"/>
    <w:rsid w:val="002C32A6"/>
    <w:pPr>
      <w:spacing w:after="0"/>
    </w:pPr>
    <w:tblPr>
      <w:tblStyleRowBandSize w:val="1"/>
      <w:tblStyleColBandSize w:val="1"/>
      <w:tblBorders>
        <w:top w:val="single" w:sz="4" w:space="0" w:color="5151C6" w:themeColor="text1" w:themeTint="99"/>
        <w:left w:val="single" w:sz="4" w:space="0" w:color="5151C6" w:themeColor="text1" w:themeTint="99"/>
        <w:bottom w:val="single" w:sz="4" w:space="0" w:color="5151C6" w:themeColor="text1" w:themeTint="99"/>
        <w:right w:val="single" w:sz="4" w:space="0" w:color="5151C6" w:themeColor="text1" w:themeTint="99"/>
        <w:insideH w:val="single" w:sz="4" w:space="0" w:color="5151C6" w:themeColor="text1" w:themeTint="99"/>
        <w:insideV w:val="single" w:sz="4" w:space="0" w:color="5151C6" w:themeColor="text1" w:themeTint="99"/>
      </w:tblBorders>
    </w:tblPr>
    <w:tblStylePr w:type="firstRow">
      <w:rPr>
        <w:b/>
        <w:bCs/>
        <w:color w:val="FFFFFF" w:themeColor="background1"/>
      </w:rPr>
      <w:tblPr/>
      <w:tcPr>
        <w:tcBorders>
          <w:top w:val="single" w:sz="4" w:space="0" w:color="1F1F5F" w:themeColor="text1"/>
          <w:left w:val="single" w:sz="4" w:space="0" w:color="1F1F5F" w:themeColor="text1"/>
          <w:bottom w:val="single" w:sz="4" w:space="0" w:color="1F1F5F" w:themeColor="text1"/>
          <w:right w:val="single" w:sz="4" w:space="0" w:color="1F1F5F" w:themeColor="text1"/>
          <w:insideH w:val="nil"/>
          <w:insideV w:val="nil"/>
        </w:tcBorders>
        <w:shd w:val="clear" w:color="auto" w:fill="1F1F5F" w:themeFill="text1"/>
      </w:tcPr>
    </w:tblStylePr>
    <w:tblStylePr w:type="lastRow">
      <w:rPr>
        <w:b/>
        <w:bCs/>
      </w:rPr>
      <w:tblPr/>
      <w:tcPr>
        <w:tcBorders>
          <w:top w:val="double" w:sz="4" w:space="0" w:color="1F1F5F" w:themeColor="text1"/>
        </w:tcBorders>
      </w:tcPr>
    </w:tblStylePr>
    <w:tblStylePr w:type="firstCol">
      <w:rPr>
        <w:b/>
        <w:bCs/>
      </w:rPr>
    </w:tblStylePr>
    <w:tblStylePr w:type="lastCol">
      <w:rPr>
        <w:b/>
        <w:bCs/>
      </w:rPr>
    </w:tblStylePr>
    <w:tblStylePr w:type="band1Vert">
      <w:tblPr/>
      <w:tcPr>
        <w:shd w:val="clear" w:color="auto" w:fill="C4C4EC" w:themeFill="text1" w:themeFillTint="33"/>
      </w:tcPr>
    </w:tblStylePr>
    <w:tblStylePr w:type="band1Horz">
      <w:tblPr/>
      <w:tcPr>
        <w:shd w:val="clear" w:color="auto" w:fill="C4C4EC" w:themeFill="text1" w:themeFillTint="33"/>
      </w:tcPr>
    </w:tblStylePr>
  </w:style>
  <w:style w:type="table" w:styleId="PlainTable2">
    <w:name w:val="Plain Table 2"/>
    <w:basedOn w:val="TableNormal"/>
    <w:uiPriority w:val="42"/>
    <w:rsid w:val="004C7253"/>
    <w:pPr>
      <w:spacing w:after="0"/>
    </w:pPr>
    <w:tblPr>
      <w:tblStyleRowBandSize w:val="1"/>
      <w:tblStyleColBandSize w:val="1"/>
      <w:tblBorders>
        <w:top w:val="single" w:sz="4" w:space="0" w:color="6D6DCF" w:themeColor="text1" w:themeTint="80"/>
        <w:bottom w:val="single" w:sz="4" w:space="0" w:color="6D6DCF" w:themeColor="text1" w:themeTint="80"/>
      </w:tblBorders>
    </w:tblPr>
    <w:tblStylePr w:type="firstRow">
      <w:rPr>
        <w:b/>
        <w:bCs/>
      </w:rPr>
      <w:tblPr/>
      <w:tcPr>
        <w:tcBorders>
          <w:bottom w:val="single" w:sz="4" w:space="0" w:color="6D6DCF" w:themeColor="text1" w:themeTint="80"/>
        </w:tcBorders>
      </w:tcPr>
    </w:tblStylePr>
    <w:tblStylePr w:type="lastRow">
      <w:rPr>
        <w:b/>
        <w:bCs/>
      </w:rPr>
      <w:tblPr/>
      <w:tcPr>
        <w:tcBorders>
          <w:top w:val="single" w:sz="4" w:space="0" w:color="6D6DCF" w:themeColor="text1" w:themeTint="80"/>
        </w:tcBorders>
      </w:tcPr>
    </w:tblStylePr>
    <w:tblStylePr w:type="firstCol">
      <w:rPr>
        <w:b/>
        <w:bCs/>
      </w:rPr>
    </w:tblStylePr>
    <w:tblStylePr w:type="lastCol">
      <w:rPr>
        <w:b/>
        <w:bCs/>
      </w:rPr>
    </w:tblStylePr>
    <w:tblStylePr w:type="band1Vert">
      <w:tblPr/>
      <w:tcPr>
        <w:tcBorders>
          <w:left w:val="single" w:sz="4" w:space="0" w:color="6D6DCF" w:themeColor="text1" w:themeTint="80"/>
          <w:right w:val="single" w:sz="4" w:space="0" w:color="6D6DCF" w:themeColor="text1" w:themeTint="80"/>
        </w:tcBorders>
      </w:tcPr>
    </w:tblStylePr>
    <w:tblStylePr w:type="band2Vert">
      <w:tblPr/>
      <w:tcPr>
        <w:tcBorders>
          <w:left w:val="single" w:sz="4" w:space="0" w:color="6D6DCF" w:themeColor="text1" w:themeTint="80"/>
          <w:right w:val="single" w:sz="4" w:space="0" w:color="6D6DCF" w:themeColor="text1" w:themeTint="80"/>
        </w:tcBorders>
      </w:tcPr>
    </w:tblStylePr>
    <w:tblStylePr w:type="band1Horz">
      <w:tblPr/>
      <w:tcPr>
        <w:tcBorders>
          <w:top w:val="single" w:sz="4" w:space="0" w:color="6D6DCF" w:themeColor="text1" w:themeTint="80"/>
          <w:bottom w:val="single" w:sz="4" w:space="0" w:color="6D6DCF" w:themeColor="text1" w:themeTint="80"/>
        </w:tcBorders>
      </w:tcPr>
    </w:tblStylePr>
  </w:style>
  <w:style w:type="table" w:styleId="GridTable1Light-Accent3">
    <w:name w:val="Grid Table 1 Light Accent 3"/>
    <w:basedOn w:val="TableNormal"/>
    <w:uiPriority w:val="46"/>
    <w:rsid w:val="00F270F3"/>
    <w:pPr>
      <w:spacing w:after="0"/>
    </w:pPr>
    <w:tblPr>
      <w:tblStyleRowBandSize w:val="1"/>
      <w:tblStyleColBandSize w:val="1"/>
      <w:tblBorders>
        <w:top w:val="single" w:sz="4" w:space="0" w:color="6DEBFF" w:themeColor="accent3" w:themeTint="66"/>
        <w:left w:val="single" w:sz="4" w:space="0" w:color="6DEBFF" w:themeColor="accent3" w:themeTint="66"/>
        <w:bottom w:val="single" w:sz="4" w:space="0" w:color="6DEBFF" w:themeColor="accent3" w:themeTint="66"/>
        <w:right w:val="single" w:sz="4" w:space="0" w:color="6DEBFF" w:themeColor="accent3" w:themeTint="66"/>
        <w:insideH w:val="single" w:sz="4" w:space="0" w:color="6DEBFF" w:themeColor="accent3" w:themeTint="66"/>
        <w:insideV w:val="single" w:sz="4" w:space="0" w:color="6DEBFF" w:themeColor="accent3" w:themeTint="66"/>
      </w:tblBorders>
    </w:tblPr>
    <w:tblStylePr w:type="firstRow">
      <w:rPr>
        <w:b/>
        <w:bCs/>
      </w:rPr>
      <w:tblPr/>
      <w:tcPr>
        <w:tcBorders>
          <w:bottom w:val="single" w:sz="12" w:space="0" w:color="24E1FF" w:themeColor="accent3" w:themeTint="99"/>
        </w:tcBorders>
      </w:tcPr>
    </w:tblStylePr>
    <w:tblStylePr w:type="lastRow">
      <w:rPr>
        <w:b/>
        <w:bCs/>
      </w:rPr>
      <w:tblPr/>
      <w:tcPr>
        <w:tcBorders>
          <w:top w:val="double" w:sz="2" w:space="0" w:color="24E1FF"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41916921">
      <w:bodyDiv w:val="1"/>
      <w:marLeft w:val="0"/>
      <w:marRight w:val="0"/>
      <w:marTop w:val="0"/>
      <w:marBottom w:val="0"/>
      <w:divBdr>
        <w:top w:val="none" w:sz="0" w:space="0" w:color="auto"/>
        <w:left w:val="none" w:sz="0" w:space="0" w:color="auto"/>
        <w:bottom w:val="none" w:sz="0" w:space="0" w:color="auto"/>
        <w:right w:val="none" w:sz="0" w:space="0" w:color="auto"/>
      </w:divBdr>
      <w:divsChild>
        <w:div w:id="884364758">
          <w:marLeft w:val="547"/>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t.gov.au/environment/water/management-security/water-allocation/announced-water-allocation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water.regulation@n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59E3A11E9544528BED98F0BE45B240"/>
        <w:category>
          <w:name w:val="General"/>
          <w:gallery w:val="placeholder"/>
        </w:category>
        <w:types>
          <w:type w:val="bbPlcHdr"/>
        </w:types>
        <w:behaviors>
          <w:behavior w:val="content"/>
        </w:behaviors>
        <w:guid w:val="{67474AFB-65D0-4218-8B5A-2E030814BEA4}"/>
      </w:docPartPr>
      <w:docPartBody>
        <w:p w:rsidR="008D6987" w:rsidRDefault="00D77655">
          <w:pPr>
            <w:pStyle w:val="DE59E3A11E9544528BED98F0BE45B240"/>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55"/>
    <w:rsid w:val="004F3459"/>
    <w:rsid w:val="006B3B7D"/>
    <w:rsid w:val="008D6987"/>
    <w:rsid w:val="009B40FC"/>
    <w:rsid w:val="00A147BE"/>
    <w:rsid w:val="00D77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59E3A11E9544528BED98F0BE45B240">
    <w:name w:val="DE59E3A11E9544528BED98F0BE45B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4cd64c-2ebb-45b2-906b-7a68491000c7">
      <Terms xmlns="http://schemas.microsoft.com/office/infopath/2007/PartnerControls"/>
    </lcf76f155ced4ddcb4097134ff3c332f>
    <TaxCatchAll xmlns="ff6d8a9c-36bd-4ecf-b55f-4444f51b1de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592ABBAFB2E4FAD9EDF8D34D4EDDA" ma:contentTypeVersion="13" ma:contentTypeDescription="Create a new document." ma:contentTypeScope="" ma:versionID="00cd692f5c09b8629b8a538c0998426f">
  <xsd:schema xmlns:xsd="http://www.w3.org/2001/XMLSchema" xmlns:xs="http://www.w3.org/2001/XMLSchema" xmlns:p="http://schemas.microsoft.com/office/2006/metadata/properties" xmlns:ns2="284cd64c-2ebb-45b2-906b-7a68491000c7" xmlns:ns3="ff6d8a9c-36bd-4ecf-b55f-4444f51b1de1" targetNamespace="http://schemas.microsoft.com/office/2006/metadata/properties" ma:root="true" ma:fieldsID="c6c9e04a4f477545dcffc3d65952df53" ns2:_="" ns3:_="">
    <xsd:import namespace="284cd64c-2ebb-45b2-906b-7a68491000c7"/>
    <xsd:import namespace="ff6d8a9c-36bd-4ecf-b55f-4444f51b1d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cd64c-2ebb-45b2-906b-7a6849100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4d5ad4c-798f-4112-b232-d6cf578bb7c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d8a9c-36bd-4ecf-b55f-4444f51b1de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5cd60a-f734-429f-b8a1-599fd544ecd8}" ma:internalName="TaxCatchAll" ma:showField="CatchAllData" ma:web="ff6d8a9c-36bd-4ecf-b55f-4444f51b1de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F59773-A04D-4AF0-8113-524DD5088D09}">
  <ds:schemaRefs>
    <ds:schemaRef ds:uri="http://schemas.microsoft.com/sharepoint/v3/contenttype/forms"/>
  </ds:schemaRefs>
</ds:datastoreItem>
</file>

<file path=customXml/itemProps3.xml><?xml version="1.0" encoding="utf-8"?>
<ds:datastoreItem xmlns:ds="http://schemas.openxmlformats.org/officeDocument/2006/customXml" ds:itemID="{F8F101B5-362E-4BC3-B672-AAB68EDE2957}">
  <ds:schemaRefs>
    <ds:schemaRef ds:uri="http://schemas.microsoft.com/office/2006/metadata/properties"/>
    <ds:schemaRef ds:uri="http://schemas.microsoft.com/office/infopath/2007/PartnerControls"/>
    <ds:schemaRef ds:uri="284cd64c-2ebb-45b2-906b-7a68491000c7"/>
    <ds:schemaRef ds:uri="ff6d8a9c-36bd-4ecf-b55f-4444f51b1de1"/>
  </ds:schemaRefs>
</ds:datastoreItem>
</file>

<file path=customXml/itemProps4.xml><?xml version="1.0" encoding="utf-8"?>
<ds:datastoreItem xmlns:ds="http://schemas.openxmlformats.org/officeDocument/2006/customXml" ds:itemID="{DAF05149-1536-4609-90EF-3CEA4F66A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cd64c-2ebb-45b2-906b-7a68491000c7"/>
    <ds:schemaRef ds:uri="ff6d8a9c-36bd-4ecf-b55f-4444f51b1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0DB3C4-B448-4624-8E23-510EAF92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fact sheet.dotx</Template>
  <TotalTime>5</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Applying announced allocation licence conditions</vt:lpstr>
    </vt:vector>
  </TitlesOfParts>
  <Company>ENVIRONMENT, PARKS AND WATER SECURITY</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announced allocation licence conditions</dc:title>
  <dc:creator>Northern Territory Government</dc:creator>
  <cp:lastModifiedBy>Roy Galet</cp:lastModifiedBy>
  <cp:revision>4</cp:revision>
  <cp:lastPrinted>2019-08-28T22:41:00Z</cp:lastPrinted>
  <dcterms:created xsi:type="dcterms:W3CDTF">2023-09-06T22:34:00Z</dcterms:created>
  <dcterms:modified xsi:type="dcterms:W3CDTF">2023-09-11T01:49:00Z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0x010100224592ABBAFB2E4FAD9EDF8D34D4EDDA</vt:lpwstr>
  </property>
</Properties>
</file>