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Style w:val="TitleChar"/>
        </w:rPr>
        <w:alias w:val="Title"/>
        <w:tag w:val="Title"/>
        <w:id w:val="-509755993"/>
        <w:placeholder>
          <w:docPart w:val="19101AF3AF9F4C67ADFF6A3C10466CCC"/>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14:paraId="0F38796D" w14:textId="77777777" w:rsidR="00D61FD1" w:rsidRDefault="00D26A7F" w:rsidP="00D26A7F">
          <w:pPr>
            <w:pStyle w:val="Title"/>
            <w:spacing w:after="480"/>
          </w:pPr>
          <w:r>
            <w:rPr>
              <w:rStyle w:val="TitleChar"/>
            </w:rPr>
            <w:t>Interpretation of results from physical and chemical testing and analysis of drinking water</w:t>
          </w:r>
        </w:p>
      </w:sdtContent>
    </w:sdt>
    <w:p w14:paraId="0497136F" w14:textId="77777777" w:rsidR="00D26A7F" w:rsidRDefault="00D26A7F" w:rsidP="00D26A7F">
      <w:pPr>
        <w:tabs>
          <w:tab w:val="right" w:pos="9424"/>
        </w:tabs>
        <w:spacing w:line="238" w:lineRule="exact"/>
        <w:ind w:right="23"/>
        <w:jc w:val="both"/>
        <w:rPr>
          <w:rFonts w:cs="Arial"/>
        </w:rPr>
      </w:pPr>
      <w:r>
        <w:rPr>
          <w:rFonts w:cs="Arial"/>
        </w:rPr>
        <w:t>This fact sheet has been developed to provide information about the physical and chemical testing and analysis of drinking water.</w:t>
      </w:r>
    </w:p>
    <w:p w14:paraId="32D12BB8" w14:textId="77777777" w:rsidR="00D26A7F" w:rsidRDefault="00D26A7F" w:rsidP="00D26A7F">
      <w:pPr>
        <w:pStyle w:val="Heading1"/>
      </w:pPr>
      <w:r>
        <w:t>Who should test their drinking water?</w:t>
      </w:r>
    </w:p>
    <w:p w14:paraId="1D86F3A2" w14:textId="77777777" w:rsidR="00D26A7F" w:rsidRPr="00D26A7F" w:rsidRDefault="00D26A7F" w:rsidP="00D26A7F">
      <w:pPr>
        <w:tabs>
          <w:tab w:val="right" w:pos="9424"/>
        </w:tabs>
        <w:spacing w:line="238" w:lineRule="exact"/>
        <w:ind w:right="23"/>
        <w:jc w:val="both"/>
        <w:rPr>
          <w:rFonts w:cs="Arial"/>
        </w:rPr>
      </w:pPr>
      <w:r>
        <w:rPr>
          <w:rFonts w:cs="Arial"/>
        </w:rPr>
        <w:t>Any person providing or using drinking water not sourced from a reticulated licensed water supply should from time to time get their water tested, irrespective of whether the water comes from a bore, rainwater tank or surface water.</w:t>
      </w:r>
    </w:p>
    <w:p w14:paraId="5D3D53C2" w14:textId="77777777" w:rsidR="00D26A7F" w:rsidRDefault="00D26A7F" w:rsidP="00D26A7F">
      <w:pPr>
        <w:pStyle w:val="Heading1"/>
      </w:pPr>
      <w:r>
        <w:t>Why test drinking water?</w:t>
      </w:r>
    </w:p>
    <w:p w14:paraId="14C32560" w14:textId="77777777" w:rsidR="00D26A7F" w:rsidRPr="00D26A7F" w:rsidRDefault="00D26A7F" w:rsidP="00D26A7F">
      <w:pPr>
        <w:tabs>
          <w:tab w:val="right" w:pos="9424"/>
        </w:tabs>
        <w:spacing w:line="238" w:lineRule="exact"/>
        <w:ind w:right="23"/>
        <w:jc w:val="both"/>
        <w:rPr>
          <w:rFonts w:cs="Arial"/>
        </w:rPr>
      </w:pPr>
      <w:r>
        <w:rPr>
          <w:rFonts w:cs="Arial"/>
        </w:rPr>
        <w:t>Drinking water should be tested to ensure that it is safe for drinking and palatable.</w:t>
      </w:r>
    </w:p>
    <w:p w14:paraId="1D7D9CEF" w14:textId="77777777" w:rsidR="00D26A7F" w:rsidRDefault="00D26A7F" w:rsidP="00D26A7F">
      <w:pPr>
        <w:pStyle w:val="Heading1"/>
      </w:pPr>
      <w:r>
        <w:t>What should I test for?</w:t>
      </w:r>
    </w:p>
    <w:p w14:paraId="76FA341E" w14:textId="0B3AD2D9" w:rsidR="00D26A7F" w:rsidRDefault="00D26A7F" w:rsidP="00D26A7F">
      <w:pPr>
        <w:tabs>
          <w:tab w:val="right" w:pos="9424"/>
        </w:tabs>
        <w:spacing w:line="238" w:lineRule="exact"/>
        <w:ind w:right="23"/>
        <w:jc w:val="both"/>
        <w:rPr>
          <w:rFonts w:cs="Arial"/>
        </w:rPr>
      </w:pPr>
      <w:r>
        <w:rPr>
          <w:rFonts w:cs="Arial"/>
        </w:rPr>
        <w:t xml:space="preserve">The </w:t>
      </w:r>
      <w:r>
        <w:rPr>
          <w:rFonts w:cs="Arial"/>
          <w:i/>
          <w:iCs/>
        </w:rPr>
        <w:t>Australian Drinking Water Guidelines</w:t>
      </w:r>
      <w:r>
        <w:rPr>
          <w:rFonts w:cs="Arial"/>
        </w:rPr>
        <w:t xml:space="preserve"> 2011 (ADWG) state that the greatest risk to consumer health from drinking water is pathogenic microorganisms.  </w:t>
      </w:r>
    </w:p>
    <w:p w14:paraId="77AE650C" w14:textId="51F45DF3" w:rsidR="00D26A7F" w:rsidRDefault="00D26A7F" w:rsidP="00D26A7F">
      <w:pPr>
        <w:tabs>
          <w:tab w:val="right" w:pos="9424"/>
        </w:tabs>
        <w:spacing w:line="238" w:lineRule="exact"/>
        <w:ind w:right="23"/>
        <w:jc w:val="both"/>
        <w:rPr>
          <w:rFonts w:cs="Arial"/>
        </w:rPr>
      </w:pPr>
      <w:r>
        <w:rPr>
          <w:rFonts w:cs="Arial"/>
        </w:rPr>
        <w:t>Chemical tests, provide a good indication of the palatability or taste quality of your drinking water as well as determining its overall chemical quality.  A standard range of chemical tests include the following parameters:</w:t>
      </w:r>
    </w:p>
    <w:p w14:paraId="78676AD4" w14:textId="77777777" w:rsidR="00D26A7F" w:rsidRDefault="00D26A7F" w:rsidP="00D26A7F">
      <w:pPr>
        <w:tabs>
          <w:tab w:val="right" w:pos="9424"/>
        </w:tabs>
        <w:spacing w:line="238" w:lineRule="exact"/>
        <w:ind w:right="23"/>
        <w:jc w:val="both"/>
        <w:rPr>
          <w:rFonts w:cs="Arial"/>
        </w:rPr>
      </w:pPr>
      <w:r>
        <w:rPr>
          <w:rFonts w:cs="Arial"/>
        </w:rPr>
        <w:t xml:space="preserve">pH, electrical conductivity (EC), total dissolved solids (TDS), Sodium (Na), Potassium (K), Calcium (Ca), Magnesium (Mg), total hardness, total alkalinity, Iron (Fe), Chlorine (Cl), Sulphate (SO4), Nitrate (NO3), Fluoride (F) and Salt (NaCl).  </w:t>
      </w:r>
    </w:p>
    <w:p w14:paraId="327A2F64" w14:textId="77777777" w:rsidR="00D26A7F" w:rsidRPr="00D26A7F" w:rsidRDefault="00D26A7F" w:rsidP="00D26A7F">
      <w:r>
        <w:rPr>
          <w:rFonts w:cs="Arial"/>
        </w:rPr>
        <w:t>Physical characteristics are generally not of direct public health concern.  They relate to the appearance, taste and odour of the water, but can also impact on health hardware such as toilets, taps and hot water systems.  The parameters measured to determine these qualities are: True colour, turbidity, hardness, total dissolved solids (TDS), pH, temperature, and dissolved oxygen</w:t>
      </w:r>
    </w:p>
    <w:p w14:paraId="1478EA38" w14:textId="77777777" w:rsidR="00D26A7F" w:rsidRDefault="00D26A7F" w:rsidP="00D26A7F">
      <w:pPr>
        <w:pStyle w:val="Heading1"/>
      </w:pPr>
      <w:r>
        <w:t>Where can I get my water tested?</w:t>
      </w:r>
    </w:p>
    <w:p w14:paraId="7DBE267B" w14:textId="77777777" w:rsidR="00D26A7F" w:rsidRDefault="00D26A7F" w:rsidP="00D26A7F">
      <w:pPr>
        <w:tabs>
          <w:tab w:val="right" w:pos="9424"/>
        </w:tabs>
        <w:spacing w:line="238" w:lineRule="exact"/>
        <w:ind w:right="23"/>
        <w:jc w:val="both"/>
        <w:rPr>
          <w:rFonts w:cs="Arial"/>
        </w:rPr>
      </w:pPr>
      <w:r>
        <w:rPr>
          <w:rFonts w:cs="Arial"/>
        </w:rPr>
        <w:t>Water can be tested for physical characteristics and chemical composition by any laboratory accredited to do so and shown below.  Note that the owner of the water supply will need to meet the costs for testing of samples.</w:t>
      </w:r>
    </w:p>
    <w:p w14:paraId="02D7291C" w14:textId="6FCB3621" w:rsidR="00D26A7F" w:rsidRDefault="00D26A7F" w:rsidP="00D26A7F">
      <w:pPr>
        <w:pStyle w:val="BodyText"/>
        <w:numPr>
          <w:ilvl w:val="0"/>
          <w:numId w:val="48"/>
        </w:numPr>
        <w:tabs>
          <w:tab w:val="right" w:pos="9424"/>
        </w:tabs>
        <w:spacing w:before="120" w:line="238" w:lineRule="exact"/>
        <w:ind w:right="23"/>
        <w:rPr>
          <w:b/>
          <w:bCs/>
        </w:rPr>
      </w:pPr>
      <w:r>
        <w:rPr>
          <w:b/>
          <w:bCs/>
        </w:rPr>
        <w:t>Alice Springs</w:t>
      </w:r>
      <w:r w:rsidR="00197529">
        <w:rPr>
          <w:b/>
          <w:bCs/>
        </w:rPr>
        <w:t xml:space="preserve"> (AZRI)</w:t>
      </w:r>
      <w:r>
        <w:rPr>
          <w:b/>
          <w:bCs/>
        </w:rPr>
        <w:t xml:space="preserve"> – Department of </w:t>
      </w:r>
      <w:r w:rsidR="00197529">
        <w:rPr>
          <w:b/>
          <w:bCs/>
        </w:rPr>
        <w:t xml:space="preserve">Primary Industry and </w:t>
      </w:r>
      <w:r w:rsidR="001F6475">
        <w:rPr>
          <w:b/>
          <w:bCs/>
        </w:rPr>
        <w:t xml:space="preserve">Resources – </w:t>
      </w:r>
      <w:r>
        <w:rPr>
          <w:b/>
          <w:bCs/>
        </w:rPr>
        <w:t>(08) 8951 811</w:t>
      </w:r>
      <w:r w:rsidR="00197529">
        <w:rPr>
          <w:b/>
          <w:bCs/>
        </w:rPr>
        <w:t>0</w:t>
      </w:r>
    </w:p>
    <w:p w14:paraId="1350C45B" w14:textId="293826A2" w:rsidR="00D26A7F" w:rsidRDefault="00D26A7F" w:rsidP="00D26A7F">
      <w:pPr>
        <w:pStyle w:val="BodyText"/>
        <w:numPr>
          <w:ilvl w:val="0"/>
          <w:numId w:val="48"/>
        </w:numPr>
        <w:tabs>
          <w:tab w:val="right" w:pos="9424"/>
        </w:tabs>
        <w:spacing w:before="120" w:line="238" w:lineRule="exact"/>
        <w:ind w:right="23"/>
        <w:rPr>
          <w:b/>
          <w:bCs/>
        </w:rPr>
      </w:pPr>
      <w:r>
        <w:rPr>
          <w:b/>
          <w:bCs/>
        </w:rPr>
        <w:t>Darwin – Department of</w:t>
      </w:r>
      <w:r w:rsidR="00197529">
        <w:rPr>
          <w:b/>
          <w:bCs/>
        </w:rPr>
        <w:t xml:space="preserve"> Primary Industry and</w:t>
      </w:r>
      <w:r>
        <w:rPr>
          <w:b/>
          <w:bCs/>
        </w:rPr>
        <w:t xml:space="preserve"> Resources</w:t>
      </w:r>
      <w:r w:rsidR="001F6475">
        <w:rPr>
          <w:b/>
          <w:bCs/>
        </w:rPr>
        <w:t xml:space="preserve"> -</w:t>
      </w:r>
      <w:r w:rsidR="00197529">
        <w:rPr>
          <w:b/>
          <w:bCs/>
        </w:rPr>
        <w:t xml:space="preserve"> </w:t>
      </w:r>
      <w:r>
        <w:rPr>
          <w:b/>
          <w:bCs/>
        </w:rPr>
        <w:t>(08) 8999 2196</w:t>
      </w:r>
    </w:p>
    <w:p w14:paraId="669F8F65" w14:textId="0A698696" w:rsidR="00D26A7F" w:rsidRPr="001F6475" w:rsidRDefault="00D26A7F" w:rsidP="001F6475">
      <w:pPr>
        <w:pStyle w:val="BodyText"/>
        <w:numPr>
          <w:ilvl w:val="0"/>
          <w:numId w:val="48"/>
        </w:numPr>
        <w:tabs>
          <w:tab w:val="right" w:pos="9424"/>
        </w:tabs>
        <w:spacing w:before="120" w:line="238" w:lineRule="exact"/>
        <w:ind w:right="23"/>
        <w:rPr>
          <w:b/>
          <w:bCs/>
        </w:rPr>
      </w:pPr>
      <w:r>
        <w:rPr>
          <w:b/>
          <w:bCs/>
        </w:rPr>
        <w:t>Darwin – Northern Territory Environmental Laboratories Pty Ltd (NTEL)</w:t>
      </w:r>
      <w:r w:rsidR="001F6475">
        <w:rPr>
          <w:b/>
          <w:bCs/>
        </w:rPr>
        <w:t xml:space="preserve"> -</w:t>
      </w:r>
      <w:r w:rsidR="00197529" w:rsidRPr="001F6475">
        <w:rPr>
          <w:b/>
          <w:bCs/>
        </w:rPr>
        <w:t xml:space="preserve"> </w:t>
      </w:r>
      <w:r w:rsidRPr="001F6475">
        <w:rPr>
          <w:b/>
          <w:bCs/>
        </w:rPr>
        <w:t>(08) 8947 0510</w:t>
      </w:r>
    </w:p>
    <w:p w14:paraId="124D081C" w14:textId="77777777" w:rsidR="00D26A7F" w:rsidRDefault="00D26A7F" w:rsidP="00D26A7F">
      <w:pPr>
        <w:pStyle w:val="Heading1"/>
      </w:pPr>
      <w:r>
        <w:lastRenderedPageBreak/>
        <w:t>What does the analysis of my water mean?</w:t>
      </w:r>
    </w:p>
    <w:p w14:paraId="303CDBA9" w14:textId="77777777" w:rsidR="00D26A7F" w:rsidRDefault="00D26A7F" w:rsidP="00D26A7F">
      <w:pPr>
        <w:tabs>
          <w:tab w:val="right" w:pos="9424"/>
        </w:tabs>
        <w:ind w:right="23"/>
        <w:jc w:val="both"/>
        <w:rPr>
          <w:rFonts w:cs="Arial"/>
        </w:rPr>
      </w:pPr>
      <w:r>
        <w:rPr>
          <w:rFonts w:cs="Arial"/>
        </w:rPr>
        <w:t xml:space="preserve">The Australian Drinking Water Guidelines (ADWG) were developed by the National Health and Medical Research Council (NHMRC) and provide a framework for good management of drinking water supplies. The ADWG when implemented assure the safety of drinking water and also provide health and aesthetic guideline values for chemical, physical and radiological water quality characteristics. </w:t>
      </w:r>
    </w:p>
    <w:p w14:paraId="29C3B2CB" w14:textId="77777777" w:rsidR="00D26A7F" w:rsidRDefault="00D26A7F" w:rsidP="00D26A7F">
      <w:pPr>
        <w:tabs>
          <w:tab w:val="right" w:pos="9424"/>
        </w:tabs>
        <w:ind w:right="23"/>
        <w:jc w:val="both"/>
        <w:rPr>
          <w:rFonts w:cs="Arial"/>
        </w:rPr>
      </w:pPr>
      <w:r>
        <w:rPr>
          <w:rFonts w:cs="Arial"/>
        </w:rPr>
        <w:t xml:space="preserve">A </w:t>
      </w:r>
      <w:r>
        <w:rPr>
          <w:rFonts w:cs="Arial"/>
          <w:b/>
          <w:bCs/>
        </w:rPr>
        <w:t>health guideline value</w:t>
      </w:r>
      <w:r>
        <w:rPr>
          <w:rFonts w:cs="Arial"/>
        </w:rPr>
        <w:t xml:space="preserve"> is the concentration or measure of a water quality characteristic that, based on present knowledge, does not result in any significant risk to the health of consumers over a lifetime of consumption.</w:t>
      </w:r>
    </w:p>
    <w:p w14:paraId="53AEEBC3" w14:textId="77777777" w:rsidR="00D26A7F" w:rsidRDefault="00D26A7F" w:rsidP="00D26A7F">
      <w:pPr>
        <w:tabs>
          <w:tab w:val="right" w:pos="9424"/>
        </w:tabs>
        <w:ind w:right="23"/>
        <w:jc w:val="both"/>
        <w:rPr>
          <w:rFonts w:cs="Arial"/>
        </w:rPr>
      </w:pPr>
      <w:r>
        <w:rPr>
          <w:rFonts w:cs="Arial"/>
        </w:rPr>
        <w:t xml:space="preserve">An </w:t>
      </w:r>
      <w:r>
        <w:rPr>
          <w:rFonts w:cs="Arial"/>
          <w:b/>
          <w:bCs/>
        </w:rPr>
        <w:t>aesthetic guideline value</w:t>
      </w:r>
      <w:r>
        <w:rPr>
          <w:rFonts w:cs="Arial"/>
        </w:rPr>
        <w:t xml:space="preserve"> is the concentration or measure of a water quality characteristic that is associated with acceptability of water to the consumer, such as appearance, taste and odour.</w:t>
      </w:r>
    </w:p>
    <w:p w14:paraId="789785C2" w14:textId="77777777" w:rsidR="00D26A7F" w:rsidRDefault="00D26A7F" w:rsidP="00D26A7F">
      <w:pPr>
        <w:tabs>
          <w:tab w:val="right" w:pos="9424"/>
        </w:tabs>
        <w:ind w:right="23"/>
        <w:jc w:val="both"/>
        <w:rPr>
          <w:rFonts w:cs="Arial"/>
        </w:rPr>
      </w:pPr>
      <w:r>
        <w:rPr>
          <w:rFonts w:cs="Arial"/>
        </w:rPr>
        <w:t xml:space="preserve">The following table provides information on the most commonly tested chemical and physical characteristics in drinking water with reference to the 2011 ADWG. </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612"/>
        <w:gridCol w:w="1789"/>
        <w:gridCol w:w="4481"/>
      </w:tblGrid>
      <w:tr w:rsidR="00D26A7F" w14:paraId="7CFC6629" w14:textId="77777777" w:rsidTr="001F6475">
        <w:tc>
          <w:tcPr>
            <w:tcW w:w="1265" w:type="dxa"/>
            <w:shd w:val="clear" w:color="auto" w:fill="E6E6E6"/>
          </w:tcPr>
          <w:p w14:paraId="67F34F39" w14:textId="77777777" w:rsidR="00D26A7F" w:rsidRPr="00D26A7F" w:rsidRDefault="00D26A7F" w:rsidP="00B14A06">
            <w:pPr>
              <w:ind w:right="24"/>
              <w:rPr>
                <w:rFonts w:asciiTheme="minorHAnsi" w:hAnsiTheme="minorHAnsi" w:cs="Arial"/>
                <w:b/>
                <w:bCs/>
              </w:rPr>
            </w:pPr>
            <w:r w:rsidRPr="00D26A7F">
              <w:rPr>
                <w:rFonts w:asciiTheme="minorHAnsi" w:hAnsiTheme="minorHAnsi" w:cs="Arial"/>
                <w:b/>
                <w:bCs/>
              </w:rPr>
              <w:t>Parameter</w:t>
            </w:r>
          </w:p>
        </w:tc>
        <w:tc>
          <w:tcPr>
            <w:tcW w:w="1612" w:type="dxa"/>
            <w:shd w:val="clear" w:color="auto" w:fill="E6E6E6"/>
          </w:tcPr>
          <w:p w14:paraId="7C331F56" w14:textId="77777777" w:rsidR="00D26A7F" w:rsidRPr="00D26A7F" w:rsidRDefault="00D26A7F" w:rsidP="00B14A06">
            <w:pPr>
              <w:ind w:right="24"/>
              <w:jc w:val="center"/>
              <w:rPr>
                <w:rFonts w:asciiTheme="minorHAnsi" w:hAnsiTheme="minorHAnsi" w:cs="Arial"/>
                <w:b/>
                <w:bCs/>
              </w:rPr>
            </w:pPr>
            <w:r w:rsidRPr="00D26A7F">
              <w:rPr>
                <w:rFonts w:asciiTheme="minorHAnsi" w:hAnsiTheme="minorHAnsi" w:cs="Arial"/>
                <w:b/>
                <w:bCs/>
              </w:rPr>
              <w:t>Health Guideline (mg/L)</w:t>
            </w:r>
          </w:p>
        </w:tc>
        <w:tc>
          <w:tcPr>
            <w:tcW w:w="1789" w:type="dxa"/>
            <w:shd w:val="clear" w:color="auto" w:fill="E6E6E6"/>
          </w:tcPr>
          <w:p w14:paraId="50461A15" w14:textId="77777777" w:rsidR="00D26A7F" w:rsidRPr="00D26A7F" w:rsidRDefault="00D26A7F" w:rsidP="00B14A06">
            <w:pPr>
              <w:ind w:right="24"/>
              <w:jc w:val="center"/>
              <w:rPr>
                <w:rFonts w:asciiTheme="minorHAnsi" w:hAnsiTheme="minorHAnsi" w:cs="Arial"/>
                <w:b/>
                <w:bCs/>
              </w:rPr>
            </w:pPr>
            <w:r w:rsidRPr="00D26A7F">
              <w:rPr>
                <w:rFonts w:asciiTheme="minorHAnsi" w:hAnsiTheme="minorHAnsi" w:cs="Arial"/>
                <w:b/>
                <w:bCs/>
              </w:rPr>
              <w:t>Aesthetic Guideline (mg/L)</w:t>
            </w:r>
          </w:p>
        </w:tc>
        <w:tc>
          <w:tcPr>
            <w:tcW w:w="4481" w:type="dxa"/>
            <w:shd w:val="clear" w:color="auto" w:fill="E6E6E6"/>
          </w:tcPr>
          <w:p w14:paraId="2C636A93" w14:textId="77777777" w:rsidR="00D26A7F" w:rsidRPr="00D26A7F" w:rsidRDefault="00D26A7F" w:rsidP="00B14A06">
            <w:pPr>
              <w:ind w:right="24"/>
              <w:jc w:val="center"/>
              <w:rPr>
                <w:rFonts w:asciiTheme="minorHAnsi" w:hAnsiTheme="minorHAnsi" w:cs="Arial"/>
                <w:b/>
                <w:bCs/>
              </w:rPr>
            </w:pPr>
            <w:r w:rsidRPr="00D26A7F">
              <w:rPr>
                <w:rFonts w:asciiTheme="minorHAnsi" w:hAnsiTheme="minorHAnsi" w:cs="Arial"/>
                <w:b/>
                <w:bCs/>
              </w:rPr>
              <w:t>Comments</w:t>
            </w:r>
          </w:p>
        </w:tc>
      </w:tr>
      <w:tr w:rsidR="00D26A7F" w14:paraId="173048DA" w14:textId="77777777" w:rsidTr="00B14A06">
        <w:tc>
          <w:tcPr>
            <w:tcW w:w="1188" w:type="dxa"/>
          </w:tcPr>
          <w:p w14:paraId="79E82E26"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Cl </w:t>
            </w:r>
          </w:p>
        </w:tc>
        <w:tc>
          <w:tcPr>
            <w:tcW w:w="1620" w:type="dxa"/>
          </w:tcPr>
          <w:p w14:paraId="5B3F605D"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5</w:t>
            </w:r>
          </w:p>
        </w:tc>
        <w:tc>
          <w:tcPr>
            <w:tcW w:w="1800" w:type="dxa"/>
          </w:tcPr>
          <w:p w14:paraId="2960B3AB"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0.6</w:t>
            </w:r>
          </w:p>
        </w:tc>
        <w:tc>
          <w:tcPr>
            <w:tcW w:w="4539" w:type="dxa"/>
          </w:tcPr>
          <w:p w14:paraId="7DD95F77"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Chlorine is added to water to kill harmful bacteria. The aesthetic guideline is based on an odour threshold. </w:t>
            </w:r>
          </w:p>
        </w:tc>
      </w:tr>
      <w:tr w:rsidR="00D26A7F" w14:paraId="540BD298" w14:textId="77777777" w:rsidTr="00B14A06">
        <w:tc>
          <w:tcPr>
            <w:tcW w:w="1188" w:type="dxa"/>
          </w:tcPr>
          <w:p w14:paraId="326786F9"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F </w:t>
            </w:r>
          </w:p>
        </w:tc>
        <w:tc>
          <w:tcPr>
            <w:tcW w:w="1620" w:type="dxa"/>
          </w:tcPr>
          <w:p w14:paraId="48B1C5A4"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1.5</w:t>
            </w:r>
          </w:p>
        </w:tc>
        <w:tc>
          <w:tcPr>
            <w:tcW w:w="1800" w:type="dxa"/>
          </w:tcPr>
          <w:p w14:paraId="66F7ED7B"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Not applicable</w:t>
            </w:r>
          </w:p>
        </w:tc>
        <w:tc>
          <w:tcPr>
            <w:tcW w:w="4539" w:type="dxa"/>
          </w:tcPr>
          <w:p w14:paraId="505E7DC5"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Fluoride is added to many town water supplies and levels up to 1 mg/L protect against dental caries. Levels above 1.5 mg/L can cause dental fluorosis (mottling of teeth). </w:t>
            </w:r>
          </w:p>
        </w:tc>
      </w:tr>
      <w:tr w:rsidR="00D26A7F" w14:paraId="687468A2" w14:textId="77777777" w:rsidTr="00B14A06">
        <w:tc>
          <w:tcPr>
            <w:tcW w:w="1188" w:type="dxa"/>
          </w:tcPr>
          <w:p w14:paraId="649AFDDD"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Fe </w:t>
            </w:r>
          </w:p>
        </w:tc>
        <w:tc>
          <w:tcPr>
            <w:tcW w:w="1620" w:type="dxa"/>
          </w:tcPr>
          <w:p w14:paraId="2909EFA9"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None set</w:t>
            </w:r>
          </w:p>
        </w:tc>
        <w:tc>
          <w:tcPr>
            <w:tcW w:w="1800" w:type="dxa"/>
          </w:tcPr>
          <w:p w14:paraId="7D3C0134"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0.3</w:t>
            </w:r>
          </w:p>
        </w:tc>
        <w:tc>
          <w:tcPr>
            <w:tcW w:w="4539" w:type="dxa"/>
          </w:tcPr>
          <w:p w14:paraId="02072DCB"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Above this value the water may taste strange. High iron can give water a rusty-brown appearance and can stain laundry and fittings.</w:t>
            </w:r>
          </w:p>
        </w:tc>
      </w:tr>
      <w:tr w:rsidR="00D26A7F" w14:paraId="6AA4EFA2" w14:textId="77777777" w:rsidTr="00B14A06">
        <w:tc>
          <w:tcPr>
            <w:tcW w:w="1188" w:type="dxa"/>
          </w:tcPr>
          <w:p w14:paraId="54DF0F48"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 xml:space="preserve">K </w:t>
            </w:r>
          </w:p>
        </w:tc>
        <w:tc>
          <w:tcPr>
            <w:tcW w:w="1620" w:type="dxa"/>
          </w:tcPr>
          <w:p w14:paraId="0C5A1460"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None set</w:t>
            </w:r>
          </w:p>
        </w:tc>
        <w:tc>
          <w:tcPr>
            <w:tcW w:w="1800" w:type="dxa"/>
          </w:tcPr>
          <w:p w14:paraId="76CC6AD5"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None set</w:t>
            </w:r>
          </w:p>
        </w:tc>
        <w:tc>
          <w:tcPr>
            <w:tcW w:w="4539" w:type="dxa"/>
          </w:tcPr>
          <w:p w14:paraId="1B2B63EB"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Potassium is an essential element for humans. </w:t>
            </w:r>
          </w:p>
        </w:tc>
      </w:tr>
      <w:tr w:rsidR="00D26A7F" w14:paraId="51DA7DC2" w14:textId="77777777" w:rsidTr="00B14A06">
        <w:tc>
          <w:tcPr>
            <w:tcW w:w="1188" w:type="dxa"/>
          </w:tcPr>
          <w:p w14:paraId="5489FBB5"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Na</w:t>
            </w:r>
          </w:p>
        </w:tc>
        <w:tc>
          <w:tcPr>
            <w:tcW w:w="1620" w:type="dxa"/>
          </w:tcPr>
          <w:p w14:paraId="4C8A3122"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None set</w:t>
            </w:r>
          </w:p>
        </w:tc>
        <w:tc>
          <w:tcPr>
            <w:tcW w:w="1800" w:type="dxa"/>
          </w:tcPr>
          <w:p w14:paraId="6C8BD225"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180</w:t>
            </w:r>
          </w:p>
        </w:tc>
        <w:tc>
          <w:tcPr>
            <w:tcW w:w="4539" w:type="dxa"/>
          </w:tcPr>
          <w:p w14:paraId="4B09CBC1"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Above this value the water is likely to taste salty. </w:t>
            </w:r>
          </w:p>
        </w:tc>
      </w:tr>
      <w:tr w:rsidR="00D26A7F" w14:paraId="49CB23F4" w14:textId="77777777" w:rsidTr="00B14A06">
        <w:tc>
          <w:tcPr>
            <w:tcW w:w="1188" w:type="dxa"/>
          </w:tcPr>
          <w:p w14:paraId="461762BA"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NaCl</w:t>
            </w:r>
          </w:p>
        </w:tc>
        <w:tc>
          <w:tcPr>
            <w:tcW w:w="1620" w:type="dxa"/>
          </w:tcPr>
          <w:p w14:paraId="0A335EF4"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None set</w:t>
            </w:r>
          </w:p>
        </w:tc>
        <w:tc>
          <w:tcPr>
            <w:tcW w:w="1800" w:type="dxa"/>
          </w:tcPr>
          <w:p w14:paraId="6FCE60E6"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None set</w:t>
            </w:r>
          </w:p>
        </w:tc>
        <w:tc>
          <w:tcPr>
            <w:tcW w:w="4539" w:type="dxa"/>
          </w:tcPr>
          <w:p w14:paraId="5B68427A"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The presence of high levels of sodium chloride in bore water may indicate the disruption of the water table in the immediate area, leading to salination of the bore. This is of particular concern in coastal areas.</w:t>
            </w:r>
          </w:p>
        </w:tc>
      </w:tr>
      <w:tr w:rsidR="00D26A7F" w14:paraId="4D7C514E" w14:textId="77777777" w:rsidTr="00B14A06">
        <w:tc>
          <w:tcPr>
            <w:tcW w:w="1188" w:type="dxa"/>
          </w:tcPr>
          <w:p w14:paraId="112F151F"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NO</w:t>
            </w:r>
            <w:r w:rsidRPr="00D26A7F">
              <w:rPr>
                <w:rFonts w:asciiTheme="minorHAnsi" w:hAnsiTheme="minorHAnsi" w:cs="Arial"/>
                <w:vertAlign w:val="subscript"/>
              </w:rPr>
              <w:t>3</w:t>
            </w:r>
          </w:p>
        </w:tc>
        <w:tc>
          <w:tcPr>
            <w:tcW w:w="1620" w:type="dxa"/>
          </w:tcPr>
          <w:p w14:paraId="5649F2B1"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50</w:t>
            </w:r>
          </w:p>
        </w:tc>
        <w:tc>
          <w:tcPr>
            <w:tcW w:w="1800" w:type="dxa"/>
          </w:tcPr>
          <w:p w14:paraId="6DF0657C"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Not applicable</w:t>
            </w:r>
          </w:p>
        </w:tc>
        <w:tc>
          <w:tcPr>
            <w:tcW w:w="4539" w:type="dxa"/>
          </w:tcPr>
          <w:p w14:paraId="3A72498C"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The nitrate level has been set to protect bottle-fed infants less than 3 months old. Up to 100mg/L can be safely consumed by adults and children above 3 months of age.</w:t>
            </w:r>
          </w:p>
        </w:tc>
      </w:tr>
      <w:tr w:rsidR="001F6475" w14:paraId="65659100" w14:textId="77777777" w:rsidTr="001F6475">
        <w:trPr>
          <w:trHeight w:val="1036"/>
        </w:trPr>
        <w:tc>
          <w:tcPr>
            <w:tcW w:w="1188" w:type="dxa"/>
            <w:shd w:val="clear" w:color="auto" w:fill="D9D9D9" w:themeFill="background1" w:themeFillShade="D9"/>
          </w:tcPr>
          <w:p w14:paraId="2169A960" w14:textId="54115D0D" w:rsidR="001F6475" w:rsidRPr="00D26A7F" w:rsidRDefault="001F6475" w:rsidP="001F6475">
            <w:pPr>
              <w:spacing w:before="80" w:after="80"/>
              <w:ind w:right="24"/>
              <w:jc w:val="center"/>
              <w:rPr>
                <w:rFonts w:asciiTheme="minorHAnsi" w:hAnsiTheme="minorHAnsi" w:cs="Arial"/>
              </w:rPr>
            </w:pPr>
            <w:r w:rsidRPr="00D26A7F">
              <w:rPr>
                <w:rFonts w:asciiTheme="minorHAnsi" w:hAnsiTheme="minorHAnsi" w:cs="Arial"/>
                <w:b/>
                <w:bCs/>
              </w:rPr>
              <w:lastRenderedPageBreak/>
              <w:t>Parameter</w:t>
            </w:r>
          </w:p>
        </w:tc>
        <w:tc>
          <w:tcPr>
            <w:tcW w:w="1620" w:type="dxa"/>
            <w:shd w:val="clear" w:color="auto" w:fill="D9D9D9" w:themeFill="background1" w:themeFillShade="D9"/>
          </w:tcPr>
          <w:p w14:paraId="6D938012" w14:textId="392BAAC4" w:rsidR="001F6475" w:rsidRPr="00D26A7F" w:rsidRDefault="001F6475" w:rsidP="001F6475">
            <w:pPr>
              <w:spacing w:before="80" w:after="80"/>
              <w:ind w:right="24"/>
              <w:jc w:val="center"/>
              <w:rPr>
                <w:rFonts w:asciiTheme="minorHAnsi" w:hAnsiTheme="minorHAnsi" w:cs="Arial"/>
              </w:rPr>
            </w:pPr>
            <w:r w:rsidRPr="00D26A7F">
              <w:rPr>
                <w:rFonts w:asciiTheme="minorHAnsi" w:hAnsiTheme="minorHAnsi" w:cs="Arial"/>
                <w:b/>
                <w:bCs/>
              </w:rPr>
              <w:t>Health Guideline (mg/L)</w:t>
            </w:r>
          </w:p>
        </w:tc>
        <w:tc>
          <w:tcPr>
            <w:tcW w:w="1800" w:type="dxa"/>
            <w:shd w:val="clear" w:color="auto" w:fill="D9D9D9" w:themeFill="background1" w:themeFillShade="D9"/>
          </w:tcPr>
          <w:p w14:paraId="4EA51538" w14:textId="5B430262" w:rsidR="001F6475" w:rsidRPr="00D26A7F" w:rsidRDefault="001F6475" w:rsidP="001F6475">
            <w:pPr>
              <w:tabs>
                <w:tab w:val="right" w:pos="9424"/>
              </w:tabs>
              <w:ind w:right="24"/>
              <w:jc w:val="center"/>
              <w:rPr>
                <w:rFonts w:asciiTheme="minorHAnsi" w:hAnsiTheme="minorHAnsi" w:cs="Arial"/>
              </w:rPr>
            </w:pPr>
            <w:r w:rsidRPr="00D26A7F">
              <w:rPr>
                <w:rFonts w:asciiTheme="minorHAnsi" w:hAnsiTheme="minorHAnsi" w:cs="Arial"/>
                <w:b/>
                <w:bCs/>
              </w:rPr>
              <w:t>Aesthetic Guideline (mg/L)</w:t>
            </w:r>
          </w:p>
        </w:tc>
        <w:tc>
          <w:tcPr>
            <w:tcW w:w="4539" w:type="dxa"/>
            <w:shd w:val="clear" w:color="auto" w:fill="D9D9D9" w:themeFill="background1" w:themeFillShade="D9"/>
          </w:tcPr>
          <w:p w14:paraId="2E2BE7BA" w14:textId="34BF59FF" w:rsidR="001F6475" w:rsidRPr="00D26A7F" w:rsidRDefault="001F6475" w:rsidP="001F6475">
            <w:pPr>
              <w:spacing w:before="80" w:after="80"/>
              <w:ind w:right="24"/>
              <w:jc w:val="center"/>
              <w:rPr>
                <w:rFonts w:asciiTheme="minorHAnsi" w:hAnsiTheme="minorHAnsi" w:cs="Arial"/>
              </w:rPr>
            </w:pPr>
            <w:r w:rsidRPr="00D26A7F">
              <w:rPr>
                <w:rFonts w:asciiTheme="minorHAnsi" w:hAnsiTheme="minorHAnsi" w:cs="Arial"/>
                <w:b/>
                <w:bCs/>
              </w:rPr>
              <w:t>Comments</w:t>
            </w:r>
          </w:p>
        </w:tc>
      </w:tr>
      <w:tr w:rsidR="00D26A7F" w14:paraId="42761EB4" w14:textId="77777777" w:rsidTr="001F6475">
        <w:trPr>
          <w:trHeight w:val="1428"/>
        </w:trPr>
        <w:tc>
          <w:tcPr>
            <w:tcW w:w="1265" w:type="dxa"/>
          </w:tcPr>
          <w:p w14:paraId="3548082F"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pH</w:t>
            </w:r>
          </w:p>
        </w:tc>
        <w:tc>
          <w:tcPr>
            <w:tcW w:w="1612" w:type="dxa"/>
          </w:tcPr>
          <w:p w14:paraId="276ECDAA"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None set</w:t>
            </w:r>
          </w:p>
        </w:tc>
        <w:tc>
          <w:tcPr>
            <w:tcW w:w="1789" w:type="dxa"/>
          </w:tcPr>
          <w:p w14:paraId="60D4BD62"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6.5-8.5</w:t>
            </w:r>
          </w:p>
        </w:tc>
        <w:tc>
          <w:tcPr>
            <w:tcW w:w="4481" w:type="dxa"/>
          </w:tcPr>
          <w:p w14:paraId="5C725581"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A pH of 7 is neutral, above 7 the pH is alkaline and below 7 the pH is acidic.</w:t>
            </w:r>
          </w:p>
          <w:p w14:paraId="29472E33"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A pH below 6.5 may be corrosive to pipe work.</w:t>
            </w:r>
          </w:p>
          <w:p w14:paraId="2AC4296E"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 A pH above 8.5 may cause scale and taste problems and decreases the disinfection efficiency of chlorine. </w:t>
            </w:r>
          </w:p>
        </w:tc>
      </w:tr>
      <w:tr w:rsidR="00D26A7F" w14:paraId="2E88EEE0" w14:textId="77777777" w:rsidTr="001F6475">
        <w:tc>
          <w:tcPr>
            <w:tcW w:w="1265" w:type="dxa"/>
          </w:tcPr>
          <w:p w14:paraId="4884ACA4"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SO</w:t>
            </w:r>
            <w:r w:rsidRPr="00D26A7F">
              <w:rPr>
                <w:rFonts w:asciiTheme="minorHAnsi" w:hAnsiTheme="minorHAnsi" w:cs="Arial"/>
                <w:vertAlign w:val="subscript"/>
              </w:rPr>
              <w:t>4</w:t>
            </w:r>
          </w:p>
        </w:tc>
        <w:tc>
          <w:tcPr>
            <w:tcW w:w="1612" w:type="dxa"/>
          </w:tcPr>
          <w:p w14:paraId="24DFF3D6"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500</w:t>
            </w:r>
          </w:p>
        </w:tc>
        <w:tc>
          <w:tcPr>
            <w:tcW w:w="1789" w:type="dxa"/>
          </w:tcPr>
          <w:p w14:paraId="3E9A0D91"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250</w:t>
            </w:r>
          </w:p>
        </w:tc>
        <w:tc>
          <w:tcPr>
            <w:tcW w:w="4481" w:type="dxa"/>
          </w:tcPr>
          <w:p w14:paraId="37074FB0"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The aesthetic value is based on a taste threshold. Negative health effects do not occur below 500 mg/L of Sulfate, and can include dehydration and diarrhoea.</w:t>
            </w:r>
          </w:p>
        </w:tc>
      </w:tr>
      <w:tr w:rsidR="00D26A7F" w14:paraId="053BDC02" w14:textId="77777777" w:rsidTr="001F6475">
        <w:tc>
          <w:tcPr>
            <w:tcW w:w="1265" w:type="dxa"/>
          </w:tcPr>
          <w:p w14:paraId="5640DC58"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TDS </w:t>
            </w:r>
          </w:p>
          <w:p w14:paraId="1151F510"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(Total Dissolved Solids)</w:t>
            </w:r>
          </w:p>
        </w:tc>
        <w:tc>
          <w:tcPr>
            <w:tcW w:w="1612" w:type="dxa"/>
          </w:tcPr>
          <w:p w14:paraId="1033192B"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None set </w:t>
            </w:r>
          </w:p>
        </w:tc>
        <w:tc>
          <w:tcPr>
            <w:tcW w:w="1789" w:type="dxa"/>
          </w:tcPr>
          <w:p w14:paraId="13593C7F"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600</w:t>
            </w:r>
          </w:p>
        </w:tc>
        <w:tc>
          <w:tcPr>
            <w:tcW w:w="4481" w:type="dxa"/>
          </w:tcPr>
          <w:p w14:paraId="61729E9D"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Water with a TDS level of 1000 and above, can cause excessive scaling and corrosion of pipes and fittings.</w:t>
            </w:r>
          </w:p>
        </w:tc>
      </w:tr>
      <w:tr w:rsidR="00D26A7F" w14:paraId="277B1FAE" w14:textId="77777777" w:rsidTr="001F6475">
        <w:tc>
          <w:tcPr>
            <w:tcW w:w="1265" w:type="dxa"/>
          </w:tcPr>
          <w:p w14:paraId="6473EC93"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Total Hardness</w:t>
            </w:r>
          </w:p>
        </w:tc>
        <w:tc>
          <w:tcPr>
            <w:tcW w:w="1612" w:type="dxa"/>
          </w:tcPr>
          <w:p w14:paraId="4E47B7EA"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None set</w:t>
            </w:r>
          </w:p>
        </w:tc>
        <w:tc>
          <w:tcPr>
            <w:tcW w:w="1789" w:type="dxa"/>
          </w:tcPr>
          <w:p w14:paraId="30677728"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200</w:t>
            </w:r>
          </w:p>
        </w:tc>
        <w:tc>
          <w:tcPr>
            <w:tcW w:w="4481" w:type="dxa"/>
          </w:tcPr>
          <w:p w14:paraId="0C5309A2"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Hard water causes scaling problems in pipes and fittings and soft water can cause corrosion of pipes and fittings.</w:t>
            </w:r>
          </w:p>
          <w:p w14:paraId="68A545FE"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 xml:space="preserve">Below 60 mg/L the water may be corrosive. Above 200 mg/L the water may cause scaling problems. </w:t>
            </w:r>
          </w:p>
        </w:tc>
      </w:tr>
      <w:tr w:rsidR="00D26A7F" w14:paraId="53E65C42" w14:textId="77777777" w:rsidTr="001F6475">
        <w:tc>
          <w:tcPr>
            <w:tcW w:w="1265" w:type="dxa"/>
          </w:tcPr>
          <w:p w14:paraId="397B1A19"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True Colour</w:t>
            </w:r>
          </w:p>
        </w:tc>
        <w:tc>
          <w:tcPr>
            <w:tcW w:w="1612" w:type="dxa"/>
          </w:tcPr>
          <w:p w14:paraId="42A4FA4A"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Not necessary</w:t>
            </w:r>
          </w:p>
        </w:tc>
        <w:tc>
          <w:tcPr>
            <w:tcW w:w="1789" w:type="dxa"/>
          </w:tcPr>
          <w:p w14:paraId="4E22AE1E"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15 HU</w:t>
            </w:r>
          </w:p>
        </w:tc>
        <w:tc>
          <w:tcPr>
            <w:tcW w:w="4481" w:type="dxa"/>
          </w:tcPr>
          <w:p w14:paraId="237E8872"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Colour is generally related to organic content. 15 HU is just noticeable in a glass of water.</w:t>
            </w:r>
          </w:p>
          <w:p w14:paraId="48454532"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Up to 25 HU is acceptable if turbidity is low.</w:t>
            </w:r>
          </w:p>
          <w:p w14:paraId="247C6974"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Chlorination of water high in colour may produce disinfection by-products.</w:t>
            </w:r>
          </w:p>
        </w:tc>
      </w:tr>
      <w:tr w:rsidR="00D26A7F" w14:paraId="0B6808D8" w14:textId="77777777" w:rsidTr="001F6475">
        <w:tc>
          <w:tcPr>
            <w:tcW w:w="1265" w:type="dxa"/>
          </w:tcPr>
          <w:p w14:paraId="476E3701"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Turbidity</w:t>
            </w:r>
          </w:p>
        </w:tc>
        <w:tc>
          <w:tcPr>
            <w:tcW w:w="1612" w:type="dxa"/>
          </w:tcPr>
          <w:p w14:paraId="6A40F1D6" w14:textId="77777777" w:rsidR="00D26A7F" w:rsidRPr="00D26A7F" w:rsidRDefault="00D26A7F" w:rsidP="00B14A06">
            <w:pPr>
              <w:spacing w:before="80" w:after="80"/>
              <w:ind w:right="24"/>
              <w:rPr>
                <w:rFonts w:asciiTheme="minorHAnsi" w:hAnsiTheme="minorHAnsi" w:cs="Arial"/>
              </w:rPr>
            </w:pPr>
          </w:p>
        </w:tc>
        <w:tc>
          <w:tcPr>
            <w:tcW w:w="1789" w:type="dxa"/>
          </w:tcPr>
          <w:p w14:paraId="588A7BBA" w14:textId="77777777" w:rsidR="00D26A7F" w:rsidRPr="00D26A7F" w:rsidRDefault="00D26A7F" w:rsidP="00B14A06">
            <w:pPr>
              <w:tabs>
                <w:tab w:val="right" w:pos="9424"/>
              </w:tabs>
              <w:ind w:right="24"/>
              <w:jc w:val="both"/>
              <w:rPr>
                <w:rFonts w:asciiTheme="minorHAnsi" w:hAnsiTheme="minorHAnsi" w:cs="Arial"/>
              </w:rPr>
            </w:pPr>
            <w:r w:rsidRPr="00D26A7F">
              <w:rPr>
                <w:rFonts w:asciiTheme="minorHAnsi" w:hAnsiTheme="minorHAnsi" w:cs="Arial"/>
              </w:rPr>
              <w:t xml:space="preserve">5 NTU </w:t>
            </w:r>
          </w:p>
        </w:tc>
        <w:tc>
          <w:tcPr>
            <w:tcW w:w="4481" w:type="dxa"/>
          </w:tcPr>
          <w:p w14:paraId="53B9785E"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5 NTU is just noticeable in a glass of water.</w:t>
            </w:r>
          </w:p>
          <w:p w14:paraId="0D4B9A46"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For effective disinfection turbidity below 1 NTU is desirable.</w:t>
            </w:r>
          </w:p>
          <w:p w14:paraId="286A2707" w14:textId="77777777" w:rsidR="00D26A7F" w:rsidRPr="00D26A7F" w:rsidRDefault="00D26A7F" w:rsidP="00B14A06">
            <w:pPr>
              <w:spacing w:before="80" w:after="80"/>
              <w:ind w:right="24"/>
              <w:rPr>
                <w:rFonts w:asciiTheme="minorHAnsi" w:hAnsiTheme="minorHAnsi" w:cs="Arial"/>
              </w:rPr>
            </w:pPr>
            <w:r w:rsidRPr="00D26A7F">
              <w:rPr>
                <w:rFonts w:asciiTheme="minorHAnsi" w:hAnsiTheme="minorHAnsi" w:cs="Arial"/>
              </w:rPr>
              <w:t>Turbidity above 1 NTU may shield micro-organisms from disinfection.</w:t>
            </w:r>
          </w:p>
        </w:tc>
      </w:tr>
    </w:tbl>
    <w:p w14:paraId="3127FD05" w14:textId="77777777" w:rsidR="006A2F2D" w:rsidRDefault="006A2F2D" w:rsidP="00996655">
      <w:pPr>
        <w:rPr>
          <w:lang w:bidi="en-US"/>
        </w:rPr>
      </w:pPr>
    </w:p>
    <w:p w14:paraId="66226548" w14:textId="45540F41" w:rsidR="00D26A7F" w:rsidRPr="00217D73" w:rsidRDefault="00D26A7F" w:rsidP="00D26A7F">
      <w:pPr>
        <w:pStyle w:val="Heading1"/>
      </w:pPr>
      <w:r>
        <w:t xml:space="preserve">What if I have </w:t>
      </w:r>
      <w:r w:rsidR="001F6475">
        <w:t>further questions</w:t>
      </w:r>
      <w:r>
        <w:t>?</w:t>
      </w:r>
    </w:p>
    <w:p w14:paraId="50946B66" w14:textId="28AEA42C" w:rsidR="00D26A7F" w:rsidRDefault="00D26A7F" w:rsidP="00D26A7F">
      <w:pPr>
        <w:tabs>
          <w:tab w:val="right" w:pos="9424"/>
        </w:tabs>
        <w:ind w:right="24"/>
        <w:jc w:val="both"/>
        <w:rPr>
          <w:rFonts w:cs="Arial"/>
        </w:rPr>
      </w:pPr>
      <w:r>
        <w:rPr>
          <w:rFonts w:cs="Arial"/>
        </w:rPr>
        <w:t xml:space="preserve">For further information </w:t>
      </w:r>
      <w:r w:rsidR="00603F6B">
        <w:rPr>
          <w:rFonts w:cs="Arial"/>
        </w:rPr>
        <w:t>please</w:t>
      </w:r>
      <w:r>
        <w:rPr>
          <w:rFonts w:cs="Arial"/>
        </w:rPr>
        <w:t xml:space="preserve"> </w:t>
      </w:r>
      <w:r w:rsidR="0066140A">
        <w:rPr>
          <w:rFonts w:cs="Arial"/>
        </w:rPr>
        <w:t>contact Environmental Health</w:t>
      </w:r>
      <w:r>
        <w:rPr>
          <w:rFonts w:cs="Arial"/>
        </w:rPr>
        <w:t>;</w:t>
      </w:r>
    </w:p>
    <w:p w14:paraId="27C8C936" w14:textId="22893D3E" w:rsidR="00D26A7F" w:rsidRPr="00D26A7F" w:rsidRDefault="0000596E" w:rsidP="001F6475">
      <w:pPr>
        <w:tabs>
          <w:tab w:val="right" w:pos="9424"/>
        </w:tabs>
        <w:ind w:right="24"/>
        <w:jc w:val="both"/>
        <w:rPr>
          <w:rFonts w:cs="Arial"/>
        </w:rPr>
      </w:pPr>
      <w:hyperlink r:id="rId9" w:history="1">
        <w:r w:rsidR="00603F6B" w:rsidRPr="00D14621">
          <w:rPr>
            <w:rStyle w:val="Hyperlink"/>
            <w:rFonts w:cs="Arial"/>
          </w:rPr>
          <w:t>https://health.nt.gov.au/professionals/environmental-health</w:t>
        </w:r>
      </w:hyperlink>
      <w:r w:rsidR="00603F6B">
        <w:rPr>
          <w:rFonts w:cs="Arial"/>
        </w:rPr>
        <w:t xml:space="preserve"> </w:t>
      </w:r>
    </w:p>
    <w:sectPr w:rsidR="00D26A7F" w:rsidRPr="00D26A7F" w:rsidSect="00CC571B">
      <w:headerReference w:type="default" r:id="rId10"/>
      <w:footerReference w:type="default" r:id="rId11"/>
      <w:headerReference w:type="first" r:id="rId12"/>
      <w:footerReference w:type="first" r:id="rId13"/>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404DE" w14:textId="77777777" w:rsidR="0000596E" w:rsidRDefault="0000596E" w:rsidP="007332FF">
      <w:r>
        <w:separator/>
      </w:r>
    </w:p>
  </w:endnote>
  <w:endnote w:type="continuationSeparator" w:id="0">
    <w:p w14:paraId="1DA4328F" w14:textId="77777777" w:rsidR="0000596E" w:rsidRDefault="0000596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BF4BA" w14:textId="77777777" w:rsidR="00996655" w:rsidRDefault="00996655" w:rsidP="0099665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002C52" w:rsidRPr="00132658" w14:paraId="426A5ACD" w14:textId="77777777" w:rsidTr="00DC1153">
      <w:trPr>
        <w:cantSplit/>
        <w:trHeight w:hRule="exact" w:val="567"/>
      </w:trPr>
      <w:tc>
        <w:tcPr>
          <w:tcW w:w="10318" w:type="dxa"/>
          <w:vAlign w:val="bottom"/>
        </w:tcPr>
        <w:p w14:paraId="6927CDDF" w14:textId="77777777" w:rsidR="00002C52" w:rsidRPr="00750D2F" w:rsidRDefault="00002C52" w:rsidP="00002C52">
          <w:pPr>
            <w:spacing w:after="0"/>
            <w:rPr>
              <w:rStyle w:val="PageNumber"/>
            </w:rPr>
          </w:pPr>
          <w:r w:rsidRPr="00750D2F">
            <w:rPr>
              <w:rStyle w:val="PageNumber"/>
            </w:rPr>
            <w:t xml:space="preserve">Department of </w:t>
          </w:r>
          <w:sdt>
            <w:sdtPr>
              <w:rPr>
                <w:rStyle w:val="PageNumber"/>
                <w:b/>
              </w:rPr>
              <w:alias w:val="Company"/>
              <w:tag w:val=""/>
              <w:id w:val="310921806"/>
              <w:placeholder>
                <w:docPart w:val="8398573C681049FF8B0AFEE8789C67C1"/>
              </w:placeholder>
              <w:dataBinding w:prefixMappings="xmlns:ns0='http://schemas.openxmlformats.org/officeDocument/2006/extended-properties' " w:xpath="/ns0:Properties[1]/ns0:Company[1]" w:storeItemID="{6668398D-A668-4E3E-A5EB-62B293D839F1}"/>
              <w15:color w:val="000000"/>
              <w:text w:multiLine="1"/>
            </w:sdtPr>
            <w:sdtEndPr>
              <w:rPr>
                <w:rStyle w:val="PageNumber"/>
              </w:rPr>
            </w:sdtEndPr>
            <w:sdtContent>
              <w:r>
                <w:rPr>
                  <w:rStyle w:val="PageNumber"/>
                  <w:b/>
                </w:rPr>
                <w:t>Health</w:t>
              </w:r>
            </w:sdtContent>
          </w:sdt>
          <w:r>
            <w:rPr>
              <w:rStyle w:val="PageNumber"/>
            </w:rPr>
            <w:t xml:space="preserve"> </w:t>
          </w:r>
        </w:p>
        <w:p w14:paraId="3711D6CD" w14:textId="10594172" w:rsidR="00002C52" w:rsidRPr="00AC4488" w:rsidRDefault="00002C52" w:rsidP="00002C52">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B64371">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B64371">
            <w:rPr>
              <w:rStyle w:val="PageNumber"/>
              <w:noProof/>
            </w:rPr>
            <w:t>3</w:t>
          </w:r>
          <w:r w:rsidRPr="00AC4488">
            <w:rPr>
              <w:rStyle w:val="PageNumber"/>
            </w:rPr>
            <w:fldChar w:fldCharType="end"/>
          </w:r>
        </w:p>
      </w:tc>
    </w:tr>
  </w:tbl>
  <w:p w14:paraId="38207A52" w14:textId="77777777" w:rsidR="00CA36A0" w:rsidRPr="00996655" w:rsidRDefault="00CA36A0" w:rsidP="00002C52">
    <w:pPr>
      <w:pStyle w:val="Hidden"/>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28AE6" w14:textId="77777777" w:rsidR="00D15D88" w:rsidRDefault="00D15D88" w:rsidP="00C0326E">
    <w:pPr>
      <w:spacing w:after="0"/>
    </w:pPr>
  </w:p>
  <w:p w14:paraId="6207636F" w14:textId="77777777"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14:paraId="3B23F58F" w14:textId="77777777" w:rsidTr="008921B4">
      <w:trPr>
        <w:cantSplit/>
        <w:trHeight w:hRule="exact" w:val="1134"/>
      </w:trPr>
      <w:tc>
        <w:tcPr>
          <w:tcW w:w="7767" w:type="dxa"/>
          <w:vAlign w:val="bottom"/>
        </w:tcPr>
        <w:p w14:paraId="507E76E9" w14:textId="0CF3DA8B" w:rsidR="00901430" w:rsidRPr="00901430" w:rsidRDefault="00901430" w:rsidP="00C0326E">
          <w:pPr>
            <w:spacing w:after="0"/>
            <w:rPr>
              <w:rStyle w:val="PageNumber"/>
            </w:rPr>
          </w:pPr>
          <w:r>
            <w:rPr>
              <w:rStyle w:val="PageNumber"/>
            </w:rPr>
            <w:t xml:space="preserve">Department of </w:t>
          </w:r>
          <w:sdt>
            <w:sdtPr>
              <w:rPr>
                <w:b/>
                <w:sz w:val="19"/>
                <w:szCs w:val="19"/>
              </w:rPr>
              <w:alias w:val="Company"/>
              <w:tag w:val=""/>
              <w:id w:val="250782577"/>
              <w:dataBinding w:prefixMappings="xmlns:ns0='http://schemas.openxmlformats.org/officeDocument/2006/extended-properties' " w:xpath="/ns0:Properties[1]/ns0:Company[1]" w:storeItemID="{6668398D-A668-4E3E-A5EB-62B293D839F1}"/>
              <w15:color w:val="000000"/>
              <w:text w:multiLine="1"/>
            </w:sdtPr>
            <w:sdtEndPr/>
            <w:sdtContent>
              <w:r w:rsidR="00002C52">
                <w:rPr>
                  <w:b/>
                  <w:sz w:val="19"/>
                  <w:szCs w:val="19"/>
                </w:rPr>
                <w:t>Health</w:t>
              </w:r>
            </w:sdtContent>
          </w:sdt>
        </w:p>
        <w:p w14:paraId="1EA49D77" w14:textId="11A9C0AE"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B64371">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B64371">
            <w:rPr>
              <w:rStyle w:val="PageNumber"/>
              <w:noProof/>
            </w:rPr>
            <w:t>3</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14:paraId="2C39A963" w14:textId="77777777" w:rsidR="00C0326E" w:rsidRPr="001E14EB" w:rsidRDefault="00C0326E" w:rsidP="00C0326E">
          <w:pPr>
            <w:spacing w:after="0"/>
            <w:jc w:val="right"/>
          </w:pPr>
          <w:r>
            <w:rPr>
              <w:noProof/>
              <w:lang w:eastAsia="en-AU"/>
            </w:rPr>
            <w:drawing>
              <wp:inline distT="0" distB="0" distL="0" distR="0" wp14:anchorId="71E95C01" wp14:editId="207B83BB">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6D904A6F" w14:textId="77777777"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5E61E" w14:textId="77777777" w:rsidR="0000596E" w:rsidRDefault="0000596E" w:rsidP="007332FF">
      <w:r>
        <w:separator/>
      </w:r>
    </w:p>
  </w:footnote>
  <w:footnote w:type="continuationSeparator" w:id="0">
    <w:p w14:paraId="498CDCCF" w14:textId="77777777" w:rsidR="0000596E" w:rsidRDefault="0000596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12198" w14:textId="77777777" w:rsidR="00983000" w:rsidRPr="00162207" w:rsidRDefault="0000596E"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r w:rsidR="00D26A7F">
          <w:t>Interpretation of results from physical and chemical testing and analysis of drinking water</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8C0C" w14:textId="77777777" w:rsidR="00E908F1" w:rsidRPr="000E3ED2" w:rsidRDefault="00D61FD1" w:rsidP="00EB164C">
    <w:pPr>
      <w:pStyle w:val="Subtitle0"/>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57A71F2"/>
    <w:multiLevelType w:val="hybridMultilevel"/>
    <w:tmpl w:val="33887A9E"/>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272E3F76"/>
    <w:multiLevelType w:val="multilevel"/>
    <w:tmpl w:val="3E5E177A"/>
    <w:name w:val="NTG Table Bullet List3322"/>
    <w:numStyleLink w:val="Tablenumberlist"/>
  </w:abstractNum>
  <w:abstractNum w:abstractNumId="24" w15:restartNumberingAfterBreak="0">
    <w:nsid w:val="27CE4608"/>
    <w:multiLevelType w:val="multilevel"/>
    <w:tmpl w:val="3E5E177A"/>
    <w:name w:val="NTG Table Bullet List33222"/>
    <w:numStyleLink w:val="Tablenumberlist"/>
  </w:abstractNum>
  <w:abstractNum w:abstractNumId="25" w15:restartNumberingAfterBreak="0">
    <w:nsid w:val="27D83E4D"/>
    <w:multiLevelType w:val="multilevel"/>
    <w:tmpl w:val="3928FD02"/>
    <w:numStyleLink w:val="Bulletlist"/>
  </w:abstractNum>
  <w:abstractNum w:abstractNumId="26"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1520E7"/>
    <w:multiLevelType w:val="multilevel"/>
    <w:tmpl w:val="4E6AC8F6"/>
    <w:numStyleLink w:val="Numberlist"/>
  </w:abstractNum>
  <w:abstractNum w:abstractNumId="2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9"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E693641"/>
    <w:multiLevelType w:val="multilevel"/>
    <w:tmpl w:val="3E5E177A"/>
    <w:name w:val="NTG Table Bullet List33"/>
    <w:numStyleLink w:val="Tablenumberlist"/>
  </w:abstractNum>
  <w:abstractNum w:abstractNumId="31" w15:restartNumberingAfterBreak="0">
    <w:nsid w:val="2EF077BC"/>
    <w:multiLevelType w:val="multilevel"/>
    <w:tmpl w:val="0C78A7AC"/>
    <w:name w:val="NTG Table Bullet List33222222222222222222"/>
    <w:numStyleLink w:val="Tablebulletlist"/>
  </w:abstractNum>
  <w:abstractNum w:abstractNumId="32"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5"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7"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6"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7"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842BC6"/>
    <w:multiLevelType w:val="multilevel"/>
    <w:tmpl w:val="0C78A7AC"/>
    <w:numStyleLink w:val="Tablebulletlist"/>
  </w:abstractNum>
  <w:abstractNum w:abstractNumId="5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9B516E9"/>
    <w:multiLevelType w:val="hybridMultilevel"/>
    <w:tmpl w:val="257EA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4"/>
  </w:num>
  <w:num w:numId="2">
    <w:abstractNumId w:val="21"/>
  </w:num>
  <w:num w:numId="3">
    <w:abstractNumId w:val="73"/>
  </w:num>
  <w:num w:numId="4">
    <w:abstractNumId w:val="44"/>
  </w:num>
  <w:num w:numId="5">
    <w:abstractNumId w:val="28"/>
  </w:num>
  <w:num w:numId="6">
    <w:abstractNumId w:val="15"/>
  </w:num>
  <w:num w:numId="7">
    <w:abstractNumId w:val="49"/>
  </w:num>
  <w:num w:numId="8">
    <w:abstractNumId w:val="25"/>
  </w:num>
  <w:num w:numId="9">
    <w:abstractNumId w:val="56"/>
  </w:num>
  <w:num w:numId="10">
    <w:abstractNumId w:val="20"/>
  </w:num>
  <w:num w:numId="11">
    <w:abstractNumId w:val="62"/>
  </w:num>
  <w:num w:numId="12">
    <w:abstractNumId w:val="17"/>
  </w:num>
  <w:num w:numId="13">
    <w:abstractNumId w:val="1"/>
  </w:num>
  <w:num w:numId="14">
    <w:abstractNumId w:val="60"/>
  </w:num>
  <w:num w:numId="15">
    <w:abstractNumId w:val="27"/>
  </w:num>
  <w:num w:numId="16">
    <w:abstractNumId w:val="61"/>
  </w:num>
  <w:num w:numId="17">
    <w:abstractNumId w:val="71"/>
  </w:num>
  <w:num w:numId="18">
    <w:abstractNumId w:val="55"/>
  </w:num>
  <w:num w:numId="19">
    <w:abstractNumId w:val="47"/>
  </w:num>
  <w:num w:numId="20">
    <w:abstractNumId w:val="51"/>
  </w:num>
  <w:num w:numId="21">
    <w:abstractNumId w:val="39"/>
  </w:num>
  <w:num w:numId="22">
    <w:abstractNumId w:val="54"/>
  </w:num>
  <w:num w:numId="23">
    <w:abstractNumId w:val="46"/>
  </w:num>
  <w:num w:numId="24">
    <w:abstractNumId w:val="41"/>
  </w:num>
  <w:num w:numId="25">
    <w:abstractNumId w:val="37"/>
  </w:num>
  <w:num w:numId="26">
    <w:abstractNumId w:val="10"/>
  </w:num>
  <w:num w:numId="27">
    <w:abstractNumId w:val="72"/>
  </w:num>
  <w:num w:numId="28">
    <w:abstractNumId w:val="36"/>
  </w:num>
  <w:num w:numId="29">
    <w:abstractNumId w:val="29"/>
  </w:num>
  <w:num w:numId="30">
    <w:abstractNumId w:val="0"/>
  </w:num>
  <w:num w:numId="31">
    <w:abstractNumId w:val="40"/>
  </w:num>
  <w:num w:numId="32">
    <w:abstractNumId w:val="9"/>
  </w:num>
  <w:num w:numId="33">
    <w:abstractNumId w:val="63"/>
  </w:num>
  <w:num w:numId="34">
    <w:abstractNumId w:val="32"/>
  </w:num>
  <w:num w:numId="35">
    <w:abstractNumId w:val="48"/>
  </w:num>
  <w:num w:numId="36">
    <w:abstractNumId w:val="64"/>
  </w:num>
  <w:num w:numId="37">
    <w:abstractNumId w:val="67"/>
  </w:num>
  <w:num w:numId="38">
    <w:abstractNumId w:val="14"/>
  </w:num>
  <w:num w:numId="39">
    <w:abstractNumId w:val="26"/>
  </w:num>
  <w:num w:numId="40">
    <w:abstractNumId w:val="68"/>
  </w:num>
  <w:num w:numId="41">
    <w:abstractNumId w:val="2"/>
  </w:num>
  <w:num w:numId="42">
    <w:abstractNumId w:val="59"/>
  </w:num>
  <w:num w:numId="43">
    <w:abstractNumId w:val="11"/>
  </w:num>
  <w:num w:numId="44">
    <w:abstractNumId w:val="35"/>
  </w:num>
  <w:num w:numId="45">
    <w:abstractNumId w:val="42"/>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66"/>
  </w:num>
  <w:num w:numId="4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7F"/>
    <w:rsid w:val="00001DDF"/>
    <w:rsid w:val="00002C52"/>
    <w:rsid w:val="0000322D"/>
    <w:rsid w:val="0000596E"/>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FF6"/>
    <w:rsid w:val="00176123"/>
    <w:rsid w:val="00181620"/>
    <w:rsid w:val="00187130"/>
    <w:rsid w:val="001957AD"/>
    <w:rsid w:val="00196F8E"/>
    <w:rsid w:val="00197529"/>
    <w:rsid w:val="001A2B7F"/>
    <w:rsid w:val="001A3AFD"/>
    <w:rsid w:val="001A496C"/>
    <w:rsid w:val="001A576A"/>
    <w:rsid w:val="001B22FE"/>
    <w:rsid w:val="001B28DA"/>
    <w:rsid w:val="001B2B6C"/>
    <w:rsid w:val="001D01C4"/>
    <w:rsid w:val="001D4F99"/>
    <w:rsid w:val="001D52B0"/>
    <w:rsid w:val="001D5A18"/>
    <w:rsid w:val="001D7CA4"/>
    <w:rsid w:val="001E057F"/>
    <w:rsid w:val="001E14EB"/>
    <w:rsid w:val="001F59E6"/>
    <w:rsid w:val="001F6475"/>
    <w:rsid w:val="00203F1C"/>
    <w:rsid w:val="00206936"/>
    <w:rsid w:val="00206C6F"/>
    <w:rsid w:val="00206FBD"/>
    <w:rsid w:val="00207746"/>
    <w:rsid w:val="00230031"/>
    <w:rsid w:val="00235C01"/>
    <w:rsid w:val="00247343"/>
    <w:rsid w:val="00265C5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1CCD"/>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408E"/>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603F6B"/>
    <w:rsid w:val="00620675"/>
    <w:rsid w:val="00622910"/>
    <w:rsid w:val="006254B6"/>
    <w:rsid w:val="00627FC8"/>
    <w:rsid w:val="006433C3"/>
    <w:rsid w:val="00650F5B"/>
    <w:rsid w:val="0066140A"/>
    <w:rsid w:val="006670D7"/>
    <w:rsid w:val="006719EA"/>
    <w:rsid w:val="00671F13"/>
    <w:rsid w:val="0067400A"/>
    <w:rsid w:val="006847AD"/>
    <w:rsid w:val="0069114B"/>
    <w:rsid w:val="006944C1"/>
    <w:rsid w:val="006A2F2D"/>
    <w:rsid w:val="006A756A"/>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422B"/>
    <w:rsid w:val="00901430"/>
    <w:rsid w:val="00902B13"/>
    <w:rsid w:val="00911941"/>
    <w:rsid w:val="0092024D"/>
    <w:rsid w:val="00925146"/>
    <w:rsid w:val="00925F0F"/>
    <w:rsid w:val="009306B5"/>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1C72"/>
    <w:rsid w:val="00A12B64"/>
    <w:rsid w:val="00A22C38"/>
    <w:rsid w:val="00A25193"/>
    <w:rsid w:val="00A26E80"/>
    <w:rsid w:val="00A31AE8"/>
    <w:rsid w:val="00A3739D"/>
    <w:rsid w:val="00A37DDA"/>
    <w:rsid w:val="00A45005"/>
    <w:rsid w:val="00A55A62"/>
    <w:rsid w:val="00A66857"/>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4371"/>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67FC8"/>
    <w:rsid w:val="00C72867"/>
    <w:rsid w:val="00C75E81"/>
    <w:rsid w:val="00C86609"/>
    <w:rsid w:val="00C92B4C"/>
    <w:rsid w:val="00C954F6"/>
    <w:rsid w:val="00CA06F3"/>
    <w:rsid w:val="00CA36A0"/>
    <w:rsid w:val="00CA6BC5"/>
    <w:rsid w:val="00CC571B"/>
    <w:rsid w:val="00CC61CD"/>
    <w:rsid w:val="00CC6C02"/>
    <w:rsid w:val="00CC737B"/>
    <w:rsid w:val="00CD5011"/>
    <w:rsid w:val="00CE640F"/>
    <w:rsid w:val="00CE76BC"/>
    <w:rsid w:val="00CF540E"/>
    <w:rsid w:val="00D02F07"/>
    <w:rsid w:val="00D15D88"/>
    <w:rsid w:val="00D26A7F"/>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941"/>
    <w:rsid w:val="00E3723D"/>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A5F57"/>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14DA"/>
    <w:rsid w:val="00F02591"/>
    <w:rsid w:val="00F5696E"/>
    <w:rsid w:val="00F60EFF"/>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BA73D"/>
  <w15:docId w15:val="{8C3C1E4B-5B96-4EA9-B93E-C351E37E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9"/>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9"/>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D26A7F"/>
    <w:rPr>
      <w:sz w:val="16"/>
      <w:szCs w:val="16"/>
    </w:rPr>
  </w:style>
  <w:style w:type="paragraph" w:styleId="CommentText">
    <w:name w:val="annotation text"/>
    <w:basedOn w:val="Normal"/>
    <w:link w:val="CommentTextChar"/>
    <w:uiPriority w:val="99"/>
    <w:semiHidden/>
    <w:unhideWhenUsed/>
    <w:rsid w:val="00D26A7F"/>
    <w:rPr>
      <w:sz w:val="20"/>
      <w:szCs w:val="20"/>
    </w:rPr>
  </w:style>
  <w:style w:type="character" w:customStyle="1" w:styleId="CommentTextChar">
    <w:name w:val="Comment Text Char"/>
    <w:basedOn w:val="DefaultParagraphFont"/>
    <w:link w:val="CommentText"/>
    <w:uiPriority w:val="99"/>
    <w:semiHidden/>
    <w:rsid w:val="00D26A7F"/>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D26A7F"/>
    <w:rPr>
      <w:b/>
      <w:bCs/>
    </w:rPr>
  </w:style>
  <w:style w:type="character" w:customStyle="1" w:styleId="CommentSubjectChar">
    <w:name w:val="Comment Subject Char"/>
    <w:basedOn w:val="CommentTextChar"/>
    <w:link w:val="CommentSubject"/>
    <w:uiPriority w:val="99"/>
    <w:semiHidden/>
    <w:rsid w:val="00D26A7F"/>
    <w:rPr>
      <w:rFonts w:ascii="Lato" w:hAnsi="La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ealth.nt.gov.au/professionals/environmental-health"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ourke\AppData\Local\Packages\Microsoft.MicrosoftEdge_8wekyb3d8bbwe\TempState\Downloads\ntg-factsheet-template_0%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101AF3AF9F4C67ADFF6A3C10466CCC"/>
        <w:category>
          <w:name w:val="General"/>
          <w:gallery w:val="placeholder"/>
        </w:category>
        <w:types>
          <w:type w:val="bbPlcHdr"/>
        </w:types>
        <w:behaviors>
          <w:behavior w:val="content"/>
        </w:behaviors>
        <w:guid w:val="{461016F8-C0DC-4C07-8674-E0F226D4EA50}"/>
      </w:docPartPr>
      <w:docPartBody>
        <w:p w:rsidR="00ED0E3A" w:rsidRDefault="005C7D9A">
          <w:pPr>
            <w:pStyle w:val="19101AF3AF9F4C67ADFF6A3C10466CCC"/>
          </w:pPr>
          <w:r w:rsidRPr="000E6CF8">
            <w:rPr>
              <w:rStyle w:val="PlaceholderText"/>
            </w:rPr>
            <w:t>[Title]</w:t>
          </w:r>
        </w:p>
      </w:docPartBody>
    </w:docPart>
    <w:docPart>
      <w:docPartPr>
        <w:name w:val="8398573C681049FF8B0AFEE8789C67C1"/>
        <w:category>
          <w:name w:val="General"/>
          <w:gallery w:val="placeholder"/>
        </w:category>
        <w:types>
          <w:type w:val="bbPlcHdr"/>
        </w:types>
        <w:behaviors>
          <w:behavior w:val="content"/>
        </w:behaviors>
        <w:guid w:val="{FA99A36E-01AC-4857-9056-A253F235A3CE}"/>
      </w:docPartPr>
      <w:docPartBody>
        <w:p w:rsidR="00A5297C" w:rsidRDefault="00ED0E3A" w:rsidP="00ED0E3A">
          <w:pPr>
            <w:pStyle w:val="8398573C681049FF8B0AFEE8789C67C1"/>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9A"/>
    <w:rsid w:val="000F2F5D"/>
    <w:rsid w:val="00296A65"/>
    <w:rsid w:val="00335590"/>
    <w:rsid w:val="003E0222"/>
    <w:rsid w:val="005C7D9A"/>
    <w:rsid w:val="00755DBE"/>
    <w:rsid w:val="00A5297C"/>
    <w:rsid w:val="00CB5CF0"/>
    <w:rsid w:val="00ED0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E3A"/>
    <w:rPr>
      <w:color w:val="808080"/>
    </w:rPr>
  </w:style>
  <w:style w:type="paragraph" w:customStyle="1" w:styleId="19101AF3AF9F4C67ADFF6A3C10466CCC">
    <w:name w:val="19101AF3AF9F4C67ADFF6A3C10466CCC"/>
  </w:style>
  <w:style w:type="paragraph" w:customStyle="1" w:styleId="8398573C681049FF8B0AFEE8789C67C1">
    <w:name w:val="8398573C681049FF8B0AFEE8789C67C1"/>
    <w:rsid w:val="00ED0E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2B0623-9E7B-450C-B263-CE035517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ntg-factsheet-template_0 (1).dotx</Template>
  <TotalTime>22</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Interpretation of results from physical and chemical testing and analysis of drinking water</vt:lpstr>
    </vt:vector>
  </TitlesOfParts>
  <Company>Health</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results from physical and chemical testing and analysis of drinking water</dc:title>
  <dc:creator>Northern Territory Government</dc:creator>
  <cp:lastModifiedBy>Emmylou Trombley</cp:lastModifiedBy>
  <cp:revision>9</cp:revision>
  <cp:lastPrinted>2019-08-28T22:41:00Z</cp:lastPrinted>
  <dcterms:created xsi:type="dcterms:W3CDTF">2019-10-09T02:27:00Z</dcterms:created>
  <dcterms:modified xsi:type="dcterms:W3CDTF">2019-10-10T01:17:00Z</dcterms:modified>
</cp:coreProperties>
</file>