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0D8D5" w14:textId="77777777" w:rsidR="00522C0D" w:rsidRPr="008647D6" w:rsidRDefault="00522C0D" w:rsidP="00522C0D">
      <w:pPr>
        <w:pStyle w:val="Subtitle0"/>
        <w:rPr>
          <w:noProof/>
          <w:lang w:eastAsia="en-AU"/>
        </w:rPr>
      </w:pPr>
      <w:r w:rsidRPr="008647D6">
        <w:rPr>
          <w:noProof/>
          <w:lang w:eastAsia="en-AU"/>
        </w:rPr>
        <w:t>Information Bulletin</w:t>
      </w:r>
    </w:p>
    <w:p w14:paraId="578B4A41" w14:textId="77777777" w:rsidR="00522C0D" w:rsidRPr="008647D6" w:rsidRDefault="00522C0D" w:rsidP="00522C0D">
      <w:pPr>
        <w:pStyle w:val="Heading1"/>
      </w:pPr>
      <w:r w:rsidRPr="008647D6">
        <w:t xml:space="preserve">Introduction </w:t>
      </w:r>
    </w:p>
    <w:p w14:paraId="15AC8884" w14:textId="77777777" w:rsidR="00522C0D" w:rsidRPr="008647D6" w:rsidRDefault="0028063E" w:rsidP="00522C0D">
      <w:r w:rsidRPr="008647D6">
        <w:t>I</w:t>
      </w:r>
      <w:r w:rsidR="00F43CF1" w:rsidRPr="008647D6">
        <w:t>n the Northern Territory, i</w:t>
      </w:r>
      <w:r w:rsidRPr="008647D6">
        <w:t xml:space="preserve">t has been recognised that non-compliance with the minimum tow coupling height requirements was common with step deck type trailers, where, by design and necessity, the fitment of the drawbar-type coupling would not meet the minimum height requirement and require an exemption. </w:t>
      </w:r>
    </w:p>
    <w:p w14:paraId="16FDEED2" w14:textId="77777777" w:rsidR="00522C0D" w:rsidRPr="008647D6" w:rsidRDefault="00522C0D" w:rsidP="00522C0D">
      <w:pPr>
        <w:pStyle w:val="Heading1"/>
      </w:pPr>
      <w:r w:rsidRPr="008647D6">
        <w:t>Purpose</w:t>
      </w:r>
    </w:p>
    <w:p w14:paraId="26BFB0FA" w14:textId="4F15CC15" w:rsidR="00522C0D" w:rsidRPr="008647D6" w:rsidRDefault="00522C0D" w:rsidP="00522C0D">
      <w:r w:rsidRPr="008647D6">
        <w:t>The purpose of this bulletin is to clarif</w:t>
      </w:r>
      <w:r w:rsidR="0028063E" w:rsidRPr="008647D6">
        <w:t xml:space="preserve">y the conditions of the </w:t>
      </w:r>
      <w:r w:rsidRPr="008647D6">
        <w:t>exemption</w:t>
      </w:r>
      <w:r w:rsidR="0028063E" w:rsidRPr="008647D6">
        <w:t xml:space="preserve"> </w:t>
      </w:r>
      <w:r w:rsidRPr="008647D6">
        <w:t>(refer Attachment – Gazette Notice</w:t>
      </w:r>
      <w:r w:rsidR="0028063E" w:rsidRPr="008647D6">
        <w:t xml:space="preserve"> </w:t>
      </w:r>
      <w:r w:rsidR="00A904CC" w:rsidRPr="008647D6">
        <w:t>G50</w:t>
      </w:r>
      <w:r w:rsidR="0028063E" w:rsidRPr="008647D6">
        <w:t>, 2020</w:t>
      </w:r>
      <w:r w:rsidRPr="008647D6">
        <w:t xml:space="preserve">) offered to </w:t>
      </w:r>
      <w:r w:rsidR="0028063E" w:rsidRPr="008647D6">
        <w:t>operators of a road train vehicle</w:t>
      </w:r>
      <w:r w:rsidR="00F43CF1" w:rsidRPr="008647D6">
        <w:t xml:space="preserve"> and the heavy vehicle industry,</w:t>
      </w:r>
      <w:r w:rsidR="0028063E" w:rsidRPr="008647D6">
        <w:t xml:space="preserve"> </w:t>
      </w:r>
      <w:r w:rsidRPr="008647D6">
        <w:t xml:space="preserve">to ensure </w:t>
      </w:r>
      <w:r w:rsidR="0028063E" w:rsidRPr="008647D6">
        <w:t xml:space="preserve">the </w:t>
      </w:r>
      <w:r w:rsidR="00F43CF1" w:rsidRPr="008647D6">
        <w:t xml:space="preserve">requirements of the exemption are complied with. </w:t>
      </w:r>
    </w:p>
    <w:p w14:paraId="22F533A0" w14:textId="77777777" w:rsidR="00522C0D" w:rsidRPr="008647D6" w:rsidRDefault="00552EC0" w:rsidP="00522C0D">
      <w:pPr>
        <w:pStyle w:val="Heading1"/>
      </w:pPr>
      <w:r w:rsidRPr="008647D6">
        <w:t>Compliance with the Conditions of the Exemption</w:t>
      </w:r>
    </w:p>
    <w:p w14:paraId="33CA3B92" w14:textId="77777777" w:rsidR="00F205BD" w:rsidRPr="008647D6" w:rsidRDefault="00F205BD" w:rsidP="00552EC0">
      <w:pPr>
        <w:pStyle w:val="Heading3"/>
      </w:pPr>
      <w:r w:rsidRPr="008647D6">
        <w:t>Exempt Class</w:t>
      </w:r>
    </w:p>
    <w:p w14:paraId="1443E75F" w14:textId="77777777" w:rsidR="008771B5" w:rsidRPr="008647D6" w:rsidRDefault="00F205BD" w:rsidP="00F205BD">
      <w:r w:rsidRPr="008647D6">
        <w:t xml:space="preserve">The exemption applies to the ‘Exempt Class’ which means that an individual permit of exemption is not required for each operator of a road train vehicle with a rear drawbar-type coupling. </w:t>
      </w:r>
    </w:p>
    <w:p w14:paraId="220E99C8" w14:textId="62CAA297" w:rsidR="00D42DD6" w:rsidRPr="008647D6" w:rsidRDefault="00F205BD" w:rsidP="00D42DD6">
      <w:r w:rsidRPr="008647D6">
        <w:t xml:space="preserve">Rather, </w:t>
      </w:r>
      <w:r w:rsidR="00D42DD6" w:rsidRPr="008647D6">
        <w:t>a</w:t>
      </w:r>
      <w:r w:rsidRPr="008647D6">
        <w:t xml:space="preserve"> vehicle </w:t>
      </w:r>
      <w:r w:rsidR="008771B5" w:rsidRPr="008647D6">
        <w:t xml:space="preserve">which satisfies </w:t>
      </w:r>
      <w:r w:rsidR="00D42DD6" w:rsidRPr="008647D6">
        <w:t>all of the following criteria is</w:t>
      </w:r>
      <w:r w:rsidRPr="008647D6">
        <w:t xml:space="preserve"> within the exempt class</w:t>
      </w:r>
      <w:r w:rsidR="00D42DD6" w:rsidRPr="008647D6">
        <w:t>:</w:t>
      </w:r>
    </w:p>
    <w:p w14:paraId="7F6CF27C" w14:textId="5A20FDB2" w:rsidR="00D42DD6" w:rsidRPr="008647D6" w:rsidRDefault="00D42DD6" w:rsidP="00D42DD6">
      <w:pPr>
        <w:pStyle w:val="ListParagraph"/>
        <w:numPr>
          <w:ilvl w:val="0"/>
          <w:numId w:val="22"/>
        </w:numPr>
        <w:rPr>
          <w:rFonts w:cs="Arial"/>
        </w:rPr>
      </w:pPr>
      <w:r w:rsidRPr="008647D6">
        <w:rPr>
          <w:rFonts w:cs="Arial"/>
        </w:rPr>
        <w:t xml:space="preserve">the vehicle is a “road train” (as defined in Item </w:t>
      </w:r>
      <w:r w:rsidR="00BE1205" w:rsidRPr="008647D6">
        <w:rPr>
          <w:rFonts w:cs="Arial"/>
        </w:rPr>
        <w:t xml:space="preserve">2 </w:t>
      </w:r>
      <w:r w:rsidRPr="008647D6">
        <w:rPr>
          <w:rFonts w:cs="Arial"/>
        </w:rPr>
        <w:t>of the Schedule); and</w:t>
      </w:r>
    </w:p>
    <w:p w14:paraId="119F761C" w14:textId="75918FC5" w:rsidR="00D42DD6" w:rsidRPr="008647D6" w:rsidRDefault="00D42DD6" w:rsidP="00D42DD6">
      <w:pPr>
        <w:pStyle w:val="ListParagraph"/>
        <w:numPr>
          <w:ilvl w:val="0"/>
          <w:numId w:val="22"/>
        </w:numPr>
        <w:rPr>
          <w:rFonts w:cs="Arial"/>
          <w:b/>
        </w:rPr>
      </w:pPr>
      <w:r w:rsidRPr="008647D6">
        <w:rPr>
          <w:rFonts w:cs="Arial"/>
        </w:rPr>
        <w:t xml:space="preserve">the vehicle is fitted with a “rear drawbar-type coupling” (as defined in Item </w:t>
      </w:r>
      <w:r w:rsidR="00BE1205" w:rsidRPr="008647D6">
        <w:rPr>
          <w:rFonts w:cs="Arial"/>
        </w:rPr>
        <w:t xml:space="preserve">2 </w:t>
      </w:r>
      <w:r w:rsidRPr="008647D6">
        <w:rPr>
          <w:rFonts w:cs="Arial"/>
        </w:rPr>
        <w:t>of the Schedule); and</w:t>
      </w:r>
    </w:p>
    <w:p w14:paraId="2D82DBC7" w14:textId="77777777" w:rsidR="00D42DD6" w:rsidRPr="008647D6" w:rsidRDefault="00D42DD6" w:rsidP="00D42DD6">
      <w:pPr>
        <w:pStyle w:val="ListParagraph"/>
        <w:numPr>
          <w:ilvl w:val="0"/>
          <w:numId w:val="22"/>
        </w:numPr>
        <w:rPr>
          <w:b/>
        </w:rPr>
      </w:pPr>
      <w:r w:rsidRPr="008647D6">
        <w:t>the rear drawbar-type coupling fitted to the vehicle is built and positioned so:</w:t>
      </w:r>
    </w:p>
    <w:p w14:paraId="10361F56" w14:textId="77777777" w:rsidR="00D42DD6" w:rsidRPr="008647D6" w:rsidRDefault="00D42DD6" w:rsidP="00D42DD6">
      <w:pPr>
        <w:pStyle w:val="ListParagraph"/>
        <w:numPr>
          <w:ilvl w:val="0"/>
          <w:numId w:val="23"/>
        </w:numPr>
      </w:pPr>
      <w:r w:rsidRPr="008647D6">
        <w:t>it is at a height of at least 600 millimetres, but not over 950 millimetres, from the ground, when the vehicle is unloaded and parked on level ground; and</w:t>
      </w:r>
    </w:p>
    <w:p w14:paraId="705C1D96" w14:textId="075CE902" w:rsidR="00F205BD" w:rsidRPr="008647D6" w:rsidRDefault="00D42DD6" w:rsidP="00D42DD6">
      <w:pPr>
        <w:pStyle w:val="ListParagraph"/>
        <w:numPr>
          <w:ilvl w:val="0"/>
          <w:numId w:val="23"/>
        </w:numPr>
      </w:pPr>
      <w:r w:rsidRPr="008647D6">
        <w:t>when the vehicle is moving, the drawbar can move at least 15 degrees upwards or downwards from the position it occupies when the road train is parked on level ground.</w:t>
      </w:r>
    </w:p>
    <w:p w14:paraId="34E04AC3" w14:textId="77777777" w:rsidR="0079616B" w:rsidRPr="008647D6" w:rsidRDefault="0079616B">
      <w:pPr>
        <w:rPr>
          <w:rFonts w:cs="Arial"/>
        </w:rPr>
      </w:pPr>
    </w:p>
    <w:p w14:paraId="0CD35D2D" w14:textId="0C594E7B" w:rsidR="0079616B" w:rsidRPr="008647D6" w:rsidRDefault="0079616B">
      <w:pPr>
        <w:rPr>
          <w:rFonts w:cs="Arial"/>
        </w:rPr>
      </w:pPr>
      <w:r w:rsidRPr="008647D6">
        <w:rPr>
          <w:rFonts w:cs="Arial"/>
        </w:rPr>
        <w:t xml:space="preserve">Note, refer to the </w:t>
      </w:r>
      <w:r w:rsidRPr="008647D6">
        <w:rPr>
          <w:rFonts w:cs="Arial"/>
          <w:i/>
        </w:rPr>
        <w:t>Defined Terms</w:t>
      </w:r>
      <w:r w:rsidRPr="008647D6">
        <w:rPr>
          <w:rFonts w:cs="Arial"/>
        </w:rPr>
        <w:t xml:space="preserve"> section of this Vehicle Information Bulletin for relevant definitions.</w:t>
      </w:r>
      <w:r w:rsidRPr="008647D6">
        <w:rPr>
          <w:rFonts w:cs="Arial"/>
        </w:rPr>
        <w:br w:type="page"/>
      </w:r>
    </w:p>
    <w:p w14:paraId="2C7A49D3" w14:textId="71EA701B" w:rsidR="00F205BD" w:rsidRPr="008647D6" w:rsidRDefault="00F205BD" w:rsidP="00F205BD">
      <w:pPr>
        <w:pStyle w:val="Heading3"/>
      </w:pPr>
      <w:r w:rsidRPr="008647D6">
        <w:lastRenderedPageBreak/>
        <w:t xml:space="preserve">Determining the height of the </w:t>
      </w:r>
      <w:r w:rsidR="00FC770C" w:rsidRPr="008647D6">
        <w:t xml:space="preserve">drawbar-type </w:t>
      </w:r>
      <w:r w:rsidRPr="008647D6">
        <w:t>coupling</w:t>
      </w:r>
    </w:p>
    <w:p w14:paraId="6A6EF4A6" w14:textId="00864A06" w:rsidR="00F205BD" w:rsidRPr="008647D6" w:rsidRDefault="00F205BD" w:rsidP="00F205BD">
      <w:r w:rsidRPr="008647D6">
        <w:t xml:space="preserve">To determine the height of the drawbar-type coupling from the ground, the road train must be unloaded and parked on level ground. The points of measurement should be from the </w:t>
      </w:r>
      <w:r w:rsidR="00EF601F" w:rsidRPr="008647D6">
        <w:t>middle</w:t>
      </w:r>
      <w:r w:rsidRPr="008647D6">
        <w:t xml:space="preserve"> of the drawbar-type coupling</w:t>
      </w:r>
      <w:r w:rsidR="00FC770C" w:rsidRPr="008647D6">
        <w:t xml:space="preserve"> to the ground.</w:t>
      </w:r>
    </w:p>
    <w:p w14:paraId="3AD2786F" w14:textId="6B158613" w:rsidR="0079616B" w:rsidRPr="008647D6" w:rsidRDefault="0079616B" w:rsidP="00F205BD">
      <w:r w:rsidRPr="008647D6">
        <w:rPr>
          <w:noProof/>
          <w:lang w:eastAsia="en-AU"/>
        </w:rPr>
        <w:drawing>
          <wp:inline distT="0" distB="0" distL="0" distR="0" wp14:anchorId="33C584DC" wp14:editId="3B86AC70">
            <wp:extent cx="5148327" cy="21024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1578" cy="2107864"/>
                    </a:xfrm>
                    <a:prstGeom prst="rect">
                      <a:avLst/>
                    </a:prstGeom>
                  </pic:spPr>
                </pic:pic>
              </a:graphicData>
            </a:graphic>
          </wp:inline>
        </w:drawing>
      </w:r>
    </w:p>
    <w:p w14:paraId="1AACCBB5" w14:textId="40034ECF" w:rsidR="00F205BD" w:rsidRPr="008647D6" w:rsidRDefault="00F205BD" w:rsidP="00F205BD">
      <w:r w:rsidRPr="008647D6">
        <w:t>This measurement should be of a height of at least 600 millimetres, but not over a hei</w:t>
      </w:r>
      <w:r w:rsidR="00A5518E" w:rsidRPr="008647D6">
        <w:t>ght of 950 </w:t>
      </w:r>
      <w:r w:rsidRPr="008647D6">
        <w:t>millimetres from the ground, in order to be compliant and deemed a vehicle in the Exempt Class, for the purposes of the exemption.</w:t>
      </w:r>
    </w:p>
    <w:p w14:paraId="5E94591A" w14:textId="1AAE2FD3" w:rsidR="00283663" w:rsidRPr="008647D6" w:rsidRDefault="00283663" w:rsidP="00283663">
      <w:pPr>
        <w:spacing w:after="0"/>
      </w:pPr>
      <w:r w:rsidRPr="008647D6">
        <w:t>The lower minimum tow coupling height of 600 millimetres was ascertained through a review of manufacturer tow coupling design and the range of movement which the couplings catered for had sufficient movement for the drawbar eye to move in an upwards and downwards direction. The design of the tow couplings combined with the correct dolly drawbar length, ensures national fleet safety, interchangeability of the vehicle combination components and distribution of dynamic forces evenly through the trailer, drawbar and couplings.</w:t>
      </w:r>
      <w:bookmarkStart w:id="0" w:name="_GoBack"/>
      <w:bookmarkEnd w:id="0"/>
    </w:p>
    <w:p w14:paraId="720FA722" w14:textId="77777777" w:rsidR="00FC770C" w:rsidRPr="008647D6" w:rsidRDefault="00FC770C" w:rsidP="00FC770C">
      <w:pPr>
        <w:pStyle w:val="Heading3"/>
      </w:pPr>
      <w:r w:rsidRPr="008647D6">
        <w:t>Determining whether the drawbar will be able to move at least 15 degrees</w:t>
      </w:r>
    </w:p>
    <w:p w14:paraId="5D8BAF06" w14:textId="77777777" w:rsidR="00FC770C" w:rsidRPr="008647D6" w:rsidRDefault="00FC770C" w:rsidP="00FC770C">
      <w:r w:rsidRPr="008647D6">
        <w:t>In order to determine whether</w:t>
      </w:r>
      <w:r w:rsidR="001F1B52" w:rsidRPr="008647D6">
        <w:t>,</w:t>
      </w:r>
      <w:r w:rsidRPr="008647D6">
        <w:t xml:space="preserve"> while the road train is moving, the drawbar will be capable of moving at least 15 degrees upwards or downward</w:t>
      </w:r>
      <w:r w:rsidR="001F1B52" w:rsidRPr="008647D6">
        <w:t>s</w:t>
      </w:r>
      <w:r w:rsidRPr="008647D6">
        <w:t xml:space="preserve"> from the position it occupies when the road train is parked on level ground, the following factor can be used as a </w:t>
      </w:r>
      <w:r w:rsidRPr="008647D6">
        <w:rPr>
          <w:u w:val="single"/>
        </w:rPr>
        <w:t>guide</w:t>
      </w:r>
      <w:r w:rsidRPr="008647D6">
        <w:t>:</w:t>
      </w:r>
    </w:p>
    <w:p w14:paraId="52C653C4" w14:textId="266A423E" w:rsidR="00A5518E" w:rsidRPr="008647D6" w:rsidRDefault="001F1B52" w:rsidP="00FC770C">
      <w:pPr>
        <w:pStyle w:val="ListParagraph"/>
        <w:numPr>
          <w:ilvl w:val="0"/>
          <w:numId w:val="19"/>
        </w:numPr>
      </w:pPr>
      <w:r w:rsidRPr="008647D6">
        <w:t>A c</w:t>
      </w:r>
      <w:r w:rsidR="00FC770C" w:rsidRPr="008647D6">
        <w:t>ommon drawbar-type coupling provide</w:t>
      </w:r>
      <w:r w:rsidRPr="008647D6">
        <w:t>s</w:t>
      </w:r>
      <w:r w:rsidR="00FC770C" w:rsidRPr="008647D6">
        <w:t xml:space="preserve"> an opening of at least 20 degrees. </w:t>
      </w:r>
    </w:p>
    <w:p w14:paraId="0419175B" w14:textId="557BFDFE" w:rsidR="0079616B" w:rsidRPr="008647D6" w:rsidRDefault="00283663" w:rsidP="0079616B">
      <w:r w:rsidRPr="008647D6">
        <w:rPr>
          <w:noProof/>
          <w:lang w:eastAsia="en-AU"/>
        </w:rPr>
        <w:drawing>
          <wp:anchor distT="0" distB="0" distL="114300" distR="114300" simplePos="0" relativeHeight="251658240" behindDoc="0" locked="0" layoutInCell="1" allowOverlap="1" wp14:anchorId="253A90A7" wp14:editId="44FFD284">
            <wp:simplePos x="0" y="0"/>
            <wp:positionH relativeFrom="margin">
              <wp:align>center</wp:align>
            </wp:positionH>
            <wp:positionV relativeFrom="paragraph">
              <wp:posOffset>3810</wp:posOffset>
            </wp:positionV>
            <wp:extent cx="3954780" cy="255905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54780" cy="2559050"/>
                    </a:xfrm>
                    <a:prstGeom prst="rect">
                      <a:avLst/>
                    </a:prstGeom>
                  </pic:spPr>
                </pic:pic>
              </a:graphicData>
            </a:graphic>
            <wp14:sizeRelH relativeFrom="margin">
              <wp14:pctWidth>0</wp14:pctWidth>
            </wp14:sizeRelH>
            <wp14:sizeRelV relativeFrom="margin">
              <wp14:pctHeight>0</wp14:pctHeight>
            </wp14:sizeRelV>
          </wp:anchor>
        </w:drawing>
      </w:r>
      <w:r w:rsidRPr="008647D6">
        <w:br w:type="textWrapping" w:clear="all"/>
      </w:r>
    </w:p>
    <w:p w14:paraId="17518FB6" w14:textId="575AE252" w:rsidR="00FC770C" w:rsidRPr="008647D6" w:rsidRDefault="00FC770C" w:rsidP="00FC770C">
      <w:pPr>
        <w:pStyle w:val="ListParagraph"/>
        <w:numPr>
          <w:ilvl w:val="0"/>
          <w:numId w:val="19"/>
        </w:numPr>
      </w:pPr>
      <w:r w:rsidRPr="008647D6">
        <w:lastRenderedPageBreak/>
        <w:t xml:space="preserve">If a </w:t>
      </w:r>
      <w:r w:rsidR="00A5518E" w:rsidRPr="008647D6">
        <w:t xml:space="preserve">drawbar-type </w:t>
      </w:r>
      <w:r w:rsidRPr="008647D6">
        <w:t xml:space="preserve">coupling of this design is used, </w:t>
      </w:r>
      <w:r w:rsidR="001F1B52" w:rsidRPr="008647D6">
        <w:t xml:space="preserve">the drawbar angle </w:t>
      </w:r>
      <w:r w:rsidRPr="008647D6">
        <w:t>must be substan</w:t>
      </w:r>
      <w:r w:rsidR="001F1B52" w:rsidRPr="008647D6">
        <w:t>tially level (i.e.</w:t>
      </w:r>
      <w:r w:rsidR="00A5518E" w:rsidRPr="008647D6">
        <w:t xml:space="preserve"> no more than</w:t>
      </w:r>
      <w:r w:rsidR="001F1B52" w:rsidRPr="008647D6">
        <w:t xml:space="preserve"> ± 5 degrees to the horizontal) when the combination is parked on level ground. The drawbar being substantially level </w:t>
      </w:r>
      <w:r w:rsidR="00A5518E" w:rsidRPr="008647D6">
        <w:t xml:space="preserve">when parked on level ground, </w:t>
      </w:r>
      <w:r w:rsidR="001F1B52" w:rsidRPr="008647D6">
        <w:t xml:space="preserve">will allow </w:t>
      </w:r>
      <w:r w:rsidR="00A5518E" w:rsidRPr="008647D6">
        <w:t>the drawbar</w:t>
      </w:r>
      <w:r w:rsidR="001F1B52" w:rsidRPr="008647D6">
        <w:t xml:space="preserve"> to move at</w:t>
      </w:r>
      <w:r w:rsidR="00A5518E" w:rsidRPr="008647D6">
        <w:t xml:space="preserve"> least</w:t>
      </w:r>
      <w:r w:rsidR="001F1B52" w:rsidRPr="008647D6">
        <w:t xml:space="preserve"> 15 degrees upwards or downwards from this position, when the road train is moving.</w:t>
      </w:r>
    </w:p>
    <w:p w14:paraId="54A955C1" w14:textId="03D82EA1" w:rsidR="0079616B" w:rsidRPr="008647D6" w:rsidRDefault="0079616B" w:rsidP="0079616B">
      <w:r w:rsidRPr="008647D6">
        <w:rPr>
          <w:noProof/>
          <w:lang w:eastAsia="en-AU"/>
        </w:rPr>
        <w:drawing>
          <wp:inline distT="0" distB="0" distL="0" distR="0" wp14:anchorId="17818612" wp14:editId="5F012120">
            <wp:extent cx="6444959" cy="205573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59156" cy="2060261"/>
                    </a:xfrm>
                    <a:prstGeom prst="rect">
                      <a:avLst/>
                    </a:prstGeom>
                  </pic:spPr>
                </pic:pic>
              </a:graphicData>
            </a:graphic>
          </wp:inline>
        </w:drawing>
      </w:r>
    </w:p>
    <w:p w14:paraId="2A5319B3" w14:textId="33B2A68F" w:rsidR="00A5518E" w:rsidRPr="008647D6" w:rsidRDefault="00F75ED2" w:rsidP="00F75ED2">
      <w:pPr>
        <w:pStyle w:val="ListParagraph"/>
        <w:numPr>
          <w:ilvl w:val="0"/>
          <w:numId w:val="19"/>
        </w:numPr>
      </w:pPr>
      <w:r w:rsidRPr="008647D6">
        <w:t>If a drawbar-type coupling has an opening measurement of more than 20 degrees, the drawbar angle may be slightly more th</w:t>
      </w:r>
      <w:r w:rsidR="0086626E" w:rsidRPr="008647D6">
        <w:t xml:space="preserve">an substantially level (i.e. </w:t>
      </w:r>
      <w:r w:rsidRPr="008647D6">
        <w:t>more than ± 5 degrees to the horizontal), as the wide opening of the coupling may still allow the drawbar to move at least 15 degrees upwards or downwards from this position, when the road train is moving.</w:t>
      </w:r>
    </w:p>
    <w:p w14:paraId="510DB547" w14:textId="77777777" w:rsidR="00092B5B" w:rsidRPr="008647D6" w:rsidRDefault="00092B5B" w:rsidP="00F205BD">
      <w:pPr>
        <w:pStyle w:val="Heading3"/>
      </w:pPr>
      <w:r w:rsidRPr="008647D6">
        <w:t>Pivot point position of the drawbar-type coupling</w:t>
      </w:r>
    </w:p>
    <w:p w14:paraId="14563EB0" w14:textId="211A7BA0" w:rsidR="00720EA5" w:rsidRPr="008647D6" w:rsidRDefault="00092B5B" w:rsidP="0079616B">
      <w:r w:rsidRPr="008647D6">
        <w:t xml:space="preserve">The pivot point of the coupling can be over 300 millimetres forward of the rear of the trailer to which it is attached, however there should be discretion by the operator with regard to this positioning, to ensure that </w:t>
      </w:r>
      <w:r w:rsidRPr="008647D6">
        <w:rPr>
          <w:rFonts w:cs="Arial"/>
        </w:rPr>
        <w:t xml:space="preserve">when the road train is moving, the drawbar can move at least 15 degrees upwards or downwards from </w:t>
      </w:r>
      <w:r w:rsidRPr="008647D6">
        <w:t xml:space="preserve">the position it occupies when the road train is parked on level ground. </w:t>
      </w:r>
    </w:p>
    <w:p w14:paraId="74FFA44E" w14:textId="1324A714" w:rsidR="00283663" w:rsidRPr="008647D6" w:rsidRDefault="00283663" w:rsidP="00283663">
      <w:r w:rsidRPr="008647D6">
        <w:t>Historically, the requirement of 300 millimetres forward of the rear of the trailer, was to ensure the work, health and safety of operators connecting vehicle combinations. Removing this requirement is not deemed to have any major safety concerns. However, will improve the dynamic performance of a combination allowing the coupling to be closer to the rear axle.</w:t>
      </w:r>
    </w:p>
    <w:p w14:paraId="7E833A7B" w14:textId="77777777" w:rsidR="0079616B" w:rsidRPr="008647D6" w:rsidRDefault="0079616B" w:rsidP="0079616B">
      <w:pPr>
        <w:pStyle w:val="Heading3"/>
      </w:pPr>
      <w:r w:rsidRPr="008647D6">
        <w:t xml:space="preserve">Defined terms </w:t>
      </w:r>
    </w:p>
    <w:p w14:paraId="0B676BD6" w14:textId="18322E45" w:rsidR="0079616B" w:rsidRPr="008647D6" w:rsidRDefault="0079616B" w:rsidP="0079616B">
      <w:pPr>
        <w:pStyle w:val="BodyText"/>
        <w:numPr>
          <w:ilvl w:val="0"/>
          <w:numId w:val="24"/>
        </w:numPr>
        <w:spacing w:line="276" w:lineRule="auto"/>
        <w:rPr>
          <w:rFonts w:cs="Arial"/>
        </w:rPr>
      </w:pPr>
      <w:r w:rsidRPr="008647D6">
        <w:rPr>
          <w:rFonts w:cs="Arial"/>
          <w:b/>
          <w:i/>
        </w:rPr>
        <w:t xml:space="preserve">Australian Design Rule </w:t>
      </w:r>
      <w:r w:rsidRPr="008647D6">
        <w:rPr>
          <w:rFonts w:cs="Arial"/>
          <w:b/>
          <w:i/>
          <w:spacing w:val="-3"/>
        </w:rPr>
        <w:t>63/00</w:t>
      </w:r>
      <w:r w:rsidRPr="008647D6">
        <w:rPr>
          <w:rFonts w:cs="Arial"/>
          <w:i/>
          <w:spacing w:val="-3"/>
        </w:rPr>
        <w:t xml:space="preserve"> </w:t>
      </w:r>
      <w:r w:rsidRPr="008647D6">
        <w:rPr>
          <w:rFonts w:cs="Arial"/>
          <w:spacing w:val="-3"/>
        </w:rPr>
        <w:t>is a third edition ADR of that number which applies to</w:t>
      </w:r>
      <w:r w:rsidR="00BA448C" w:rsidRPr="008647D6">
        <w:rPr>
          <w:rFonts w:cs="Arial"/>
          <w:spacing w:val="-3"/>
        </w:rPr>
        <w:t xml:space="preserve"> the vehicle</w:t>
      </w:r>
      <w:r w:rsidRPr="008647D6">
        <w:rPr>
          <w:rFonts w:cs="Arial"/>
          <w:spacing w:val="-3"/>
        </w:rPr>
        <w:t xml:space="preserve"> pursuant to rule 20 of Schedule 6 of the </w:t>
      </w:r>
      <w:r w:rsidRPr="008647D6">
        <w:rPr>
          <w:rFonts w:cs="Arial"/>
          <w:i/>
          <w:spacing w:val="-3"/>
        </w:rPr>
        <w:t>Motor Vehicles (Standards) Regulations 2003.</w:t>
      </w:r>
    </w:p>
    <w:p w14:paraId="19A09AA1" w14:textId="77777777" w:rsidR="0079616B" w:rsidRPr="008647D6" w:rsidRDefault="0079616B" w:rsidP="0079616B">
      <w:pPr>
        <w:pStyle w:val="BodyText"/>
        <w:numPr>
          <w:ilvl w:val="0"/>
          <w:numId w:val="24"/>
        </w:numPr>
        <w:spacing w:line="276" w:lineRule="auto"/>
        <w:rPr>
          <w:rFonts w:cs="Arial"/>
        </w:rPr>
      </w:pPr>
      <w:r w:rsidRPr="008647D6">
        <w:rPr>
          <w:b/>
          <w:i/>
        </w:rPr>
        <w:t xml:space="preserve">Converter dolly </w:t>
      </w:r>
      <w:r w:rsidRPr="008647D6">
        <w:t>means a trailer with 1 axle group or single axle, and a fifth wheel coupling, designed to convert a semi-trailer into a dog trailer.</w:t>
      </w:r>
    </w:p>
    <w:p w14:paraId="4158DA92" w14:textId="0AF81E18" w:rsidR="0079616B" w:rsidRPr="008647D6" w:rsidRDefault="0079616B" w:rsidP="0079616B">
      <w:pPr>
        <w:ind w:left="360"/>
        <w:rPr>
          <w:b/>
        </w:rPr>
      </w:pPr>
      <w:r w:rsidRPr="008647D6">
        <w:rPr>
          <w:noProof/>
          <w:lang w:eastAsia="en-AU"/>
        </w:rPr>
        <w:drawing>
          <wp:inline distT="0" distB="0" distL="0" distR="0" wp14:anchorId="4D626F4C" wp14:editId="5454A25B">
            <wp:extent cx="3533775" cy="1514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3775" cy="1514475"/>
                    </a:xfrm>
                    <a:prstGeom prst="rect">
                      <a:avLst/>
                    </a:prstGeom>
                  </pic:spPr>
                </pic:pic>
              </a:graphicData>
            </a:graphic>
          </wp:inline>
        </w:drawing>
      </w:r>
    </w:p>
    <w:p w14:paraId="6BA732F1" w14:textId="77777777" w:rsidR="0079616B" w:rsidRPr="008647D6" w:rsidRDefault="0079616B" w:rsidP="0079616B">
      <w:pPr>
        <w:ind w:left="360"/>
        <w:rPr>
          <w:b/>
        </w:rPr>
      </w:pPr>
    </w:p>
    <w:p w14:paraId="08C5E2D7" w14:textId="77777777" w:rsidR="0079616B" w:rsidRPr="008647D6" w:rsidRDefault="0079616B" w:rsidP="0079616B">
      <w:pPr>
        <w:pStyle w:val="ListParagraph"/>
        <w:numPr>
          <w:ilvl w:val="0"/>
          <w:numId w:val="24"/>
        </w:numPr>
        <w:rPr>
          <w:b/>
        </w:rPr>
      </w:pPr>
      <w:r w:rsidRPr="008647D6">
        <w:rPr>
          <w:b/>
          <w:i/>
        </w:rPr>
        <w:lastRenderedPageBreak/>
        <w:t xml:space="preserve">Dog trailer </w:t>
      </w:r>
      <w:r w:rsidRPr="008647D6">
        <w:t>means a trailer (including a trailer consisting of a semi-trailer and converter dolly) with, 1 axle group or a single axle at the front that is steered by connection to the towing vehicle by and drawbar, and 1 axle group or single axle at the rear.</w:t>
      </w:r>
    </w:p>
    <w:p w14:paraId="2A9C16BE" w14:textId="77777777" w:rsidR="0079616B" w:rsidRPr="008647D6" w:rsidRDefault="0079616B" w:rsidP="0079616B">
      <w:pPr>
        <w:ind w:left="360"/>
        <w:rPr>
          <w:b/>
        </w:rPr>
      </w:pPr>
      <w:r w:rsidRPr="008647D6">
        <w:rPr>
          <w:noProof/>
          <w:lang w:eastAsia="en-AU"/>
        </w:rPr>
        <w:drawing>
          <wp:inline distT="0" distB="0" distL="0" distR="0" wp14:anchorId="4DE55E8A" wp14:editId="7368BA08">
            <wp:extent cx="459105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91050" cy="1771650"/>
                    </a:xfrm>
                    <a:prstGeom prst="rect">
                      <a:avLst/>
                    </a:prstGeom>
                  </pic:spPr>
                </pic:pic>
              </a:graphicData>
            </a:graphic>
          </wp:inline>
        </w:drawing>
      </w:r>
    </w:p>
    <w:p w14:paraId="4121392F" w14:textId="77777777" w:rsidR="0079616B" w:rsidRPr="008647D6" w:rsidRDefault="0079616B" w:rsidP="0079616B">
      <w:pPr>
        <w:pStyle w:val="ListParagraph"/>
        <w:numPr>
          <w:ilvl w:val="0"/>
          <w:numId w:val="24"/>
        </w:numPr>
        <w:rPr>
          <w:b/>
        </w:rPr>
      </w:pPr>
      <w:r w:rsidRPr="008647D6">
        <w:rPr>
          <w:b/>
          <w:i/>
        </w:rPr>
        <w:t xml:space="preserve">Drawbar </w:t>
      </w:r>
      <w:r w:rsidRPr="008647D6">
        <w:t>means a part of a trailer (except a semi-trailer) connecting the trailer body to a coupling for towing purposes.</w:t>
      </w:r>
    </w:p>
    <w:p w14:paraId="329BA8D3" w14:textId="77777777" w:rsidR="0079616B" w:rsidRPr="008647D6" w:rsidRDefault="0079616B" w:rsidP="0079616B">
      <w:pPr>
        <w:pStyle w:val="ListParagraph"/>
        <w:numPr>
          <w:ilvl w:val="0"/>
          <w:numId w:val="24"/>
        </w:numPr>
        <w:rPr>
          <w:b/>
        </w:rPr>
      </w:pPr>
      <w:r w:rsidRPr="008647D6">
        <w:rPr>
          <w:b/>
          <w:i/>
        </w:rPr>
        <w:t xml:space="preserve">Semi-trailer </w:t>
      </w:r>
      <w:r w:rsidRPr="008647D6">
        <w:t>means a trailer (including a pole-type trailer) that has 1 axle group or single axle to the rear and a means of attachment to the prime mover that results in some of the load being imposed on the prime mover.</w:t>
      </w:r>
    </w:p>
    <w:p w14:paraId="18A87DF2" w14:textId="047C3A54" w:rsidR="0079616B" w:rsidRPr="008647D6" w:rsidRDefault="0079616B" w:rsidP="0079616B">
      <w:pPr>
        <w:pStyle w:val="BodyText"/>
        <w:numPr>
          <w:ilvl w:val="0"/>
          <w:numId w:val="24"/>
        </w:numPr>
        <w:spacing w:line="276" w:lineRule="auto"/>
        <w:rPr>
          <w:rFonts w:cs="Arial"/>
          <w:color w:val="000000"/>
          <w:spacing w:val="-3"/>
        </w:rPr>
      </w:pPr>
      <w:r w:rsidRPr="008647D6">
        <w:rPr>
          <w:rFonts w:cs="Arial"/>
          <w:b/>
          <w:i/>
        </w:rPr>
        <w:t xml:space="preserve">rear drawbar-type coupling </w:t>
      </w:r>
      <w:r w:rsidRPr="008647D6">
        <w:rPr>
          <w:rFonts w:cs="Arial"/>
        </w:rPr>
        <w:t>means</w:t>
      </w:r>
      <w:r w:rsidRPr="008647D6">
        <w:rPr>
          <w:rFonts w:cs="Arial"/>
          <w:i/>
        </w:rPr>
        <w:t xml:space="preserve"> </w:t>
      </w:r>
      <w:r w:rsidRPr="008647D6">
        <w:rPr>
          <w:rFonts w:cs="Arial"/>
        </w:rPr>
        <w:t xml:space="preserve">a </w:t>
      </w:r>
      <w:r w:rsidR="00BA448C" w:rsidRPr="008647D6">
        <w:rPr>
          <w:rFonts w:cs="Arial"/>
        </w:rPr>
        <w:t xml:space="preserve">drawbar-type </w:t>
      </w:r>
      <w:r w:rsidRPr="008647D6">
        <w:rPr>
          <w:rFonts w:cs="Arial"/>
        </w:rPr>
        <w:t xml:space="preserve">tow coupling at the rear of the vehicle, which is designed to be connected to the drawbar of a converter dolly or a dog trailer (as defined in </w:t>
      </w:r>
      <w:r w:rsidRPr="008647D6">
        <w:rPr>
          <w:rFonts w:cs="Arial"/>
          <w:color w:val="000000"/>
          <w:spacing w:val="-3"/>
        </w:rPr>
        <w:t xml:space="preserve">Schedule 6 of the </w:t>
      </w:r>
      <w:r w:rsidRPr="008647D6">
        <w:rPr>
          <w:rFonts w:cs="Arial"/>
          <w:i/>
          <w:color w:val="000000"/>
          <w:spacing w:val="-3"/>
        </w:rPr>
        <w:t>Motor Vehicles (Standards) Regulations 2003</w:t>
      </w:r>
      <w:r w:rsidRPr="008647D6">
        <w:rPr>
          <w:rFonts w:cs="Arial"/>
          <w:color w:val="000000"/>
          <w:spacing w:val="-3"/>
        </w:rPr>
        <w:t>).</w:t>
      </w:r>
    </w:p>
    <w:p w14:paraId="12F477D8" w14:textId="77777777" w:rsidR="0079616B" w:rsidRPr="008647D6" w:rsidRDefault="0079616B" w:rsidP="0079616B">
      <w:pPr>
        <w:pStyle w:val="BodyText"/>
        <w:numPr>
          <w:ilvl w:val="0"/>
          <w:numId w:val="24"/>
        </w:numPr>
        <w:rPr>
          <w:rFonts w:cs="Arial"/>
        </w:rPr>
      </w:pPr>
      <w:r w:rsidRPr="008647D6">
        <w:rPr>
          <w:rFonts w:cs="Arial"/>
          <w:b/>
          <w:i/>
        </w:rPr>
        <w:t xml:space="preserve">road train </w:t>
      </w:r>
      <w:r w:rsidRPr="008647D6">
        <w:rPr>
          <w:rFonts w:cs="Arial"/>
        </w:rPr>
        <w:t>means a vehicle which:</w:t>
      </w:r>
    </w:p>
    <w:p w14:paraId="47A66585" w14:textId="77777777" w:rsidR="0079616B" w:rsidRPr="008647D6" w:rsidRDefault="0079616B" w:rsidP="0079616B">
      <w:pPr>
        <w:pStyle w:val="ListParagraph"/>
        <w:numPr>
          <w:ilvl w:val="0"/>
          <w:numId w:val="25"/>
        </w:numPr>
        <w:spacing w:after="200"/>
        <w:contextualSpacing/>
        <w:rPr>
          <w:rFonts w:cs="Arial"/>
        </w:rPr>
      </w:pPr>
      <w:r w:rsidRPr="008647D6">
        <w:rPr>
          <w:rFonts w:eastAsiaTheme="majorEastAsia" w:cs="Arial"/>
          <w:color w:val="000000"/>
          <w:spacing w:val="-3"/>
        </w:rPr>
        <w:t>has a vehicle plate affixed to it displaying t</w:t>
      </w:r>
      <w:r w:rsidRPr="008647D6">
        <w:rPr>
          <w:rFonts w:cs="Arial"/>
        </w:rPr>
        <w:t xml:space="preserve">he words “ROAD TRAIN” in accordance with the requirements under – </w:t>
      </w:r>
    </w:p>
    <w:p w14:paraId="5591872B" w14:textId="77777777" w:rsidR="0079616B" w:rsidRPr="008647D6" w:rsidRDefault="0079616B" w:rsidP="0079616B">
      <w:pPr>
        <w:pStyle w:val="ListParagraph"/>
        <w:numPr>
          <w:ilvl w:val="0"/>
          <w:numId w:val="27"/>
        </w:numPr>
      </w:pPr>
      <w:r w:rsidRPr="008647D6">
        <w:t xml:space="preserve">the </w:t>
      </w:r>
      <w:r w:rsidRPr="008647D6">
        <w:rPr>
          <w:i/>
        </w:rPr>
        <w:t>Motor Vehicle Standards Act 1989</w:t>
      </w:r>
      <w:r w:rsidRPr="008647D6">
        <w:t xml:space="preserve"> (Cth); or</w:t>
      </w:r>
    </w:p>
    <w:p w14:paraId="4AFB4D05" w14:textId="77777777" w:rsidR="0079616B" w:rsidRPr="008647D6" w:rsidRDefault="0079616B" w:rsidP="0079616B">
      <w:pPr>
        <w:pStyle w:val="ListParagraph"/>
        <w:numPr>
          <w:ilvl w:val="0"/>
          <w:numId w:val="27"/>
        </w:numPr>
      </w:pPr>
      <w:r w:rsidRPr="008647D6">
        <w:t xml:space="preserve">the </w:t>
      </w:r>
      <w:r w:rsidRPr="008647D6">
        <w:rPr>
          <w:i/>
        </w:rPr>
        <w:t>Road Vehicle Standards Act 2018</w:t>
      </w:r>
      <w:r w:rsidRPr="008647D6">
        <w:t xml:space="preserve"> (Cth); or</w:t>
      </w:r>
    </w:p>
    <w:p w14:paraId="25C68ED6" w14:textId="3D9627CD" w:rsidR="0079616B" w:rsidRPr="008647D6" w:rsidRDefault="0079616B" w:rsidP="0079616B">
      <w:pPr>
        <w:pStyle w:val="ListParagraph"/>
        <w:numPr>
          <w:ilvl w:val="0"/>
          <w:numId w:val="25"/>
        </w:numPr>
        <w:spacing w:after="0"/>
        <w:contextualSpacing/>
        <w:rPr>
          <w:rFonts w:cs="Arial"/>
        </w:rPr>
      </w:pPr>
      <w:r w:rsidRPr="008647D6">
        <w:rPr>
          <w:rFonts w:cs="Arial"/>
        </w:rPr>
        <w:t>has a modification plate affixed to it displaying the code “S8”</w:t>
      </w:r>
      <w:r w:rsidR="00A904CC" w:rsidRPr="008647D6">
        <w:rPr>
          <w:rFonts w:cs="Arial"/>
        </w:rPr>
        <w:t xml:space="preserve"> or “S11”</w:t>
      </w:r>
      <w:r w:rsidRPr="008647D6">
        <w:rPr>
          <w:rFonts w:cs="Arial"/>
        </w:rPr>
        <w:t xml:space="preserve"> in accordance with the requirements under the heavy vehicle modification scheme in the state or territory where the modification plate was affixed.</w:t>
      </w:r>
    </w:p>
    <w:p w14:paraId="248ECC9C" w14:textId="77777777" w:rsidR="0079616B" w:rsidRPr="008647D6" w:rsidRDefault="0079616B" w:rsidP="0079616B"/>
    <w:p w14:paraId="4BAFAE78" w14:textId="77777777" w:rsidR="0033049B" w:rsidRPr="008647D6" w:rsidRDefault="0033049B" w:rsidP="0033049B">
      <w:pPr>
        <w:pStyle w:val="Heading1"/>
      </w:pPr>
      <w:r w:rsidRPr="008647D6">
        <w:t>References</w:t>
      </w:r>
    </w:p>
    <w:tbl>
      <w:tblPr>
        <w:tblStyle w:val="TableGrid"/>
        <w:tblW w:w="986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62"/>
      </w:tblGrid>
      <w:tr w:rsidR="0033049B" w:rsidRPr="008647D6" w14:paraId="7A577E60" w14:textId="77777777" w:rsidTr="006E0C9F">
        <w:tc>
          <w:tcPr>
            <w:tcW w:w="9862" w:type="dxa"/>
          </w:tcPr>
          <w:p w14:paraId="2DC504D7" w14:textId="77777777" w:rsidR="0033049B" w:rsidRPr="008647D6" w:rsidRDefault="0033049B" w:rsidP="00F75ED2">
            <w:pPr>
              <w:pStyle w:val="ListParagraph"/>
              <w:numPr>
                <w:ilvl w:val="0"/>
                <w:numId w:val="12"/>
              </w:numPr>
            </w:pPr>
            <w:r w:rsidRPr="008647D6">
              <w:rPr>
                <w:i/>
              </w:rPr>
              <w:t>Australian Vehicle Standards Rules</w:t>
            </w:r>
            <w:r w:rsidRPr="008647D6">
              <w:t xml:space="preserve"> - Rule 20 – Compliance with third edition </w:t>
            </w:r>
            <w:r w:rsidRPr="008647D6">
              <w:rPr>
                <w:i/>
              </w:rPr>
              <w:t>Australian Design Rules</w:t>
            </w:r>
            <w:r w:rsidRPr="008647D6">
              <w:t xml:space="preserve"> (ADR) specific to ADR </w:t>
            </w:r>
            <w:r w:rsidR="00F75ED2" w:rsidRPr="008647D6">
              <w:t>63.5.1.2 Tow Coupling Height and ADR 63.5.1.3 Coupling Pivot Positioning</w:t>
            </w:r>
            <w:r w:rsidRPr="008647D6">
              <w:t xml:space="preserve"> </w:t>
            </w:r>
            <w:r w:rsidR="00F75ED2" w:rsidRPr="008647D6">
              <w:t>– all other requirements under r</w:t>
            </w:r>
            <w:r w:rsidRPr="008647D6">
              <w:t>ule 20 must be complied with</w:t>
            </w:r>
            <w:r w:rsidR="00F75ED2" w:rsidRPr="008647D6">
              <w:t>.</w:t>
            </w:r>
          </w:p>
        </w:tc>
      </w:tr>
      <w:tr w:rsidR="0033049B" w:rsidRPr="008647D6" w14:paraId="2A369B00" w14:textId="77777777" w:rsidTr="006E0C9F">
        <w:tc>
          <w:tcPr>
            <w:tcW w:w="9862" w:type="dxa"/>
          </w:tcPr>
          <w:p w14:paraId="099813A7" w14:textId="77777777" w:rsidR="0033049B" w:rsidRPr="008647D6" w:rsidRDefault="0033049B" w:rsidP="006E0C9F">
            <w:pPr>
              <w:pStyle w:val="ListParagraph"/>
              <w:numPr>
                <w:ilvl w:val="0"/>
                <w:numId w:val="12"/>
              </w:numPr>
            </w:pPr>
            <w:r w:rsidRPr="008647D6">
              <w:rPr>
                <w:i/>
              </w:rPr>
              <w:t>Australian Vehicle Standards Rules</w:t>
            </w:r>
            <w:r w:rsidR="00F75ED2" w:rsidRPr="008647D6">
              <w:t xml:space="preserve"> - Rule 169 – Attachment of couplings and drawbar eyes on road trains.</w:t>
            </w:r>
          </w:p>
        </w:tc>
      </w:tr>
    </w:tbl>
    <w:p w14:paraId="0BE524B9" w14:textId="77777777" w:rsidR="0033049B" w:rsidRPr="008647D6" w:rsidRDefault="0033049B" w:rsidP="0033049B">
      <w:pPr>
        <w:pStyle w:val="Heading1"/>
      </w:pPr>
      <w:r w:rsidRPr="008647D6">
        <w:t>More information</w:t>
      </w:r>
    </w:p>
    <w:p w14:paraId="70BE78E3" w14:textId="459180C7" w:rsidR="0033049B" w:rsidRPr="008647D6" w:rsidRDefault="0033049B" w:rsidP="0033049B">
      <w:pPr>
        <w:rPr>
          <w:rStyle w:val="Hyperlink"/>
        </w:rPr>
      </w:pPr>
      <w:r w:rsidRPr="008647D6">
        <w:t xml:space="preserve">For more information, contact the department on 08 8924 7157 or email </w:t>
      </w:r>
      <w:hyperlink r:id="rId15" w:history="1">
        <w:r w:rsidRPr="008647D6">
          <w:rPr>
            <w:rStyle w:val="Hyperlink"/>
          </w:rPr>
          <w:t>vehiclestandards.mvr@nt.gov.au</w:t>
        </w:r>
      </w:hyperlink>
    </w:p>
    <w:p w14:paraId="7A063EA3" w14:textId="1BA786F7" w:rsidR="00E96E38" w:rsidRPr="008647D6" w:rsidRDefault="00E96E38" w:rsidP="00A904CC">
      <w:pPr>
        <w:pStyle w:val="Heading1"/>
        <w:jc w:val="center"/>
      </w:pPr>
      <w:r w:rsidRPr="008647D6">
        <w:lastRenderedPageBreak/>
        <w:t xml:space="preserve">Attachment – the Northern Territory Gazette No. </w:t>
      </w:r>
      <w:r w:rsidR="00A904CC" w:rsidRPr="008647D6">
        <w:t>G50</w:t>
      </w:r>
      <w:r w:rsidRPr="008647D6">
        <w:t xml:space="preserve">, </w:t>
      </w:r>
      <w:r w:rsidR="00A904CC" w:rsidRPr="008647D6">
        <w:t xml:space="preserve">               16</w:t>
      </w:r>
      <w:r w:rsidRPr="008647D6">
        <w:t xml:space="preserve"> December 2020</w:t>
      </w:r>
      <w:r w:rsidR="002D4437" w:rsidRPr="008647D6">
        <w:t xml:space="preserve"> (copy)</w:t>
      </w:r>
    </w:p>
    <w:p w14:paraId="16E45024" w14:textId="74242AF3" w:rsidR="0086626E" w:rsidRPr="008647D6" w:rsidRDefault="0086626E" w:rsidP="0086626E"/>
    <w:p w14:paraId="2A90A7C3" w14:textId="77777777" w:rsidR="0086626E" w:rsidRPr="008647D6" w:rsidRDefault="0086626E" w:rsidP="0086626E"/>
    <w:p w14:paraId="609B4D6A" w14:textId="77777777" w:rsidR="0086626E" w:rsidRPr="008647D6" w:rsidRDefault="0086626E" w:rsidP="0086626E">
      <w:pPr>
        <w:keepNext/>
        <w:tabs>
          <w:tab w:val="center" w:pos="4513"/>
        </w:tabs>
        <w:suppressAutoHyphens/>
        <w:spacing w:after="0" w:line="360" w:lineRule="auto"/>
        <w:ind w:right="-1"/>
        <w:jc w:val="center"/>
        <w:outlineLvl w:val="6"/>
        <w:rPr>
          <w:rFonts w:ascii="Arial" w:eastAsia="Times New Roman" w:hAnsi="Arial" w:cs="Arial"/>
          <w:spacing w:val="-3"/>
          <w:lang w:eastAsia="en-AU"/>
        </w:rPr>
      </w:pPr>
      <w:r w:rsidRPr="008647D6">
        <w:rPr>
          <w:rFonts w:ascii="Arial" w:eastAsia="Times New Roman" w:hAnsi="Arial" w:cs="Arial"/>
          <w:spacing w:val="-3"/>
          <w:lang w:eastAsia="en-AU"/>
        </w:rPr>
        <w:t>NORTHERN TERRITORY OF AUSTRALIA</w:t>
      </w:r>
    </w:p>
    <w:p w14:paraId="40F5C143" w14:textId="77777777" w:rsidR="0086626E" w:rsidRPr="008647D6" w:rsidRDefault="0086626E" w:rsidP="0086626E">
      <w:pPr>
        <w:tabs>
          <w:tab w:val="center" w:pos="4513"/>
        </w:tabs>
        <w:suppressAutoHyphens/>
        <w:spacing w:after="0" w:line="360" w:lineRule="auto"/>
        <w:ind w:right="-1"/>
        <w:jc w:val="center"/>
        <w:rPr>
          <w:rFonts w:ascii="Arial" w:eastAsia="Times New Roman" w:hAnsi="Arial" w:cs="Arial"/>
          <w:i/>
          <w:spacing w:val="-3"/>
          <w:lang w:eastAsia="en-AU"/>
        </w:rPr>
      </w:pPr>
    </w:p>
    <w:p w14:paraId="2F03F471" w14:textId="77777777" w:rsidR="0086626E" w:rsidRPr="008647D6" w:rsidRDefault="0086626E" w:rsidP="0086626E">
      <w:pPr>
        <w:tabs>
          <w:tab w:val="center" w:pos="4513"/>
        </w:tabs>
        <w:suppressAutoHyphens/>
        <w:spacing w:after="0" w:line="360" w:lineRule="auto"/>
        <w:ind w:right="-1"/>
        <w:jc w:val="center"/>
        <w:rPr>
          <w:rFonts w:ascii="Arial" w:eastAsia="Times New Roman" w:hAnsi="Arial" w:cs="Arial"/>
          <w:spacing w:val="-3"/>
          <w:lang w:eastAsia="en-AU"/>
        </w:rPr>
      </w:pPr>
      <w:r w:rsidRPr="008647D6">
        <w:rPr>
          <w:rFonts w:ascii="Arial" w:eastAsia="Times New Roman" w:hAnsi="Arial" w:cs="Arial"/>
          <w:i/>
          <w:spacing w:val="-3"/>
          <w:lang w:eastAsia="en-AU"/>
        </w:rPr>
        <w:t>Motor Vehicles Act 1949</w:t>
      </w:r>
    </w:p>
    <w:p w14:paraId="45C5695E" w14:textId="77777777" w:rsidR="0086626E" w:rsidRPr="008647D6" w:rsidRDefault="0086626E" w:rsidP="0086626E">
      <w:pPr>
        <w:tabs>
          <w:tab w:val="center" w:pos="4513"/>
        </w:tabs>
        <w:suppressAutoHyphens/>
        <w:spacing w:after="0" w:line="360" w:lineRule="auto"/>
        <w:ind w:right="-1"/>
        <w:jc w:val="center"/>
        <w:rPr>
          <w:rFonts w:ascii="Arial" w:eastAsia="Times New Roman" w:hAnsi="Arial" w:cs="Arial"/>
          <w:b/>
          <w:spacing w:val="-3"/>
          <w:lang w:eastAsia="en-AU"/>
        </w:rPr>
      </w:pPr>
      <w:r w:rsidRPr="008647D6">
        <w:rPr>
          <w:rFonts w:ascii="Arial" w:eastAsia="Times New Roman" w:hAnsi="Arial" w:cs="Arial"/>
          <w:b/>
          <w:spacing w:val="-3"/>
          <w:lang w:eastAsia="en-AU"/>
        </w:rPr>
        <w:t>Road Train – Tow Coupling Height and Coupling Pivot Positioning Exemption</w:t>
      </w:r>
    </w:p>
    <w:p w14:paraId="41681E94" w14:textId="77777777" w:rsidR="0086626E" w:rsidRPr="008647D6" w:rsidRDefault="0086626E" w:rsidP="0086626E">
      <w:pPr>
        <w:tabs>
          <w:tab w:val="center" w:pos="4513"/>
        </w:tabs>
        <w:suppressAutoHyphens/>
        <w:spacing w:after="0" w:line="360" w:lineRule="auto"/>
        <w:ind w:right="-1"/>
        <w:jc w:val="center"/>
        <w:rPr>
          <w:rFonts w:ascii="Arial" w:eastAsia="Times New Roman" w:hAnsi="Arial" w:cs="Arial"/>
          <w:b/>
          <w:spacing w:val="-3"/>
          <w:lang w:eastAsia="en-AU"/>
        </w:rPr>
      </w:pPr>
    </w:p>
    <w:p w14:paraId="5269EF07" w14:textId="77777777" w:rsidR="0086626E" w:rsidRPr="008647D6" w:rsidRDefault="0086626E" w:rsidP="0086626E">
      <w:pPr>
        <w:spacing w:after="0" w:line="360" w:lineRule="auto"/>
        <w:ind w:left="360"/>
        <w:contextualSpacing/>
        <w:rPr>
          <w:rFonts w:ascii="Arial" w:eastAsia="Times New Roman" w:hAnsi="Arial" w:cs="Arial"/>
          <w:spacing w:val="-3"/>
          <w:lang w:eastAsia="en-AU"/>
        </w:rPr>
      </w:pPr>
      <w:r w:rsidRPr="008647D6">
        <w:rPr>
          <w:rFonts w:ascii="Arial" w:eastAsia="Times New Roman" w:hAnsi="Arial" w:cs="Arial"/>
          <w:spacing w:val="-3"/>
          <w:lang w:eastAsia="en-AU"/>
        </w:rPr>
        <w:t>I, SIMON PHILLIP SAUNDERS, Registrar of Motor Vehicles, under section 59(2) of the</w:t>
      </w:r>
      <w:r w:rsidRPr="008647D6">
        <w:rPr>
          <w:rFonts w:ascii="Arial" w:eastAsia="Times New Roman" w:hAnsi="Arial" w:cs="Arial"/>
          <w:i/>
          <w:spacing w:val="-3"/>
          <w:lang w:eastAsia="en-AU"/>
        </w:rPr>
        <w:t xml:space="preserve"> Motor Vehicles Act 1949, </w:t>
      </w:r>
      <w:r w:rsidRPr="008647D6">
        <w:rPr>
          <w:rFonts w:ascii="Arial" w:eastAsia="Times New Roman" w:hAnsi="Arial" w:cs="Arial"/>
          <w:spacing w:val="-3"/>
          <w:lang w:eastAsia="en-AU"/>
        </w:rPr>
        <w:t xml:space="preserve">exempt the class of vehicles identified in Item 1 of the Schedule to this instrument from the requirements of rule 169 of Schedule 6 of the </w:t>
      </w:r>
      <w:r w:rsidRPr="008647D6">
        <w:rPr>
          <w:rFonts w:ascii="Arial" w:eastAsia="Times New Roman" w:hAnsi="Arial" w:cs="Arial"/>
          <w:i/>
          <w:spacing w:val="-3"/>
          <w:lang w:eastAsia="en-AU"/>
        </w:rPr>
        <w:t>Motor Vehicles (Standards) Regulations 2003</w:t>
      </w:r>
      <w:r w:rsidRPr="008647D6">
        <w:rPr>
          <w:rFonts w:ascii="Arial" w:eastAsia="Times New Roman" w:hAnsi="Arial" w:cs="Arial"/>
          <w:spacing w:val="-3"/>
          <w:lang w:eastAsia="en-AU"/>
        </w:rPr>
        <w:t>;</w:t>
      </w:r>
      <w:r w:rsidRPr="008647D6">
        <w:rPr>
          <w:rFonts w:ascii="Arial" w:eastAsia="Times New Roman" w:hAnsi="Arial" w:cs="Arial"/>
          <w:i/>
          <w:spacing w:val="-3"/>
          <w:lang w:eastAsia="en-AU"/>
        </w:rPr>
        <w:t xml:space="preserve"> </w:t>
      </w:r>
      <w:r w:rsidRPr="008647D6">
        <w:rPr>
          <w:rFonts w:ascii="Arial" w:eastAsia="Times New Roman" w:hAnsi="Arial" w:cs="Arial"/>
          <w:spacing w:val="-3"/>
          <w:lang w:eastAsia="en-AU"/>
        </w:rPr>
        <w:t>and from the requirements of clauses 63.5.1.2</w:t>
      </w:r>
      <w:r w:rsidRPr="008647D6">
        <w:rPr>
          <w:rFonts w:ascii="Arial" w:eastAsia="Times New Roman" w:hAnsi="Arial" w:cs="Arial"/>
          <w:i/>
          <w:spacing w:val="-3"/>
          <w:lang w:eastAsia="en-AU"/>
        </w:rPr>
        <w:t xml:space="preserve"> </w:t>
      </w:r>
      <w:r w:rsidRPr="008647D6">
        <w:rPr>
          <w:rFonts w:ascii="Arial" w:eastAsia="Times New Roman" w:hAnsi="Arial" w:cs="Arial"/>
          <w:spacing w:val="-3"/>
          <w:lang w:eastAsia="en-AU"/>
        </w:rPr>
        <w:t xml:space="preserve">and 63.5.1.3 of </w:t>
      </w:r>
      <w:r w:rsidRPr="008647D6">
        <w:rPr>
          <w:rFonts w:ascii="Arial" w:eastAsia="Times New Roman" w:hAnsi="Arial" w:cs="Arial"/>
          <w:i/>
          <w:spacing w:val="-3"/>
          <w:lang w:eastAsia="en-AU"/>
        </w:rPr>
        <w:t xml:space="preserve">Australian Design Rule 63/00 </w:t>
      </w:r>
      <w:r w:rsidRPr="008647D6">
        <w:rPr>
          <w:rFonts w:ascii="Arial" w:eastAsia="Times New Roman" w:hAnsi="Arial" w:cs="Arial"/>
          <w:spacing w:val="-3"/>
          <w:lang w:eastAsia="en-AU"/>
        </w:rPr>
        <w:t>(as defined in Item 2 of the Schedule to this instrument)</w:t>
      </w:r>
      <w:r w:rsidRPr="008647D6">
        <w:rPr>
          <w:rFonts w:ascii="Arial" w:eastAsia="Times New Roman" w:hAnsi="Arial" w:cs="Arial"/>
          <w:i/>
          <w:spacing w:val="-3"/>
          <w:lang w:eastAsia="en-AU"/>
        </w:rPr>
        <w:t>.</w:t>
      </w:r>
      <w:r w:rsidRPr="008647D6">
        <w:rPr>
          <w:rFonts w:ascii="Arial" w:eastAsia="Times New Roman" w:hAnsi="Arial" w:cs="Arial"/>
          <w:spacing w:val="-3"/>
          <w:lang w:eastAsia="en-AU"/>
        </w:rPr>
        <w:t xml:space="preserve"> </w:t>
      </w:r>
    </w:p>
    <w:p w14:paraId="4503C286" w14:textId="77777777" w:rsidR="0086626E" w:rsidRPr="008647D6" w:rsidRDefault="0086626E" w:rsidP="0086626E">
      <w:pPr>
        <w:spacing w:after="0" w:line="360" w:lineRule="auto"/>
        <w:contextualSpacing/>
        <w:rPr>
          <w:rFonts w:ascii="Arial" w:eastAsia="Times New Roman" w:hAnsi="Arial" w:cs="Arial"/>
          <w:i/>
          <w:spacing w:val="-3"/>
          <w:lang w:eastAsia="en-AU"/>
        </w:rPr>
      </w:pPr>
    </w:p>
    <w:p w14:paraId="3C4A667F" w14:textId="77777777" w:rsidR="0086626E" w:rsidRPr="008647D6" w:rsidRDefault="0086626E" w:rsidP="0086626E">
      <w:pPr>
        <w:spacing w:after="0" w:line="360" w:lineRule="auto"/>
        <w:contextualSpacing/>
        <w:rPr>
          <w:rFonts w:ascii="Arial" w:eastAsia="Times New Roman" w:hAnsi="Arial" w:cs="Arial"/>
          <w:spacing w:val="-3"/>
          <w:lang w:eastAsia="en-AU"/>
        </w:rPr>
      </w:pPr>
      <w:r w:rsidRPr="008647D6">
        <w:rPr>
          <w:rFonts w:ascii="Arial" w:eastAsia="Times New Roman" w:hAnsi="Arial" w:cs="Arial"/>
          <w:spacing w:val="-3"/>
          <w:lang w:eastAsia="en-AU"/>
        </w:rPr>
        <w:t xml:space="preserve">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86626E" w:rsidRPr="008647D6" w14:paraId="51EC0910" w14:textId="77777777" w:rsidTr="001C7259">
        <w:tc>
          <w:tcPr>
            <w:tcW w:w="3080" w:type="dxa"/>
          </w:tcPr>
          <w:p w14:paraId="0D4AEB7C" w14:textId="77777777" w:rsidR="0086626E" w:rsidRPr="008647D6" w:rsidRDefault="0086626E" w:rsidP="0086626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360" w:right="874"/>
              <w:rPr>
                <w:rFonts w:ascii="Arial" w:hAnsi="Arial" w:cs="Arial"/>
              </w:rPr>
            </w:pPr>
          </w:p>
          <w:p w14:paraId="0E38A341" w14:textId="77777777" w:rsidR="0086626E" w:rsidRPr="008647D6" w:rsidRDefault="0086626E" w:rsidP="0086626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360" w:right="874"/>
              <w:rPr>
                <w:rFonts w:ascii="Arial" w:hAnsi="Arial" w:cs="Arial"/>
              </w:rPr>
            </w:pPr>
          </w:p>
          <w:p w14:paraId="2DDBB8B9" w14:textId="41F7B025" w:rsidR="0086626E" w:rsidRPr="008647D6" w:rsidRDefault="0086626E" w:rsidP="00A66F70">
            <w:pPr>
              <w:spacing w:line="360" w:lineRule="auto"/>
              <w:ind w:left="360"/>
              <w:contextualSpacing/>
              <w:rPr>
                <w:rFonts w:ascii="Arial" w:hAnsi="Arial" w:cs="Arial"/>
                <w:spacing w:val="-3"/>
              </w:rPr>
            </w:pPr>
            <w:r w:rsidRPr="008647D6">
              <w:rPr>
                <w:rFonts w:ascii="Arial" w:hAnsi="Arial" w:cs="Arial"/>
              </w:rPr>
              <w:t xml:space="preserve">Dated </w:t>
            </w:r>
            <w:r w:rsidR="00A66F70" w:rsidRPr="008647D6">
              <w:rPr>
                <w:rFonts w:ascii="Arial" w:hAnsi="Arial" w:cs="Arial"/>
              </w:rPr>
              <w:t xml:space="preserve"> 2 December 2020</w:t>
            </w:r>
          </w:p>
        </w:tc>
        <w:tc>
          <w:tcPr>
            <w:tcW w:w="3081" w:type="dxa"/>
          </w:tcPr>
          <w:p w14:paraId="614A6F51" w14:textId="77777777" w:rsidR="0086626E" w:rsidRPr="008647D6" w:rsidRDefault="0086626E" w:rsidP="0086626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right="874"/>
              <w:rPr>
                <w:rFonts w:ascii="Arial" w:hAnsi="Arial" w:cs="Arial"/>
                <w:spacing w:val="-3"/>
              </w:rPr>
            </w:pPr>
          </w:p>
        </w:tc>
        <w:tc>
          <w:tcPr>
            <w:tcW w:w="3081" w:type="dxa"/>
          </w:tcPr>
          <w:p w14:paraId="7F9D55A8" w14:textId="77777777" w:rsidR="0086626E" w:rsidRPr="008647D6" w:rsidRDefault="0086626E" w:rsidP="0086626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right"/>
              <w:rPr>
                <w:rFonts w:ascii="Arial" w:hAnsi="Arial" w:cs="Arial"/>
                <w:spacing w:val="-3"/>
              </w:rPr>
            </w:pPr>
          </w:p>
        </w:tc>
      </w:tr>
    </w:tbl>
    <w:p w14:paraId="67248E8A" w14:textId="77777777" w:rsidR="0086626E" w:rsidRPr="008647D6" w:rsidRDefault="0086626E" w:rsidP="0086626E">
      <w:pPr>
        <w:tabs>
          <w:tab w:val="left" w:pos="0"/>
          <w:tab w:val="right" w:pos="9025"/>
        </w:tabs>
        <w:suppressAutoHyphens/>
        <w:spacing w:after="0"/>
        <w:jc w:val="right"/>
        <w:rPr>
          <w:rFonts w:ascii="Arial" w:eastAsia="Times New Roman" w:hAnsi="Arial" w:cs="Arial"/>
          <w:spacing w:val="-3"/>
          <w:lang w:eastAsia="en-AU"/>
        </w:rPr>
      </w:pPr>
      <w:r w:rsidRPr="008647D6">
        <w:rPr>
          <w:rFonts w:ascii="Arial" w:eastAsia="Times New Roman" w:hAnsi="Arial" w:cs="Arial"/>
          <w:spacing w:val="-3"/>
          <w:lang w:eastAsia="en-AU"/>
        </w:rPr>
        <w:t>S.P. Saunders</w:t>
      </w:r>
    </w:p>
    <w:p w14:paraId="007D3B46" w14:textId="77777777" w:rsidR="0086626E" w:rsidRPr="008647D6" w:rsidRDefault="0086626E" w:rsidP="0086626E">
      <w:pPr>
        <w:spacing w:after="0"/>
        <w:jc w:val="right"/>
        <w:rPr>
          <w:rFonts w:ascii="Arial" w:eastAsia="Times New Roman" w:hAnsi="Arial" w:cs="Arial"/>
          <w:b/>
          <w:u w:val="single"/>
          <w:lang w:eastAsia="en-AU"/>
        </w:rPr>
      </w:pPr>
      <w:r w:rsidRPr="008647D6">
        <w:rPr>
          <w:rFonts w:ascii="Arial" w:eastAsia="Times New Roman" w:hAnsi="Arial" w:cs="Arial"/>
          <w:lang w:eastAsia="en-AU"/>
        </w:rPr>
        <w:t>Registrar of Motor Vehicles</w:t>
      </w:r>
      <w:r w:rsidRPr="008647D6">
        <w:rPr>
          <w:rFonts w:ascii="Arial" w:eastAsia="Times New Roman" w:hAnsi="Arial" w:cs="Arial"/>
          <w:b/>
          <w:u w:val="single"/>
          <w:lang w:eastAsia="en-AU"/>
        </w:rPr>
        <w:t xml:space="preserve"> </w:t>
      </w:r>
    </w:p>
    <w:p w14:paraId="5F579890" w14:textId="77777777" w:rsidR="0086626E" w:rsidRPr="008647D6" w:rsidRDefault="0086626E" w:rsidP="0086626E">
      <w:pPr>
        <w:spacing w:line="276" w:lineRule="auto"/>
        <w:rPr>
          <w:rFonts w:ascii="Arial" w:eastAsia="Times New Roman" w:hAnsi="Arial" w:cs="Arial"/>
          <w:spacing w:val="-3"/>
          <w:lang w:eastAsia="en-AU"/>
        </w:rPr>
      </w:pPr>
      <w:r w:rsidRPr="008647D6">
        <w:rPr>
          <w:rFonts w:ascii="Arial" w:eastAsia="Times New Roman" w:hAnsi="Arial" w:cs="Arial"/>
          <w:spacing w:val="-3"/>
          <w:lang w:eastAsia="en-AU"/>
        </w:rPr>
        <w:br w:type="page"/>
      </w:r>
    </w:p>
    <w:p w14:paraId="3E84A5A1" w14:textId="77777777" w:rsidR="0086626E" w:rsidRPr="008647D6" w:rsidRDefault="0086626E" w:rsidP="0086626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right="874"/>
        <w:jc w:val="center"/>
        <w:rPr>
          <w:rFonts w:ascii="Arial" w:eastAsia="Times New Roman" w:hAnsi="Arial" w:cs="Arial"/>
          <w:b/>
          <w:spacing w:val="-3"/>
          <w:lang w:eastAsia="en-AU"/>
        </w:rPr>
      </w:pPr>
      <w:r w:rsidRPr="008647D6">
        <w:rPr>
          <w:rFonts w:ascii="Arial" w:eastAsia="Times New Roman" w:hAnsi="Arial" w:cs="Arial"/>
          <w:b/>
          <w:spacing w:val="-3"/>
          <w:lang w:eastAsia="en-AU"/>
        </w:rPr>
        <w:lastRenderedPageBreak/>
        <w:t xml:space="preserve">Schedule </w:t>
      </w:r>
    </w:p>
    <w:p w14:paraId="01D2E437" w14:textId="77777777" w:rsidR="0086626E" w:rsidRPr="008647D6" w:rsidRDefault="0086626E" w:rsidP="0086626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right="874"/>
        <w:jc w:val="center"/>
        <w:rPr>
          <w:rFonts w:ascii="Arial" w:eastAsia="Times New Roman" w:hAnsi="Arial" w:cs="Arial"/>
          <w:b/>
          <w:spacing w:val="-3"/>
          <w:lang w:eastAsia="en-AU"/>
        </w:rPr>
      </w:pPr>
    </w:p>
    <w:p w14:paraId="1289B37A" w14:textId="456A103F" w:rsidR="0086626E" w:rsidRPr="008647D6" w:rsidRDefault="0086626E" w:rsidP="00A66F70">
      <w:pPr>
        <w:pStyle w:val="ListParagraph"/>
        <w:numPr>
          <w:ilvl w:val="0"/>
          <w:numId w:val="30"/>
        </w:numPr>
        <w:spacing w:after="240"/>
        <w:outlineLvl w:val="0"/>
        <w:rPr>
          <w:rFonts w:ascii="Arial" w:eastAsia="Times New Roman" w:hAnsi="Arial" w:cs="Arial"/>
          <w:color w:val="000000"/>
          <w:spacing w:val="-3"/>
        </w:rPr>
      </w:pPr>
      <w:r w:rsidRPr="008647D6">
        <w:rPr>
          <w:rFonts w:ascii="Arial" w:eastAsia="Times New Roman" w:hAnsi="Arial" w:cs="Arial"/>
          <w:b/>
          <w:color w:val="000000"/>
          <w:spacing w:val="-3"/>
        </w:rPr>
        <w:t>Exempt Class.</w:t>
      </w:r>
      <w:r w:rsidRPr="008647D6">
        <w:rPr>
          <w:rFonts w:ascii="Arial" w:eastAsia="Times New Roman" w:hAnsi="Arial" w:cs="Arial"/>
          <w:color w:val="000000"/>
          <w:spacing w:val="-3"/>
        </w:rPr>
        <w:t xml:space="preserve">  </w:t>
      </w:r>
      <w:r w:rsidRPr="008647D6">
        <w:rPr>
          <w:rFonts w:ascii="Arial" w:eastAsia="Times New Roman" w:hAnsi="Arial" w:cs="Arial"/>
          <w:color w:val="000000"/>
          <w:spacing w:val="-3"/>
          <w:lang w:eastAsia="en-AU"/>
        </w:rPr>
        <w:t>A vehicle which satisfies all of the following criteria is within the exempt class:</w:t>
      </w:r>
    </w:p>
    <w:p w14:paraId="47B70A37" w14:textId="35500FD6" w:rsidR="0086626E" w:rsidRPr="008647D6" w:rsidRDefault="0086626E" w:rsidP="0086626E">
      <w:pPr>
        <w:numPr>
          <w:ilvl w:val="0"/>
          <w:numId w:val="21"/>
        </w:numPr>
        <w:spacing w:after="120" w:line="276" w:lineRule="auto"/>
        <w:rPr>
          <w:rFonts w:ascii="Arial" w:eastAsia="Times New Roman" w:hAnsi="Arial" w:cs="Arial"/>
          <w:lang w:eastAsia="en-AU"/>
        </w:rPr>
      </w:pPr>
      <w:r w:rsidRPr="008647D6">
        <w:rPr>
          <w:rFonts w:ascii="Arial" w:eastAsia="Times New Roman" w:hAnsi="Arial" w:cs="Arial"/>
        </w:rPr>
        <w:t xml:space="preserve">the vehicle is a “road train” (as defined in Item </w:t>
      </w:r>
      <w:r w:rsidR="00A66F70" w:rsidRPr="008647D6">
        <w:rPr>
          <w:rFonts w:ascii="Arial" w:eastAsia="Times New Roman" w:hAnsi="Arial" w:cs="Arial"/>
        </w:rPr>
        <w:t>2</w:t>
      </w:r>
      <w:r w:rsidRPr="008647D6">
        <w:rPr>
          <w:rFonts w:ascii="Arial" w:eastAsia="Times New Roman" w:hAnsi="Arial" w:cs="Arial"/>
        </w:rPr>
        <w:t xml:space="preserve"> of this Schedule); and</w:t>
      </w:r>
    </w:p>
    <w:p w14:paraId="540FC7FB" w14:textId="1528CA1E" w:rsidR="0086626E" w:rsidRPr="008647D6" w:rsidRDefault="0086626E" w:rsidP="0086626E">
      <w:pPr>
        <w:numPr>
          <w:ilvl w:val="0"/>
          <w:numId w:val="21"/>
        </w:numPr>
        <w:spacing w:after="120" w:line="276" w:lineRule="auto"/>
        <w:rPr>
          <w:rFonts w:ascii="Arial" w:eastAsia="Times New Roman" w:hAnsi="Arial" w:cs="Arial"/>
          <w:b/>
          <w:lang w:eastAsia="en-AU"/>
        </w:rPr>
      </w:pPr>
      <w:r w:rsidRPr="008647D6">
        <w:rPr>
          <w:rFonts w:ascii="Arial" w:eastAsia="Times New Roman" w:hAnsi="Arial" w:cs="Arial"/>
          <w:lang w:eastAsia="en-AU"/>
        </w:rPr>
        <w:t xml:space="preserve">the vehicle is fitted with a “rear drawbar-type coupling” (as defined in </w:t>
      </w:r>
      <w:r w:rsidRPr="008647D6">
        <w:rPr>
          <w:rFonts w:ascii="Arial" w:eastAsia="Times New Roman" w:hAnsi="Arial" w:cs="Arial"/>
        </w:rPr>
        <w:t xml:space="preserve">Item </w:t>
      </w:r>
      <w:r w:rsidR="00A66F70" w:rsidRPr="008647D6">
        <w:rPr>
          <w:rFonts w:ascii="Arial" w:eastAsia="Times New Roman" w:hAnsi="Arial" w:cs="Arial"/>
        </w:rPr>
        <w:t>2</w:t>
      </w:r>
      <w:r w:rsidRPr="008647D6">
        <w:rPr>
          <w:rFonts w:ascii="Arial" w:eastAsia="Times New Roman" w:hAnsi="Arial" w:cs="Arial"/>
        </w:rPr>
        <w:t xml:space="preserve"> of this Schedule</w:t>
      </w:r>
      <w:r w:rsidRPr="008647D6">
        <w:rPr>
          <w:rFonts w:ascii="Arial" w:eastAsia="Times New Roman" w:hAnsi="Arial" w:cs="Arial"/>
          <w:lang w:eastAsia="en-AU"/>
        </w:rPr>
        <w:t>); and</w:t>
      </w:r>
    </w:p>
    <w:p w14:paraId="7C77C684" w14:textId="77777777" w:rsidR="0086626E" w:rsidRPr="008647D6" w:rsidRDefault="0086626E" w:rsidP="0086626E">
      <w:pPr>
        <w:numPr>
          <w:ilvl w:val="0"/>
          <w:numId w:val="21"/>
        </w:numPr>
        <w:spacing w:after="120" w:line="276" w:lineRule="auto"/>
        <w:rPr>
          <w:rFonts w:ascii="Arial" w:eastAsia="Times New Roman" w:hAnsi="Arial" w:cs="Arial"/>
          <w:b/>
          <w:lang w:eastAsia="en-AU"/>
        </w:rPr>
      </w:pPr>
      <w:r w:rsidRPr="008647D6">
        <w:rPr>
          <w:rFonts w:ascii="Arial" w:eastAsia="Times New Roman" w:hAnsi="Arial" w:cs="Arial"/>
          <w:lang w:eastAsia="en-AU"/>
        </w:rPr>
        <w:t>the rear drawbar-type coupling fitted to the vehicle is built and positioned so:</w:t>
      </w:r>
    </w:p>
    <w:p w14:paraId="1A07AA18" w14:textId="3E367DCB" w:rsidR="0086626E" w:rsidRPr="008647D6" w:rsidRDefault="0086626E" w:rsidP="0086626E">
      <w:pPr>
        <w:pStyle w:val="ListParagraph"/>
        <w:numPr>
          <w:ilvl w:val="3"/>
          <w:numId w:val="13"/>
        </w:numPr>
        <w:spacing w:after="240" w:line="276" w:lineRule="auto"/>
        <w:ind w:left="1418"/>
        <w:outlineLvl w:val="0"/>
        <w:rPr>
          <w:rFonts w:ascii="Arial" w:eastAsia="Times New Roman" w:hAnsi="Arial" w:cs="Arial"/>
          <w:color w:val="000000"/>
          <w:spacing w:val="-3"/>
        </w:rPr>
      </w:pPr>
      <w:r w:rsidRPr="008647D6">
        <w:rPr>
          <w:rFonts w:ascii="Arial" w:eastAsia="Times New Roman" w:hAnsi="Arial" w:cs="Arial"/>
          <w:color w:val="000000"/>
          <w:spacing w:val="-3"/>
        </w:rPr>
        <w:t>it is at a height of at least 600 millimetres, but not over 950 millimetres, from the ground, when the vehicle is unloaded and parked on level ground; and</w:t>
      </w:r>
    </w:p>
    <w:p w14:paraId="3315232D" w14:textId="77777777" w:rsidR="0086626E" w:rsidRPr="008647D6" w:rsidRDefault="0086626E" w:rsidP="0086626E">
      <w:pPr>
        <w:numPr>
          <w:ilvl w:val="3"/>
          <w:numId w:val="13"/>
        </w:numPr>
        <w:spacing w:after="240" w:line="276" w:lineRule="auto"/>
        <w:ind w:left="1352"/>
        <w:outlineLvl w:val="0"/>
        <w:rPr>
          <w:rFonts w:ascii="Arial" w:eastAsia="Times New Roman" w:hAnsi="Arial" w:cs="Arial"/>
          <w:color w:val="000000"/>
          <w:spacing w:val="-3"/>
        </w:rPr>
      </w:pPr>
      <w:r w:rsidRPr="008647D6">
        <w:rPr>
          <w:rFonts w:ascii="Arial" w:eastAsia="Times New Roman" w:hAnsi="Arial" w:cs="Arial"/>
          <w:color w:val="000000"/>
          <w:spacing w:val="-3"/>
        </w:rPr>
        <w:t>when the vehicle is moving, the drawbar can move at least 15 degrees upwards or downwards from the position it occupies when the road train is parked on level ground.</w:t>
      </w:r>
    </w:p>
    <w:p w14:paraId="4CF341A0" w14:textId="03462ABC" w:rsidR="0086626E" w:rsidRPr="008647D6" w:rsidRDefault="0086626E" w:rsidP="00A66F70">
      <w:pPr>
        <w:pStyle w:val="ListParagraph"/>
        <w:numPr>
          <w:ilvl w:val="0"/>
          <w:numId w:val="30"/>
        </w:numPr>
        <w:spacing w:after="240"/>
        <w:outlineLvl w:val="0"/>
        <w:rPr>
          <w:rFonts w:ascii="Arial" w:eastAsia="Times New Roman" w:hAnsi="Arial" w:cs="Arial"/>
          <w:color w:val="000000"/>
          <w:spacing w:val="-3"/>
        </w:rPr>
      </w:pPr>
      <w:bookmarkStart w:id="1" w:name="_Ref56690602"/>
      <w:r w:rsidRPr="008647D6">
        <w:rPr>
          <w:rFonts w:ascii="Arial" w:eastAsia="Times New Roman" w:hAnsi="Arial" w:cs="Arial"/>
          <w:b/>
          <w:color w:val="000000"/>
          <w:spacing w:val="-3"/>
        </w:rPr>
        <w:t>Defined terms</w:t>
      </w:r>
      <w:r w:rsidRPr="008647D6">
        <w:rPr>
          <w:rFonts w:ascii="Arial" w:eastAsia="Times New Roman" w:hAnsi="Arial" w:cs="Arial"/>
          <w:color w:val="000000"/>
          <w:spacing w:val="-3"/>
        </w:rPr>
        <w:t>. In this instrument:</w:t>
      </w:r>
      <w:bookmarkEnd w:id="1"/>
    </w:p>
    <w:p w14:paraId="1CE0A859" w14:textId="2F56288E" w:rsidR="0086626E" w:rsidRPr="008647D6" w:rsidRDefault="0086626E" w:rsidP="0086626E">
      <w:pPr>
        <w:pStyle w:val="ListParagraph"/>
        <w:numPr>
          <w:ilvl w:val="0"/>
          <w:numId w:val="29"/>
        </w:numPr>
        <w:spacing w:line="276" w:lineRule="auto"/>
        <w:rPr>
          <w:rFonts w:ascii="Arial" w:eastAsia="Times New Roman" w:hAnsi="Arial" w:cs="Arial"/>
        </w:rPr>
      </w:pPr>
      <w:r w:rsidRPr="008647D6">
        <w:rPr>
          <w:rFonts w:ascii="Arial" w:eastAsia="Times New Roman" w:hAnsi="Arial" w:cs="Arial"/>
          <w:b/>
          <w:i/>
        </w:rPr>
        <w:t xml:space="preserve">Australian Design Rule </w:t>
      </w:r>
      <w:r w:rsidRPr="008647D6">
        <w:rPr>
          <w:rFonts w:ascii="Arial" w:eastAsia="Times New Roman" w:hAnsi="Arial" w:cs="Arial"/>
          <w:b/>
          <w:i/>
          <w:spacing w:val="-3"/>
          <w:lang w:eastAsia="en-AU"/>
        </w:rPr>
        <w:t>63/00</w:t>
      </w:r>
      <w:r w:rsidRPr="008647D6">
        <w:rPr>
          <w:rFonts w:ascii="Arial" w:eastAsia="Times New Roman" w:hAnsi="Arial" w:cs="Arial"/>
          <w:i/>
          <w:spacing w:val="-3"/>
          <w:lang w:eastAsia="en-AU"/>
        </w:rPr>
        <w:t xml:space="preserve"> </w:t>
      </w:r>
      <w:r w:rsidRPr="008647D6">
        <w:rPr>
          <w:rFonts w:ascii="Arial" w:eastAsia="Times New Roman" w:hAnsi="Arial" w:cs="Arial"/>
          <w:spacing w:val="-3"/>
          <w:lang w:eastAsia="en-AU"/>
        </w:rPr>
        <w:t>is a third edition ADR of that number which applies to</w:t>
      </w:r>
      <w:r w:rsidR="00BA448C" w:rsidRPr="008647D6">
        <w:rPr>
          <w:rFonts w:ascii="Arial" w:eastAsia="Times New Roman" w:hAnsi="Arial" w:cs="Arial"/>
          <w:spacing w:val="-3"/>
          <w:lang w:eastAsia="en-AU"/>
        </w:rPr>
        <w:t xml:space="preserve"> the vehicle</w:t>
      </w:r>
      <w:r w:rsidRPr="008647D6">
        <w:rPr>
          <w:rFonts w:ascii="Arial" w:eastAsia="Times New Roman" w:hAnsi="Arial" w:cs="Arial"/>
          <w:spacing w:val="-3"/>
          <w:lang w:eastAsia="en-AU"/>
        </w:rPr>
        <w:t xml:space="preserve"> pursuant to rule 20 of Schedule 6 of the </w:t>
      </w:r>
      <w:r w:rsidRPr="008647D6">
        <w:rPr>
          <w:rFonts w:ascii="Arial" w:eastAsia="Times New Roman" w:hAnsi="Arial" w:cs="Arial"/>
          <w:i/>
          <w:spacing w:val="-3"/>
          <w:lang w:eastAsia="en-AU"/>
        </w:rPr>
        <w:t>Motor Vehicles (Standards) Regulations 2003.</w:t>
      </w:r>
    </w:p>
    <w:p w14:paraId="5BA92313" w14:textId="51EED9EB" w:rsidR="0086626E" w:rsidRPr="008647D6" w:rsidRDefault="0086626E" w:rsidP="0086626E">
      <w:pPr>
        <w:pStyle w:val="ListParagraph"/>
        <w:numPr>
          <w:ilvl w:val="0"/>
          <w:numId w:val="29"/>
        </w:numPr>
        <w:spacing w:line="276" w:lineRule="auto"/>
        <w:rPr>
          <w:rFonts w:ascii="Arial" w:eastAsia="Times New Roman" w:hAnsi="Arial" w:cs="Arial"/>
        </w:rPr>
      </w:pPr>
      <w:r w:rsidRPr="008647D6">
        <w:rPr>
          <w:rFonts w:ascii="Arial" w:eastAsia="Times New Roman" w:hAnsi="Arial" w:cs="Arial"/>
          <w:b/>
          <w:i/>
          <w:lang w:eastAsia="en-AU"/>
        </w:rPr>
        <w:t xml:space="preserve">rear drawbar-type coupling </w:t>
      </w:r>
      <w:r w:rsidRPr="008647D6">
        <w:rPr>
          <w:rFonts w:ascii="Arial" w:eastAsia="Times New Roman" w:hAnsi="Arial" w:cs="Arial"/>
          <w:lang w:eastAsia="en-AU"/>
        </w:rPr>
        <w:t>means</w:t>
      </w:r>
      <w:r w:rsidRPr="008647D6">
        <w:rPr>
          <w:rFonts w:ascii="Arial" w:eastAsia="Times New Roman" w:hAnsi="Arial" w:cs="Arial"/>
          <w:i/>
          <w:lang w:eastAsia="en-AU"/>
        </w:rPr>
        <w:t xml:space="preserve"> </w:t>
      </w:r>
      <w:r w:rsidRPr="008647D6">
        <w:rPr>
          <w:rFonts w:ascii="Arial" w:eastAsia="Times New Roman" w:hAnsi="Arial" w:cs="Arial"/>
          <w:lang w:eastAsia="en-AU"/>
        </w:rPr>
        <w:t xml:space="preserve">a drawbar-type </w:t>
      </w:r>
      <w:r w:rsidR="00BA448C" w:rsidRPr="008647D6">
        <w:rPr>
          <w:rFonts w:ascii="Arial" w:eastAsia="Times New Roman" w:hAnsi="Arial" w:cs="Arial"/>
          <w:lang w:eastAsia="en-AU"/>
        </w:rPr>
        <w:t xml:space="preserve">tow </w:t>
      </w:r>
      <w:r w:rsidRPr="008647D6">
        <w:rPr>
          <w:rFonts w:ascii="Arial" w:eastAsia="Times New Roman" w:hAnsi="Arial" w:cs="Arial"/>
          <w:lang w:eastAsia="en-AU"/>
        </w:rPr>
        <w:t xml:space="preserve">coupling at the rear of the vehicle, which is designed to be connected to the drawbar of a converter dolly or a dog trailer (as defined in </w:t>
      </w:r>
      <w:r w:rsidRPr="008647D6">
        <w:rPr>
          <w:rFonts w:ascii="Arial" w:eastAsia="Times New Roman" w:hAnsi="Arial" w:cs="Arial"/>
          <w:color w:val="000000"/>
          <w:spacing w:val="-3"/>
          <w:lang w:eastAsia="en-AU"/>
        </w:rPr>
        <w:t xml:space="preserve">Schedule 6 of the </w:t>
      </w:r>
      <w:r w:rsidRPr="008647D6">
        <w:rPr>
          <w:rFonts w:ascii="Arial" w:eastAsia="Times New Roman" w:hAnsi="Arial" w:cs="Arial"/>
          <w:i/>
          <w:color w:val="000000"/>
          <w:spacing w:val="-3"/>
          <w:lang w:eastAsia="en-AU"/>
        </w:rPr>
        <w:t>Motor Vehicles (Standards) Regulations 2003</w:t>
      </w:r>
      <w:r w:rsidRPr="008647D6">
        <w:rPr>
          <w:rFonts w:ascii="Arial" w:eastAsia="Times New Roman" w:hAnsi="Arial" w:cs="Arial"/>
          <w:color w:val="000000"/>
          <w:spacing w:val="-3"/>
          <w:lang w:eastAsia="en-AU"/>
        </w:rPr>
        <w:t>).</w:t>
      </w:r>
    </w:p>
    <w:p w14:paraId="1C6692D7" w14:textId="5A070DCC" w:rsidR="0086626E" w:rsidRPr="008647D6" w:rsidRDefault="0086626E" w:rsidP="0086626E">
      <w:pPr>
        <w:pStyle w:val="ListParagraph"/>
        <w:numPr>
          <w:ilvl w:val="0"/>
          <w:numId w:val="29"/>
        </w:numPr>
        <w:spacing w:line="276" w:lineRule="auto"/>
        <w:rPr>
          <w:rFonts w:ascii="Arial" w:eastAsia="Times New Roman" w:hAnsi="Arial" w:cs="Arial"/>
        </w:rPr>
      </w:pPr>
      <w:r w:rsidRPr="008647D6">
        <w:rPr>
          <w:rFonts w:ascii="Arial" w:eastAsia="Times New Roman" w:hAnsi="Arial" w:cs="Arial"/>
          <w:b/>
          <w:i/>
          <w:lang w:eastAsia="en-AU"/>
        </w:rPr>
        <w:t xml:space="preserve">road train </w:t>
      </w:r>
      <w:r w:rsidRPr="008647D6">
        <w:rPr>
          <w:rFonts w:ascii="Arial" w:eastAsia="Times New Roman" w:hAnsi="Arial" w:cs="Arial"/>
          <w:lang w:eastAsia="en-AU"/>
        </w:rPr>
        <w:t>means a vehicle which:</w:t>
      </w:r>
    </w:p>
    <w:p w14:paraId="261BFF2D" w14:textId="51697CC8" w:rsidR="0086626E" w:rsidRPr="008647D6" w:rsidRDefault="0086626E" w:rsidP="0086626E">
      <w:pPr>
        <w:pStyle w:val="ListParagraph"/>
        <w:numPr>
          <w:ilvl w:val="0"/>
          <w:numId w:val="28"/>
        </w:numPr>
        <w:spacing w:line="276" w:lineRule="auto"/>
        <w:ind w:left="1134"/>
        <w:contextualSpacing/>
        <w:rPr>
          <w:rFonts w:ascii="Arial" w:eastAsia="Times New Roman" w:hAnsi="Arial" w:cs="Arial"/>
          <w:lang w:eastAsia="en-AU"/>
        </w:rPr>
      </w:pPr>
      <w:r w:rsidRPr="008647D6">
        <w:rPr>
          <w:rFonts w:ascii="Arial" w:eastAsia="Times New Roman" w:hAnsi="Arial" w:cs="Arial"/>
          <w:color w:val="000000"/>
          <w:spacing w:val="-3"/>
        </w:rPr>
        <w:t>has a vehicle plate affixed to it displaying t</w:t>
      </w:r>
      <w:r w:rsidRPr="008647D6">
        <w:rPr>
          <w:rFonts w:ascii="Arial" w:eastAsia="Times New Roman" w:hAnsi="Arial" w:cs="Arial"/>
          <w:lang w:eastAsia="en-AU"/>
        </w:rPr>
        <w:t xml:space="preserve">he words “ROAD TRAIN” in accordance with the requirements under – </w:t>
      </w:r>
    </w:p>
    <w:p w14:paraId="1B191640" w14:textId="77777777" w:rsidR="0086626E" w:rsidRPr="008647D6" w:rsidRDefault="0086626E" w:rsidP="0086626E">
      <w:pPr>
        <w:numPr>
          <w:ilvl w:val="0"/>
          <w:numId w:val="26"/>
        </w:numPr>
        <w:spacing w:after="240" w:line="276" w:lineRule="auto"/>
        <w:ind w:left="1701"/>
        <w:outlineLvl w:val="0"/>
        <w:rPr>
          <w:rFonts w:ascii="Arial" w:eastAsia="Times New Roman" w:hAnsi="Arial" w:cs="Arial"/>
          <w:color w:val="000000"/>
          <w:spacing w:val="-3"/>
        </w:rPr>
      </w:pPr>
      <w:r w:rsidRPr="008647D6">
        <w:rPr>
          <w:rFonts w:ascii="Arial" w:eastAsia="Times New Roman" w:hAnsi="Arial" w:cs="Arial"/>
          <w:color w:val="000000"/>
          <w:spacing w:val="-3"/>
        </w:rPr>
        <w:t xml:space="preserve">the </w:t>
      </w:r>
      <w:r w:rsidRPr="008647D6">
        <w:rPr>
          <w:rFonts w:ascii="Arial" w:eastAsia="Times New Roman" w:hAnsi="Arial" w:cs="Arial"/>
          <w:i/>
          <w:color w:val="000000"/>
          <w:spacing w:val="-3"/>
        </w:rPr>
        <w:t>Motor Vehicle Standards Act 1989</w:t>
      </w:r>
      <w:r w:rsidRPr="008647D6">
        <w:rPr>
          <w:rFonts w:ascii="Arial" w:eastAsia="Times New Roman" w:hAnsi="Arial" w:cs="Arial"/>
          <w:color w:val="000000"/>
          <w:spacing w:val="-3"/>
        </w:rPr>
        <w:t xml:space="preserve"> (Cth); or</w:t>
      </w:r>
    </w:p>
    <w:p w14:paraId="2C7751DE" w14:textId="77777777" w:rsidR="0086626E" w:rsidRPr="008647D6" w:rsidRDefault="0086626E" w:rsidP="0086626E">
      <w:pPr>
        <w:numPr>
          <w:ilvl w:val="0"/>
          <w:numId w:val="26"/>
        </w:numPr>
        <w:spacing w:after="240" w:line="276" w:lineRule="auto"/>
        <w:ind w:left="1701"/>
        <w:outlineLvl w:val="0"/>
        <w:rPr>
          <w:rFonts w:ascii="Arial" w:eastAsia="Times New Roman" w:hAnsi="Arial" w:cs="Arial"/>
          <w:color w:val="000000"/>
          <w:spacing w:val="-3"/>
        </w:rPr>
      </w:pPr>
      <w:r w:rsidRPr="008647D6">
        <w:rPr>
          <w:rFonts w:ascii="Arial" w:eastAsia="Times New Roman" w:hAnsi="Arial" w:cs="Arial"/>
          <w:color w:val="000000"/>
          <w:spacing w:val="-3"/>
        </w:rPr>
        <w:t xml:space="preserve">the </w:t>
      </w:r>
      <w:r w:rsidRPr="008647D6">
        <w:rPr>
          <w:rFonts w:ascii="Arial" w:eastAsia="Times New Roman" w:hAnsi="Arial" w:cs="Arial"/>
          <w:i/>
          <w:color w:val="000000"/>
          <w:spacing w:val="-3"/>
        </w:rPr>
        <w:t>Road Vehicle Standards Act 2018</w:t>
      </w:r>
      <w:r w:rsidRPr="008647D6">
        <w:rPr>
          <w:rFonts w:ascii="Arial" w:eastAsia="Times New Roman" w:hAnsi="Arial" w:cs="Arial"/>
          <w:color w:val="000000"/>
          <w:spacing w:val="-3"/>
        </w:rPr>
        <w:t xml:space="preserve"> (Cth); or</w:t>
      </w:r>
    </w:p>
    <w:p w14:paraId="788C8976" w14:textId="22DA32DF" w:rsidR="0086626E" w:rsidRPr="008647D6" w:rsidRDefault="0086626E" w:rsidP="0086626E">
      <w:pPr>
        <w:pStyle w:val="ListParagraph"/>
        <w:numPr>
          <w:ilvl w:val="2"/>
          <w:numId w:val="13"/>
        </w:numPr>
        <w:spacing w:after="0" w:line="360" w:lineRule="auto"/>
        <w:ind w:left="1134"/>
        <w:contextualSpacing/>
        <w:rPr>
          <w:rFonts w:ascii="Arial" w:eastAsia="Times New Roman" w:hAnsi="Arial" w:cs="Arial"/>
          <w:lang w:eastAsia="en-AU"/>
        </w:rPr>
      </w:pPr>
      <w:r w:rsidRPr="008647D6">
        <w:rPr>
          <w:rFonts w:ascii="Arial" w:eastAsia="Times New Roman" w:hAnsi="Arial" w:cs="Arial"/>
          <w:lang w:eastAsia="en-AU"/>
        </w:rPr>
        <w:t>has a modification plate affixed to it displaying the code “S8”</w:t>
      </w:r>
      <w:r w:rsidR="00A904CC" w:rsidRPr="008647D6">
        <w:rPr>
          <w:rFonts w:ascii="Arial" w:eastAsia="Times New Roman" w:hAnsi="Arial" w:cs="Arial"/>
          <w:lang w:eastAsia="en-AU"/>
        </w:rPr>
        <w:t xml:space="preserve"> or “S11”</w:t>
      </w:r>
      <w:r w:rsidRPr="008647D6">
        <w:rPr>
          <w:rFonts w:ascii="Arial" w:eastAsia="Times New Roman" w:hAnsi="Arial" w:cs="Arial"/>
          <w:lang w:eastAsia="en-AU"/>
        </w:rPr>
        <w:t xml:space="preserve"> in accordance with the requirements under the heavy vehicle modification scheme in the state or territory where the modification plate was affixed.</w:t>
      </w:r>
    </w:p>
    <w:p w14:paraId="42826F93" w14:textId="77777777" w:rsidR="0086626E" w:rsidRPr="0086626E" w:rsidRDefault="0086626E" w:rsidP="0086626E">
      <w:pPr>
        <w:spacing w:after="120" w:line="276" w:lineRule="auto"/>
        <w:rPr>
          <w:rFonts w:ascii="Arial" w:eastAsia="Times New Roman" w:hAnsi="Arial" w:cs="Arial"/>
          <w:color w:val="000000"/>
          <w:spacing w:val="-3"/>
          <w:lang w:eastAsia="en-AU"/>
        </w:rPr>
      </w:pPr>
    </w:p>
    <w:p w14:paraId="20FF300C" w14:textId="77777777" w:rsidR="0086626E" w:rsidRPr="0086626E" w:rsidRDefault="0086626E" w:rsidP="0086626E">
      <w:pPr>
        <w:spacing w:after="0" w:line="360" w:lineRule="auto"/>
        <w:rPr>
          <w:rFonts w:ascii="Arial" w:eastAsia="Times New Roman" w:hAnsi="Arial" w:cs="Arial"/>
          <w:b/>
          <w:i/>
          <w:lang w:eastAsia="en-AU"/>
        </w:rPr>
      </w:pPr>
    </w:p>
    <w:p w14:paraId="4F4BE6FE" w14:textId="77777777" w:rsidR="0086626E" w:rsidRPr="0086626E" w:rsidRDefault="0086626E" w:rsidP="0086626E"/>
    <w:sectPr w:rsidR="0086626E" w:rsidRPr="0086626E" w:rsidSect="00283663">
      <w:headerReference w:type="default" r:id="rId16"/>
      <w:footerReference w:type="default" r:id="rId17"/>
      <w:headerReference w:type="first" r:id="rId18"/>
      <w:footerReference w:type="first" r:id="rId19"/>
      <w:pgSz w:w="11906" w:h="16838" w:code="9"/>
      <w:pgMar w:top="794" w:right="794" w:bottom="794" w:left="794" w:header="794" w:footer="2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B0100" w14:textId="77777777" w:rsidR="00270806" w:rsidRDefault="00270806" w:rsidP="007332FF">
      <w:r>
        <w:separator/>
      </w:r>
    </w:p>
  </w:endnote>
  <w:endnote w:type="continuationSeparator" w:id="0">
    <w:p w14:paraId="3211E2EC" w14:textId="77777777" w:rsidR="00270806" w:rsidRDefault="0027080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606A"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3C01BCE" w14:textId="77777777" w:rsidTr="00D47DC7">
      <w:trPr>
        <w:cantSplit/>
        <w:trHeight w:hRule="exact" w:val="850"/>
      </w:trPr>
      <w:tc>
        <w:tcPr>
          <w:tcW w:w="10318" w:type="dxa"/>
          <w:vAlign w:val="bottom"/>
        </w:tcPr>
        <w:p w14:paraId="535A8891" w14:textId="77777777" w:rsidR="00D47DC7" w:rsidRPr="008647D6" w:rsidRDefault="00D47DC7" w:rsidP="00D47DC7">
          <w:pPr>
            <w:spacing w:after="0"/>
            <w:rPr>
              <w:rStyle w:val="PageNumber"/>
              <w:b/>
            </w:rPr>
          </w:pPr>
          <w:r w:rsidRPr="008647D6">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8665F" w:rsidRPr="008647D6">
                <w:rPr>
                  <w:rStyle w:val="PageNumber"/>
                  <w:b/>
                </w:rPr>
                <w:t>Infrastructure, Planning and Logistics</w:t>
              </w:r>
            </w:sdtContent>
          </w:sdt>
        </w:p>
        <w:p w14:paraId="5335F625" w14:textId="5C393C26" w:rsidR="00D47DC7" w:rsidRPr="008647D6" w:rsidRDefault="008647D6"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7-15T00:00:00Z">
                <w:dateFormat w:val="d MMMM yyyy"/>
                <w:lid w:val="en-AU"/>
                <w:storeMappedDataAs w:val="dateTime"/>
                <w:calendar w:val="gregorian"/>
              </w:date>
            </w:sdtPr>
            <w:sdtEndPr>
              <w:rPr>
                <w:rStyle w:val="PageNumber"/>
              </w:rPr>
            </w:sdtEndPr>
            <w:sdtContent>
              <w:r w:rsidR="00A66F70" w:rsidRPr="008647D6">
                <w:rPr>
                  <w:rStyle w:val="PageNumber"/>
                </w:rPr>
                <w:t>15 July 2022</w:t>
              </w:r>
            </w:sdtContent>
          </w:sdt>
          <w:r w:rsidR="0033049B" w:rsidRPr="008647D6">
            <w:rPr>
              <w:rStyle w:val="PageNumber"/>
            </w:rPr>
            <w:t xml:space="preserve"> </w:t>
          </w:r>
        </w:p>
        <w:p w14:paraId="5830D09E" w14:textId="5ADD51B8" w:rsidR="00CA36A0" w:rsidRPr="00AC4488" w:rsidRDefault="00D47DC7" w:rsidP="00D47DC7">
          <w:pPr>
            <w:spacing w:after="0"/>
            <w:rPr>
              <w:rStyle w:val="PageNumber"/>
            </w:rPr>
          </w:pPr>
          <w:r w:rsidRPr="008647D6">
            <w:rPr>
              <w:rStyle w:val="PageNumber"/>
            </w:rPr>
            <w:t xml:space="preserve">Page </w:t>
          </w:r>
          <w:r w:rsidRPr="008647D6">
            <w:rPr>
              <w:rStyle w:val="PageNumber"/>
            </w:rPr>
            <w:fldChar w:fldCharType="begin"/>
          </w:r>
          <w:r w:rsidRPr="008647D6">
            <w:rPr>
              <w:rStyle w:val="PageNumber"/>
            </w:rPr>
            <w:instrText xml:space="preserve"> PAGE  \* Arabic  \* MERGEFORMAT </w:instrText>
          </w:r>
          <w:r w:rsidRPr="008647D6">
            <w:rPr>
              <w:rStyle w:val="PageNumber"/>
            </w:rPr>
            <w:fldChar w:fldCharType="separate"/>
          </w:r>
          <w:r w:rsidR="008647D6">
            <w:rPr>
              <w:rStyle w:val="PageNumber"/>
              <w:noProof/>
            </w:rPr>
            <w:t>6</w:t>
          </w:r>
          <w:r w:rsidRPr="008647D6">
            <w:rPr>
              <w:rStyle w:val="PageNumber"/>
            </w:rPr>
            <w:fldChar w:fldCharType="end"/>
          </w:r>
          <w:r w:rsidRPr="008647D6">
            <w:rPr>
              <w:rStyle w:val="PageNumber"/>
            </w:rPr>
            <w:t xml:space="preserve"> of </w:t>
          </w:r>
          <w:r w:rsidRPr="008647D6">
            <w:rPr>
              <w:rStyle w:val="PageNumber"/>
            </w:rPr>
            <w:fldChar w:fldCharType="begin"/>
          </w:r>
          <w:r w:rsidRPr="008647D6">
            <w:rPr>
              <w:rStyle w:val="PageNumber"/>
            </w:rPr>
            <w:instrText xml:space="preserve"> NUMPAGES  \* Arabic  \* MERGEFORMAT </w:instrText>
          </w:r>
          <w:r w:rsidRPr="008647D6">
            <w:rPr>
              <w:rStyle w:val="PageNumber"/>
            </w:rPr>
            <w:fldChar w:fldCharType="separate"/>
          </w:r>
          <w:r w:rsidR="008647D6">
            <w:rPr>
              <w:rStyle w:val="PageNumber"/>
              <w:noProof/>
            </w:rPr>
            <w:t>6</w:t>
          </w:r>
          <w:r w:rsidRPr="008647D6">
            <w:rPr>
              <w:rStyle w:val="PageNumber"/>
            </w:rPr>
            <w:fldChar w:fldCharType="end"/>
          </w:r>
        </w:p>
      </w:tc>
    </w:tr>
  </w:tbl>
  <w:p w14:paraId="5BF7A8F1"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635C5"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9365920" w14:textId="77777777" w:rsidTr="008921B4">
      <w:trPr>
        <w:cantSplit/>
        <w:trHeight w:hRule="exact" w:val="1134"/>
      </w:trPr>
      <w:tc>
        <w:tcPr>
          <w:tcW w:w="7767" w:type="dxa"/>
          <w:vAlign w:val="bottom"/>
        </w:tcPr>
        <w:p w14:paraId="7F19A69F" w14:textId="77777777" w:rsidR="00D47DC7" w:rsidRPr="008647D6" w:rsidRDefault="00D47DC7" w:rsidP="00D47DC7">
          <w:pPr>
            <w:spacing w:after="0"/>
            <w:rPr>
              <w:rStyle w:val="PageNumber"/>
              <w:b/>
            </w:rPr>
          </w:pPr>
          <w:r w:rsidRPr="008647D6">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8665F" w:rsidRPr="008647D6">
                <w:rPr>
                  <w:rStyle w:val="PageNumber"/>
                  <w:b/>
                </w:rPr>
                <w:t>Infrastructure, Planning and Logistics</w:t>
              </w:r>
            </w:sdtContent>
          </w:sdt>
        </w:p>
        <w:p w14:paraId="161A1CB9" w14:textId="2E80D4D9" w:rsidR="00D47DC7" w:rsidRPr="008647D6" w:rsidRDefault="008647D6"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15T00:00:00Z">
                <w:dateFormat w:val="d MMMM yyyy"/>
                <w:lid w:val="en-AU"/>
                <w:storeMappedDataAs w:val="dateTime"/>
                <w:calendar w:val="gregorian"/>
              </w:date>
            </w:sdtPr>
            <w:sdtEndPr>
              <w:rPr>
                <w:rStyle w:val="PageNumber"/>
              </w:rPr>
            </w:sdtEndPr>
            <w:sdtContent>
              <w:r w:rsidR="00A66F70" w:rsidRPr="008647D6">
                <w:rPr>
                  <w:rStyle w:val="PageNumber"/>
                </w:rPr>
                <w:t>15 July 2022</w:t>
              </w:r>
            </w:sdtContent>
          </w:sdt>
          <w:r w:rsidR="00134417" w:rsidRPr="008647D6">
            <w:rPr>
              <w:rStyle w:val="PageNumber"/>
            </w:rPr>
            <w:t xml:space="preserve"> </w:t>
          </w:r>
        </w:p>
        <w:p w14:paraId="02CC9B89" w14:textId="0AF05D47" w:rsidR="0071700C" w:rsidRPr="008647D6" w:rsidRDefault="00D47DC7" w:rsidP="00D47DC7">
          <w:pPr>
            <w:spacing w:after="0"/>
            <w:rPr>
              <w:rStyle w:val="PageNumber"/>
            </w:rPr>
          </w:pPr>
          <w:r w:rsidRPr="008647D6">
            <w:rPr>
              <w:rStyle w:val="PageNumber"/>
            </w:rPr>
            <w:t xml:space="preserve">Page </w:t>
          </w:r>
          <w:r w:rsidRPr="008647D6">
            <w:rPr>
              <w:rStyle w:val="PageNumber"/>
            </w:rPr>
            <w:fldChar w:fldCharType="begin"/>
          </w:r>
          <w:r w:rsidRPr="008647D6">
            <w:rPr>
              <w:rStyle w:val="PageNumber"/>
            </w:rPr>
            <w:instrText xml:space="preserve"> PAGE  \* Arabic  \* MERGEFORMAT </w:instrText>
          </w:r>
          <w:r w:rsidRPr="008647D6">
            <w:rPr>
              <w:rStyle w:val="PageNumber"/>
            </w:rPr>
            <w:fldChar w:fldCharType="separate"/>
          </w:r>
          <w:r w:rsidR="008647D6">
            <w:rPr>
              <w:rStyle w:val="PageNumber"/>
              <w:noProof/>
            </w:rPr>
            <w:t>1</w:t>
          </w:r>
          <w:r w:rsidRPr="008647D6">
            <w:rPr>
              <w:rStyle w:val="PageNumber"/>
            </w:rPr>
            <w:fldChar w:fldCharType="end"/>
          </w:r>
          <w:r w:rsidRPr="008647D6">
            <w:rPr>
              <w:rStyle w:val="PageNumber"/>
            </w:rPr>
            <w:t xml:space="preserve"> of </w:t>
          </w:r>
          <w:r w:rsidRPr="008647D6">
            <w:rPr>
              <w:rStyle w:val="PageNumber"/>
            </w:rPr>
            <w:fldChar w:fldCharType="begin"/>
          </w:r>
          <w:r w:rsidRPr="008647D6">
            <w:rPr>
              <w:rStyle w:val="PageNumber"/>
            </w:rPr>
            <w:instrText xml:space="preserve"> NUMPAGES  \* Arabic  \* MERGEFORMAT </w:instrText>
          </w:r>
          <w:r w:rsidRPr="008647D6">
            <w:rPr>
              <w:rStyle w:val="PageNumber"/>
            </w:rPr>
            <w:fldChar w:fldCharType="separate"/>
          </w:r>
          <w:r w:rsidR="008647D6">
            <w:rPr>
              <w:rStyle w:val="PageNumber"/>
              <w:noProof/>
            </w:rPr>
            <w:t>6</w:t>
          </w:r>
          <w:r w:rsidRPr="008647D6">
            <w:rPr>
              <w:rStyle w:val="PageNumber"/>
            </w:rPr>
            <w:fldChar w:fldCharType="end"/>
          </w:r>
        </w:p>
      </w:tc>
      <w:tc>
        <w:tcPr>
          <w:tcW w:w="2551" w:type="dxa"/>
          <w:vAlign w:val="bottom"/>
        </w:tcPr>
        <w:p w14:paraId="7E777E54" w14:textId="77777777" w:rsidR="0071700C" w:rsidRPr="001E14EB" w:rsidRDefault="0071700C" w:rsidP="0071700C">
          <w:pPr>
            <w:spacing w:after="0"/>
            <w:jc w:val="right"/>
          </w:pPr>
          <w:r w:rsidRPr="008647D6">
            <w:rPr>
              <w:noProof/>
              <w:lang w:eastAsia="en-AU"/>
            </w:rPr>
            <w:drawing>
              <wp:inline distT="0" distB="0" distL="0" distR="0" wp14:anchorId="2E5FD575" wp14:editId="2D8CA61F">
                <wp:extent cx="1572479" cy="561600"/>
                <wp:effectExtent l="0" t="0" r="889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505EDB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78944" w14:textId="77777777" w:rsidR="00270806" w:rsidRDefault="00270806" w:rsidP="007332FF">
      <w:r>
        <w:separator/>
      </w:r>
    </w:p>
  </w:footnote>
  <w:footnote w:type="continuationSeparator" w:id="0">
    <w:p w14:paraId="32958658" w14:textId="77777777" w:rsidR="00270806" w:rsidRDefault="0027080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0A17" w14:textId="2A851D32" w:rsidR="00983000" w:rsidRPr="00162207" w:rsidRDefault="008647D6"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86626E">
          <w:t>V88 – Road Train – Tow Coupling Height and Coupling Pivot Positioning Exemption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78B742A" w14:textId="5A1A1FCB" w:rsidR="00E54F9E" w:rsidRDefault="0028063E" w:rsidP="00435082">
        <w:pPr>
          <w:pStyle w:val="Title"/>
        </w:pPr>
        <w:r>
          <w:rPr>
            <w:rStyle w:val="TitleChar"/>
          </w:rPr>
          <w:t>V88</w:t>
        </w:r>
        <w:r w:rsidR="00191DBA">
          <w:rPr>
            <w:rStyle w:val="TitleChar"/>
          </w:rPr>
          <w:t xml:space="preserve"> – </w:t>
        </w:r>
        <w:r>
          <w:rPr>
            <w:rStyle w:val="TitleChar"/>
          </w:rPr>
          <w:t>Road Train</w:t>
        </w:r>
        <w:r w:rsidR="00191DBA">
          <w:rPr>
            <w:rStyle w:val="TitleChar"/>
          </w:rPr>
          <w:t xml:space="preserve"> – </w:t>
        </w:r>
        <w:r>
          <w:rPr>
            <w:rStyle w:val="TitleChar"/>
          </w:rPr>
          <w:t xml:space="preserve">Tow Coupling Height </w:t>
        </w:r>
        <w:r w:rsidR="0086626E">
          <w:rPr>
            <w:rStyle w:val="TitleChar"/>
          </w:rPr>
          <w:t xml:space="preserve">and Coupling Pivot Positioning </w:t>
        </w:r>
        <w:r>
          <w:rPr>
            <w:rStyle w:val="TitleChar"/>
          </w:rPr>
          <w:t>E</w:t>
        </w:r>
        <w:r w:rsidR="00191DBA">
          <w:rPr>
            <w:rStyle w:val="TitleChar"/>
          </w:rPr>
          <w:t>xemp</w:t>
        </w:r>
        <w:r>
          <w:rPr>
            <w:rStyle w:val="TitleChar"/>
          </w:rPr>
          <w:t>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982"/>
    <w:multiLevelType w:val="hybridMultilevel"/>
    <w:tmpl w:val="DE46A59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90C5413"/>
    <w:multiLevelType w:val="hybridMultilevel"/>
    <w:tmpl w:val="37D8E4F4"/>
    <w:lvl w:ilvl="0" w:tplc="148EEE38">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BA5A5F"/>
    <w:multiLevelType w:val="hybridMultilevel"/>
    <w:tmpl w:val="5BA8D0B0"/>
    <w:lvl w:ilvl="0" w:tplc="0C090011">
      <w:start w:val="1"/>
      <w:numFmt w:val="decimal"/>
      <w:lvlText w:val="%1)"/>
      <w:lvlJc w:val="left"/>
      <w:pPr>
        <w:ind w:left="1919" w:hanging="360"/>
      </w:p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FE013F"/>
    <w:multiLevelType w:val="hybridMultilevel"/>
    <w:tmpl w:val="0DA003CC"/>
    <w:lvl w:ilvl="0" w:tplc="8578D320">
      <w:start w:val="1"/>
      <w:numFmt w:val="decimal"/>
      <w:lvlText w:val="%1."/>
      <w:lvlJc w:val="left"/>
      <w:pPr>
        <w:ind w:left="426" w:hanging="360"/>
      </w:pPr>
      <w:rPr>
        <w:rFonts w:hint="default"/>
        <w:b/>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8" w15:restartNumberingAfterBreak="0">
    <w:nsid w:val="142326A6"/>
    <w:multiLevelType w:val="hybridMultilevel"/>
    <w:tmpl w:val="2F30C7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C02E87"/>
    <w:multiLevelType w:val="hybridMultilevel"/>
    <w:tmpl w:val="E800CA60"/>
    <w:lvl w:ilvl="0" w:tplc="833AC3A8">
      <w:start w:val="1"/>
      <w:numFmt w:val="lowerLetter"/>
      <w:lvlText w:val="%1)"/>
      <w:lvlJc w:val="left"/>
      <w:pPr>
        <w:ind w:left="1080" w:hanging="360"/>
      </w:pPr>
      <w:rPr>
        <w:rFonts w:ascii="Arial"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5701568"/>
    <w:multiLevelType w:val="hybridMultilevel"/>
    <w:tmpl w:val="BE8442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A8C182F"/>
    <w:multiLevelType w:val="multilevel"/>
    <w:tmpl w:val="C716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F14D10"/>
    <w:multiLevelType w:val="hybridMultilevel"/>
    <w:tmpl w:val="35CC3FC8"/>
    <w:lvl w:ilvl="0" w:tplc="F46699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41503C"/>
    <w:multiLevelType w:val="hybridMultilevel"/>
    <w:tmpl w:val="9C52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BDD23E8"/>
    <w:multiLevelType w:val="hybridMultilevel"/>
    <w:tmpl w:val="8890601A"/>
    <w:lvl w:ilvl="0" w:tplc="50A674A4">
      <w:start w:val="1"/>
      <w:numFmt w:val="lowerRoman"/>
      <w:lvlText w:val="(%1)"/>
      <w:lvlJc w:val="left"/>
      <w:pPr>
        <w:ind w:left="1212" w:hanging="360"/>
      </w:pPr>
      <w:rPr>
        <w:rFonts w:ascii="Arial" w:eastAsiaTheme="majorEastAsia" w:hAnsi="Arial" w:cs="Arial"/>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A412C83"/>
    <w:multiLevelType w:val="hybridMultilevel"/>
    <w:tmpl w:val="8DD49F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782ED9"/>
    <w:multiLevelType w:val="hybridMultilevel"/>
    <w:tmpl w:val="54D86186"/>
    <w:lvl w:ilvl="0" w:tplc="CC8004C2">
      <w:start w:val="1"/>
      <w:numFmt w:val="lowerLetter"/>
      <w:lvlText w:val="(%1)"/>
      <w:lvlJc w:val="left"/>
      <w:pPr>
        <w:ind w:left="720" w:hanging="360"/>
      </w:pPr>
      <w:rPr>
        <w:rFonts w:ascii="Lato" w:eastAsiaTheme="majorEastAsia" w:hAnsi="Lato" w:cs="Arial" w:hint="default"/>
        <w:b/>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19A1E3E"/>
    <w:multiLevelType w:val="hybridMultilevel"/>
    <w:tmpl w:val="9708762C"/>
    <w:lvl w:ilvl="0" w:tplc="B10A7090">
      <w:start w:val="1"/>
      <w:numFmt w:val="decimal"/>
      <w:lvlText w:val="%1."/>
      <w:lvlJc w:val="left"/>
      <w:pPr>
        <w:ind w:left="720" w:hanging="360"/>
      </w:pPr>
      <w:rPr>
        <w:i w:val="0"/>
      </w:rPr>
    </w:lvl>
    <w:lvl w:ilvl="1" w:tplc="41C6D404">
      <w:start w:val="1"/>
      <w:numFmt w:val="lowerLetter"/>
      <w:lvlText w:val="(%2)"/>
      <w:lvlJc w:val="right"/>
      <w:pPr>
        <w:ind w:left="1440" w:hanging="360"/>
      </w:pPr>
      <w:rPr>
        <w:rFonts w:hint="default"/>
      </w:rPr>
    </w:lvl>
    <w:lvl w:ilvl="2" w:tplc="148EEE38">
      <w:start w:val="1"/>
      <w:numFmt w:val="lowerRoman"/>
      <w:lvlText w:val="(%3)"/>
      <w:lvlJc w:val="right"/>
      <w:pPr>
        <w:ind w:left="2160" w:hanging="180"/>
      </w:pPr>
      <w:rPr>
        <w:rFonts w:hint="default"/>
      </w:rPr>
    </w:lvl>
    <w:lvl w:ilvl="3" w:tplc="D6CE525A">
      <w:start w:val="1"/>
      <w:numFmt w:val="lowerRoman"/>
      <w:lvlText w:val="(%4)"/>
      <w:lvlJc w:val="left"/>
      <w:pPr>
        <w:ind w:left="2880" w:hanging="360"/>
      </w:pPr>
      <w:rPr>
        <w:rFonts w:ascii="Arial" w:eastAsia="Times New Roman" w:hAnsi="Arial" w:cs="Arial"/>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751B06"/>
    <w:multiLevelType w:val="hybridMultilevel"/>
    <w:tmpl w:val="2F30C7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33E4432"/>
    <w:multiLevelType w:val="hybridMultilevel"/>
    <w:tmpl w:val="EC3C7254"/>
    <w:lvl w:ilvl="0" w:tplc="BB202CA0">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3842BC6"/>
    <w:multiLevelType w:val="multilevel"/>
    <w:tmpl w:val="0C78A7AC"/>
    <w:numStyleLink w:val="Tablebulletlist"/>
  </w:abstractNum>
  <w:abstractNum w:abstractNumId="41" w15:restartNumberingAfterBreak="0">
    <w:nsid w:val="53F7727D"/>
    <w:multiLevelType w:val="hybridMultilevel"/>
    <w:tmpl w:val="41D8744E"/>
    <w:lvl w:ilvl="0" w:tplc="1708DE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46D15AF"/>
    <w:multiLevelType w:val="hybridMultilevel"/>
    <w:tmpl w:val="CBCCE276"/>
    <w:lvl w:ilvl="0" w:tplc="41C6D404">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6E424DC"/>
    <w:multiLevelType w:val="hybridMultilevel"/>
    <w:tmpl w:val="0CAC9FD2"/>
    <w:lvl w:ilvl="0" w:tplc="93EE9E58">
      <w:start w:val="9"/>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636722F4"/>
    <w:multiLevelType w:val="hybridMultilevel"/>
    <w:tmpl w:val="A5DEDAA4"/>
    <w:lvl w:ilvl="0" w:tplc="6AD84D02">
      <w:start w:val="1"/>
      <w:numFmt w:val="lowerLetter"/>
      <w:lvlText w:val="(%1)"/>
      <w:lvlJc w:val="left"/>
      <w:pPr>
        <w:ind w:left="720" w:hanging="360"/>
      </w:pPr>
      <w:rPr>
        <w:rFonts w:ascii="Arial" w:eastAsiaTheme="majorEastAsia" w:hAnsi="Arial" w:cs="Arial" w:hint="default"/>
        <w:b w:val="0"/>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AD06CF5"/>
    <w:multiLevelType w:val="hybridMultilevel"/>
    <w:tmpl w:val="946EA5AE"/>
    <w:lvl w:ilvl="0" w:tplc="148EEE38">
      <w:start w:val="1"/>
      <w:numFmt w:val="lowerRoman"/>
      <w:lvlText w:val="(%1)"/>
      <w:lvlJc w:val="right"/>
      <w:pPr>
        <w:ind w:left="1496" w:hanging="360"/>
      </w:pPr>
      <w:rPr>
        <w:rFonts w:hint="default"/>
      </w:rPr>
    </w:lvl>
    <w:lvl w:ilvl="1" w:tplc="0C090019" w:tentative="1">
      <w:start w:val="1"/>
      <w:numFmt w:val="lowerLetter"/>
      <w:lvlText w:val="%2."/>
      <w:lvlJc w:val="left"/>
      <w:pPr>
        <w:ind w:left="2216" w:hanging="360"/>
      </w:pPr>
    </w:lvl>
    <w:lvl w:ilvl="2" w:tplc="0C09001B" w:tentative="1">
      <w:start w:val="1"/>
      <w:numFmt w:val="lowerRoman"/>
      <w:lvlText w:val="%3."/>
      <w:lvlJc w:val="right"/>
      <w:pPr>
        <w:ind w:left="2936" w:hanging="180"/>
      </w:pPr>
    </w:lvl>
    <w:lvl w:ilvl="3" w:tplc="0C09000F" w:tentative="1">
      <w:start w:val="1"/>
      <w:numFmt w:val="decimal"/>
      <w:lvlText w:val="%4."/>
      <w:lvlJc w:val="left"/>
      <w:pPr>
        <w:ind w:left="3656" w:hanging="360"/>
      </w:pPr>
    </w:lvl>
    <w:lvl w:ilvl="4" w:tplc="0C090019" w:tentative="1">
      <w:start w:val="1"/>
      <w:numFmt w:val="lowerLetter"/>
      <w:lvlText w:val="%5."/>
      <w:lvlJc w:val="left"/>
      <w:pPr>
        <w:ind w:left="4376" w:hanging="360"/>
      </w:pPr>
    </w:lvl>
    <w:lvl w:ilvl="5" w:tplc="0C09001B" w:tentative="1">
      <w:start w:val="1"/>
      <w:numFmt w:val="lowerRoman"/>
      <w:lvlText w:val="%6."/>
      <w:lvlJc w:val="right"/>
      <w:pPr>
        <w:ind w:left="5096" w:hanging="180"/>
      </w:pPr>
    </w:lvl>
    <w:lvl w:ilvl="6" w:tplc="0C09000F" w:tentative="1">
      <w:start w:val="1"/>
      <w:numFmt w:val="decimal"/>
      <w:lvlText w:val="%7."/>
      <w:lvlJc w:val="left"/>
      <w:pPr>
        <w:ind w:left="5816" w:hanging="360"/>
      </w:pPr>
    </w:lvl>
    <w:lvl w:ilvl="7" w:tplc="0C090019" w:tentative="1">
      <w:start w:val="1"/>
      <w:numFmt w:val="lowerLetter"/>
      <w:lvlText w:val="%8."/>
      <w:lvlJc w:val="left"/>
      <w:pPr>
        <w:ind w:left="6536" w:hanging="360"/>
      </w:pPr>
    </w:lvl>
    <w:lvl w:ilvl="8" w:tplc="0C09001B" w:tentative="1">
      <w:start w:val="1"/>
      <w:numFmt w:val="lowerRoman"/>
      <w:lvlText w:val="%9."/>
      <w:lvlJc w:val="right"/>
      <w:pPr>
        <w:ind w:left="7256" w:hanging="180"/>
      </w:pPr>
    </w:lvl>
  </w:abstractNum>
  <w:abstractNum w:abstractNumId="52" w15:restartNumberingAfterBreak="0">
    <w:nsid w:val="722D6D91"/>
    <w:multiLevelType w:val="hybridMultilevel"/>
    <w:tmpl w:val="55529E0C"/>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7453664D"/>
    <w:multiLevelType w:val="multilevel"/>
    <w:tmpl w:val="0C78A7AC"/>
    <w:name w:val="NTG Table Bullet List3322222222222222222"/>
    <w:numStyleLink w:val="Tablebulletlist"/>
  </w:abstractNum>
  <w:abstractNum w:abstractNumId="54" w15:restartNumberingAfterBreak="0">
    <w:nsid w:val="76141D1E"/>
    <w:multiLevelType w:val="multilevel"/>
    <w:tmpl w:val="0C78A7AC"/>
    <w:name w:val="NTG Table Bullet List332222222222"/>
    <w:numStyleLink w:val="Tablebulletlist"/>
  </w:abstractNum>
  <w:abstractNum w:abstractNumId="5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2"/>
  </w:num>
  <w:num w:numId="3">
    <w:abstractNumId w:val="55"/>
  </w:num>
  <w:num w:numId="4">
    <w:abstractNumId w:val="37"/>
  </w:num>
  <w:num w:numId="5">
    <w:abstractNumId w:val="28"/>
  </w:num>
  <w:num w:numId="6">
    <w:abstractNumId w:val="14"/>
  </w:num>
  <w:num w:numId="7">
    <w:abstractNumId w:val="40"/>
  </w:num>
  <w:num w:numId="8">
    <w:abstractNumId w:val="25"/>
  </w:num>
  <w:num w:numId="9">
    <w:abstractNumId w:val="26"/>
  </w:num>
  <w:num w:numId="10">
    <w:abstractNumId w:val="18"/>
  </w:num>
  <w:num w:numId="11">
    <w:abstractNumId w:val="52"/>
  </w:num>
  <w:num w:numId="12">
    <w:abstractNumId w:val="15"/>
  </w:num>
  <w:num w:numId="13">
    <w:abstractNumId w:val="31"/>
  </w:num>
  <w:num w:numId="14">
    <w:abstractNumId w:val="42"/>
  </w:num>
  <w:num w:numId="15">
    <w:abstractNumId w:val="51"/>
  </w:num>
  <w:num w:numId="16">
    <w:abstractNumId w:val="16"/>
  </w:num>
  <w:num w:numId="17">
    <w:abstractNumId w:val="10"/>
  </w:num>
  <w:num w:numId="18">
    <w:abstractNumId w:val="9"/>
  </w:num>
  <w:num w:numId="19">
    <w:abstractNumId w:val="36"/>
  </w:num>
  <w:num w:numId="20">
    <w:abstractNumId w:val="8"/>
  </w:num>
  <w:num w:numId="21">
    <w:abstractNumId w:val="49"/>
  </w:num>
  <w:num w:numId="22">
    <w:abstractNumId w:val="39"/>
  </w:num>
  <w:num w:numId="23">
    <w:abstractNumId w:val="20"/>
  </w:num>
  <w:num w:numId="24">
    <w:abstractNumId w:val="27"/>
  </w:num>
  <w:num w:numId="25">
    <w:abstractNumId w:val="1"/>
  </w:num>
  <w:num w:numId="26">
    <w:abstractNumId w:val="3"/>
  </w:num>
  <w:num w:numId="27">
    <w:abstractNumId w:val="0"/>
  </w:num>
  <w:num w:numId="28">
    <w:abstractNumId w:val="45"/>
  </w:num>
  <w:num w:numId="29">
    <w:abstractNumId w:val="41"/>
  </w:num>
  <w:num w:numId="3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0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2B5B"/>
    <w:rsid w:val="000962C5"/>
    <w:rsid w:val="00097865"/>
    <w:rsid w:val="000A4317"/>
    <w:rsid w:val="000A559C"/>
    <w:rsid w:val="000A67FD"/>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417"/>
    <w:rsid w:val="00150DC0"/>
    <w:rsid w:val="0015394D"/>
    <w:rsid w:val="00156CD4"/>
    <w:rsid w:val="0016153B"/>
    <w:rsid w:val="00162207"/>
    <w:rsid w:val="00162F11"/>
    <w:rsid w:val="00164A3E"/>
    <w:rsid w:val="00166FF6"/>
    <w:rsid w:val="00176123"/>
    <w:rsid w:val="00181620"/>
    <w:rsid w:val="00187130"/>
    <w:rsid w:val="00191DBA"/>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1B52"/>
    <w:rsid w:val="001F59E6"/>
    <w:rsid w:val="00203F1C"/>
    <w:rsid w:val="00206936"/>
    <w:rsid w:val="00206C6F"/>
    <w:rsid w:val="00206FBD"/>
    <w:rsid w:val="00207746"/>
    <w:rsid w:val="00230031"/>
    <w:rsid w:val="00235C01"/>
    <w:rsid w:val="0024288A"/>
    <w:rsid w:val="00247343"/>
    <w:rsid w:val="00265C56"/>
    <w:rsid w:val="00270806"/>
    <w:rsid w:val="002716CD"/>
    <w:rsid w:val="00274D4B"/>
    <w:rsid w:val="0028063E"/>
    <w:rsid w:val="002806F5"/>
    <w:rsid w:val="00281577"/>
    <w:rsid w:val="00283663"/>
    <w:rsid w:val="00287D73"/>
    <w:rsid w:val="002926BC"/>
    <w:rsid w:val="00293A72"/>
    <w:rsid w:val="0029549D"/>
    <w:rsid w:val="002A0160"/>
    <w:rsid w:val="002A30C3"/>
    <w:rsid w:val="002A6F6A"/>
    <w:rsid w:val="002A7712"/>
    <w:rsid w:val="002B38F7"/>
    <w:rsid w:val="002B4F50"/>
    <w:rsid w:val="002B5591"/>
    <w:rsid w:val="002B5739"/>
    <w:rsid w:val="002B6AA4"/>
    <w:rsid w:val="002C1FE9"/>
    <w:rsid w:val="002C571D"/>
    <w:rsid w:val="002D3A57"/>
    <w:rsid w:val="002D4437"/>
    <w:rsid w:val="002D63EE"/>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3049B"/>
    <w:rsid w:val="00342283"/>
    <w:rsid w:val="00343A87"/>
    <w:rsid w:val="00344A36"/>
    <w:rsid w:val="003456F4"/>
    <w:rsid w:val="00347FB6"/>
    <w:rsid w:val="003504FD"/>
    <w:rsid w:val="00350881"/>
    <w:rsid w:val="00357D55"/>
    <w:rsid w:val="00357E83"/>
    <w:rsid w:val="00363513"/>
    <w:rsid w:val="003657E5"/>
    <w:rsid w:val="0036589C"/>
    <w:rsid w:val="00371312"/>
    <w:rsid w:val="00371DC7"/>
    <w:rsid w:val="00377B21"/>
    <w:rsid w:val="00382A7F"/>
    <w:rsid w:val="00390862"/>
    <w:rsid w:val="00390CE3"/>
    <w:rsid w:val="003942FB"/>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0589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2C0D"/>
    <w:rsid w:val="005249F5"/>
    <w:rsid w:val="005260F7"/>
    <w:rsid w:val="00543BD1"/>
    <w:rsid w:val="00552EC0"/>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04FB"/>
    <w:rsid w:val="005C2833"/>
    <w:rsid w:val="005C4B33"/>
    <w:rsid w:val="005E144D"/>
    <w:rsid w:val="005E1500"/>
    <w:rsid w:val="005E3A43"/>
    <w:rsid w:val="005E5AA0"/>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0EA5"/>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16B"/>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47D6"/>
    <w:rsid w:val="0086626E"/>
    <w:rsid w:val="00867019"/>
    <w:rsid w:val="00872EF1"/>
    <w:rsid w:val="008735A9"/>
    <w:rsid w:val="008771B5"/>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8F61F8"/>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02"/>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18E"/>
    <w:rsid w:val="00A567EE"/>
    <w:rsid w:val="00A66E0E"/>
    <w:rsid w:val="00A66F70"/>
    <w:rsid w:val="00A70DD8"/>
    <w:rsid w:val="00A76790"/>
    <w:rsid w:val="00A85D0C"/>
    <w:rsid w:val="00A904C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739E5"/>
    <w:rsid w:val="00B81261"/>
    <w:rsid w:val="00B8223E"/>
    <w:rsid w:val="00B832AE"/>
    <w:rsid w:val="00B86678"/>
    <w:rsid w:val="00B92F9B"/>
    <w:rsid w:val="00B941B3"/>
    <w:rsid w:val="00B96513"/>
    <w:rsid w:val="00BA1D47"/>
    <w:rsid w:val="00BA448C"/>
    <w:rsid w:val="00BA66F0"/>
    <w:rsid w:val="00BB2239"/>
    <w:rsid w:val="00BB2AE7"/>
    <w:rsid w:val="00BB6464"/>
    <w:rsid w:val="00BC1BB8"/>
    <w:rsid w:val="00BD7FE1"/>
    <w:rsid w:val="00BE1205"/>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4D9"/>
    <w:rsid w:val="00C72867"/>
    <w:rsid w:val="00C75E81"/>
    <w:rsid w:val="00C83BB6"/>
    <w:rsid w:val="00C86609"/>
    <w:rsid w:val="00C92B4C"/>
    <w:rsid w:val="00C954F6"/>
    <w:rsid w:val="00CA36A0"/>
    <w:rsid w:val="00CA6BC5"/>
    <w:rsid w:val="00CC571B"/>
    <w:rsid w:val="00CC61CD"/>
    <w:rsid w:val="00CC6C02"/>
    <w:rsid w:val="00CC737B"/>
    <w:rsid w:val="00CD36BF"/>
    <w:rsid w:val="00CD5011"/>
    <w:rsid w:val="00CE640F"/>
    <w:rsid w:val="00CE76BC"/>
    <w:rsid w:val="00CF540E"/>
    <w:rsid w:val="00D02F07"/>
    <w:rsid w:val="00D15D88"/>
    <w:rsid w:val="00D267FE"/>
    <w:rsid w:val="00D27D49"/>
    <w:rsid w:val="00D27EBE"/>
    <w:rsid w:val="00D36A49"/>
    <w:rsid w:val="00D42DD6"/>
    <w:rsid w:val="00D47DC7"/>
    <w:rsid w:val="00D517C6"/>
    <w:rsid w:val="00D71D84"/>
    <w:rsid w:val="00D72464"/>
    <w:rsid w:val="00D72A57"/>
    <w:rsid w:val="00D768EB"/>
    <w:rsid w:val="00D81E17"/>
    <w:rsid w:val="00D82D1E"/>
    <w:rsid w:val="00D832D9"/>
    <w:rsid w:val="00D8665F"/>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D51BB"/>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96E38"/>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601F"/>
    <w:rsid w:val="00EF7859"/>
    <w:rsid w:val="00F014DA"/>
    <w:rsid w:val="00F02591"/>
    <w:rsid w:val="00F205BD"/>
    <w:rsid w:val="00F30AE1"/>
    <w:rsid w:val="00F43CF1"/>
    <w:rsid w:val="00F5696E"/>
    <w:rsid w:val="00F60EFF"/>
    <w:rsid w:val="00F67D2D"/>
    <w:rsid w:val="00F75ED2"/>
    <w:rsid w:val="00F858F2"/>
    <w:rsid w:val="00F860CC"/>
    <w:rsid w:val="00F94398"/>
    <w:rsid w:val="00FA65D1"/>
    <w:rsid w:val="00FB2B56"/>
    <w:rsid w:val="00FB3390"/>
    <w:rsid w:val="00FB55D5"/>
    <w:rsid w:val="00FC12BF"/>
    <w:rsid w:val="00FC2B11"/>
    <w:rsid w:val="00FC2C60"/>
    <w:rsid w:val="00FC770C"/>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CF4939B"/>
  <w15:docId w15:val="{EE1714FF-165D-455D-AD02-9E0CDE3C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F75ED2"/>
    <w:rPr>
      <w:sz w:val="16"/>
      <w:szCs w:val="16"/>
    </w:rPr>
  </w:style>
  <w:style w:type="paragraph" w:styleId="CommentText">
    <w:name w:val="annotation text"/>
    <w:basedOn w:val="Normal"/>
    <w:link w:val="CommentTextChar"/>
    <w:uiPriority w:val="99"/>
    <w:semiHidden/>
    <w:unhideWhenUsed/>
    <w:rsid w:val="00F75ED2"/>
    <w:rPr>
      <w:sz w:val="20"/>
      <w:szCs w:val="20"/>
    </w:rPr>
  </w:style>
  <w:style w:type="character" w:customStyle="1" w:styleId="CommentTextChar">
    <w:name w:val="Comment Text Char"/>
    <w:basedOn w:val="DefaultParagraphFont"/>
    <w:link w:val="CommentText"/>
    <w:uiPriority w:val="99"/>
    <w:semiHidden/>
    <w:rsid w:val="00F75ED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75ED2"/>
    <w:rPr>
      <w:b/>
      <w:bCs/>
    </w:rPr>
  </w:style>
  <w:style w:type="character" w:customStyle="1" w:styleId="CommentSubjectChar">
    <w:name w:val="Comment Subject Char"/>
    <w:basedOn w:val="CommentTextChar"/>
    <w:link w:val="CommentSubject"/>
    <w:uiPriority w:val="99"/>
    <w:semiHidden/>
    <w:rsid w:val="00F75ED2"/>
    <w:rPr>
      <w:rFonts w:ascii="Lato" w:hAnsi="Lato"/>
      <w:b/>
      <w:bCs/>
      <w:sz w:val="20"/>
      <w:szCs w:val="20"/>
    </w:rPr>
  </w:style>
  <w:style w:type="table" w:customStyle="1" w:styleId="TableGrid2">
    <w:name w:val="Table Grid2"/>
    <w:basedOn w:val="TableNormal"/>
    <w:next w:val="TableGrid"/>
    <w:uiPriority w:val="59"/>
    <w:rsid w:val="0086626E"/>
    <w:pPr>
      <w:spacing w:after="0"/>
    </w:pPr>
    <w:rPr>
      <w:rFonts w:ascii="Calibri" w:eastAsia="Times New Roman" w:hAnsi="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vehiclestandards.mvr@nt.gov.au"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6\AppData\Local\Microsoft\Windows\INetCache\IE\CH32IQ02\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2022-07-15T00:00:00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0AE1E7-8775-400B-B5E9-F3DF8B4A2C16}">
  <ds:schemaRefs>
    <ds:schemaRef ds:uri="http://www.w3.org/2001/XMLSchema"/>
  </ds:schemaRefs>
</ds:datastoreItem>
</file>

<file path=customXml/itemProps3.xml><?xml version="1.0" encoding="utf-8"?>
<ds:datastoreItem xmlns:ds="http://schemas.openxmlformats.org/officeDocument/2006/customXml" ds:itemID="{9D1EC1A6-8E6B-4464-91D8-B3D6A02D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16</TotalTime>
  <Pages>6</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V88 – Road Train – Tow Coupling Height and Coupling Pivot Positioning Exemption</vt:lpstr>
    </vt:vector>
  </TitlesOfParts>
  <Company>Infrastructure, Planning and Logistics</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V88 – Road Train – Tow Coupling Height and Coupling Pivot Positioning Exemption</dc:title>
  <dc:creator>Northern Territory Government</dc:creator>
  <cp:lastModifiedBy>Wayne Lo</cp:lastModifiedBy>
  <cp:revision>5</cp:revision>
  <cp:lastPrinted>2020-11-19T00:51:00Z</cp:lastPrinted>
  <dcterms:created xsi:type="dcterms:W3CDTF">2022-07-15T01:36:00Z</dcterms:created>
  <dcterms:modified xsi:type="dcterms:W3CDTF">2022-07-15T02:27:00Z</dcterms:modified>
</cp:coreProperties>
</file>