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C9B3F" w14:textId="59DD2AD2" w:rsidR="00D61FD1" w:rsidRDefault="000F5CAE" w:rsidP="00D61FD1">
      <w:pPr>
        <w:pStyle w:val="Heading1"/>
        <w:rPr>
          <w:lang w:eastAsia="en-AU"/>
        </w:rPr>
      </w:pPr>
      <w:bookmarkStart w:id="0" w:name="_GoBack"/>
      <w:bookmarkEnd w:id="0"/>
      <w:r>
        <w:rPr>
          <w:lang w:eastAsia="en-AU"/>
        </w:rPr>
        <w:t>Lodging an Instrument of Dealing</w:t>
      </w:r>
    </w:p>
    <w:p w14:paraId="2D5DBDBA" w14:textId="519320F8" w:rsidR="000F5CAE" w:rsidRPr="00E34F31" w:rsidRDefault="000F5CAE" w:rsidP="00E34F31">
      <w:pPr>
        <w:tabs>
          <w:tab w:val="center" w:pos="4153"/>
          <w:tab w:val="right" w:pos="8306"/>
        </w:tabs>
        <w:rPr>
          <w:rFonts w:cs="Arial"/>
        </w:rPr>
      </w:pPr>
      <w:r w:rsidRPr="00C414A8">
        <w:rPr>
          <w:rFonts w:cs="Arial"/>
        </w:rPr>
        <w:t>A mineral rights interest (dealing) is not capable of being created, transferred, assigned, mortgaged, charged, devolved or dealt with in any way except by written instrument.  The Minister is not required to decide the validity of information given by a person in an instrument of dealing.</w:t>
      </w:r>
    </w:p>
    <w:p w14:paraId="00445AFF" w14:textId="783C99B2" w:rsidR="000F5CAE" w:rsidRPr="00C414A8" w:rsidRDefault="00AA09D9" w:rsidP="00E34F31">
      <w:pPr>
        <w:tabs>
          <w:tab w:val="center" w:pos="4153"/>
          <w:tab w:val="right" w:pos="8306"/>
        </w:tabs>
        <w:rPr>
          <w:rFonts w:cs="Arial"/>
        </w:rPr>
      </w:pPr>
      <w:r>
        <w:rPr>
          <w:rFonts w:cs="Arial"/>
        </w:rPr>
        <w:t>Approved forms are available on the</w:t>
      </w:r>
      <w:r w:rsidR="000F5CAE" w:rsidRPr="00C414A8">
        <w:rPr>
          <w:rFonts w:cs="Arial"/>
        </w:rPr>
        <w:t xml:space="preserve"> </w:t>
      </w:r>
      <w:hyperlink r:id="rId9" w:history="1">
        <w:r>
          <w:rPr>
            <w:rStyle w:val="Hyperlink"/>
            <w:rFonts w:cs="Arial"/>
          </w:rPr>
          <w:t>Departments website</w:t>
        </w:r>
      </w:hyperlink>
      <w:r>
        <w:rPr>
          <w:rStyle w:val="FootnoteReference"/>
          <w:rFonts w:cs="Arial"/>
        </w:rPr>
        <w:footnoteReference w:id="1"/>
      </w:r>
      <w:r w:rsidRPr="00AA09D9">
        <w:rPr>
          <w:rStyle w:val="Hyperlink"/>
          <w:rFonts w:cs="Arial"/>
          <w:u w:val="none"/>
        </w:rPr>
        <w:t xml:space="preserve"> </w:t>
      </w:r>
      <w:r w:rsidR="000F5CAE" w:rsidRPr="00C414A8">
        <w:rPr>
          <w:rFonts w:cs="Arial"/>
        </w:rPr>
        <w:t>and must be used in all instances.  You must ensure that all information required on the approved form is completed and, where required, appropriate attachments are provided.  Lodgement must be accompanied by the appropriate fees mentioned under Schedule 1 Part 4 of the Regulations.  These fees relate to each mineral title the subject of the dealing.</w:t>
      </w:r>
    </w:p>
    <w:p w14:paraId="7E1BDE9C" w14:textId="504CE475" w:rsidR="00D61FD1" w:rsidRDefault="000F5CAE" w:rsidP="00D61FD1">
      <w:pPr>
        <w:pStyle w:val="Heading1"/>
        <w:rPr>
          <w:lang w:eastAsia="en-AU"/>
        </w:rPr>
      </w:pPr>
      <w:r>
        <w:rPr>
          <w:lang w:eastAsia="en-AU"/>
        </w:rPr>
        <w:t>Transfers</w:t>
      </w:r>
    </w:p>
    <w:p w14:paraId="364F7FD9" w14:textId="00D5EDDE" w:rsidR="000F5CAE" w:rsidRPr="00C414A8" w:rsidRDefault="000F5CAE" w:rsidP="00E34F31">
      <w:pPr>
        <w:tabs>
          <w:tab w:val="center" w:pos="4153"/>
          <w:tab w:val="right" w:pos="8306"/>
        </w:tabs>
        <w:rPr>
          <w:rFonts w:cs="Arial"/>
        </w:rPr>
      </w:pPr>
      <w:r w:rsidRPr="00C414A8">
        <w:rPr>
          <w:rFonts w:cs="Arial"/>
        </w:rPr>
        <w:t xml:space="preserve">All transfers must be assessed for Northern Territory stamp duty prior to lodgement with the Department. </w:t>
      </w:r>
    </w:p>
    <w:p w14:paraId="4D8F8BF9" w14:textId="2A131AB7" w:rsidR="000F5CAE" w:rsidRPr="00C414A8" w:rsidRDefault="000F5CAE" w:rsidP="00E34F31">
      <w:pPr>
        <w:tabs>
          <w:tab w:val="center" w:pos="4153"/>
          <w:tab w:val="right" w:pos="8306"/>
        </w:tabs>
        <w:rPr>
          <w:rFonts w:cs="Arial"/>
        </w:rPr>
      </w:pPr>
      <w:r w:rsidRPr="00C414A8">
        <w:rPr>
          <w:rFonts w:cs="Arial"/>
        </w:rPr>
        <w:t>Transfers can now be approved and registered against mineral title applications.</w:t>
      </w:r>
    </w:p>
    <w:p w14:paraId="04F4625C" w14:textId="39F4B9BF" w:rsidR="000F5CAE" w:rsidRPr="00C414A8" w:rsidRDefault="000F5CAE" w:rsidP="00E34F31">
      <w:pPr>
        <w:tabs>
          <w:tab w:val="center" w:pos="4153"/>
          <w:tab w:val="right" w:pos="8306"/>
        </w:tabs>
        <w:rPr>
          <w:rFonts w:cs="Arial"/>
        </w:rPr>
      </w:pPr>
      <w:r w:rsidRPr="00C414A8">
        <w:rPr>
          <w:rFonts w:cs="Arial"/>
        </w:rPr>
        <w:t xml:space="preserve">All mineral titles subject to the transfer must have complied substantially with the conditions of each title prior to the transfer being approved and registered by the Minister. </w:t>
      </w:r>
    </w:p>
    <w:p w14:paraId="511ADF98" w14:textId="7C869C80" w:rsidR="000F5CAE" w:rsidRPr="00C414A8" w:rsidRDefault="000F5CAE" w:rsidP="00E34F31">
      <w:pPr>
        <w:tabs>
          <w:tab w:val="center" w:pos="4153"/>
          <w:tab w:val="right" w:pos="8306"/>
        </w:tabs>
        <w:rPr>
          <w:rFonts w:cs="Arial"/>
        </w:rPr>
      </w:pPr>
      <w:r w:rsidRPr="00C414A8">
        <w:rPr>
          <w:rFonts w:cs="Arial"/>
        </w:rPr>
        <w:t>You may also make application to the Minister for a notice of approval of the transfer to be provided.  Such a notice would include a statement that the transfer will be registered on a certain date or occurrence, or subject to a condition, specified in the notice.</w:t>
      </w:r>
    </w:p>
    <w:p w14:paraId="2A5FDA0F" w14:textId="532EE75D" w:rsidR="000F5CAE" w:rsidRPr="00C414A8" w:rsidRDefault="000F5CAE" w:rsidP="00E34F31">
      <w:r w:rsidRPr="00C414A8">
        <w:t xml:space="preserve">The incoming party should always undertake normal “due diligence” procedures by requesting a Title Search to confirm that the title/s are in ‘good standing’, including all reporting requirements.  </w:t>
      </w:r>
    </w:p>
    <w:p w14:paraId="57FD7B6A" w14:textId="496EC735" w:rsidR="000F5CAE" w:rsidRPr="00E34F31" w:rsidRDefault="000F5CAE" w:rsidP="00E34F31">
      <w:r w:rsidRPr="00C414A8">
        <w:t>A Title Search can be obtained by email (</w:t>
      </w:r>
      <w:hyperlink r:id="rId10" w:history="1">
        <w:r w:rsidRPr="00C414A8">
          <w:rPr>
            <w:color w:val="0000FF"/>
            <w:u w:val="single"/>
          </w:rPr>
          <w:t>titles.info@nt.gov.au</w:t>
        </w:r>
      </w:hyperlink>
      <w:r w:rsidRPr="00C414A8">
        <w:t>) to the Department which entitles you to view a full extract from the register.  A fee is payable for this request.</w:t>
      </w:r>
    </w:p>
    <w:p w14:paraId="32746DD2" w14:textId="0B850B1F" w:rsidR="000F5CAE" w:rsidRPr="00C414A8" w:rsidRDefault="000F5CAE" w:rsidP="00E34F31">
      <w:r w:rsidRPr="00C414A8">
        <w:t xml:space="preserve">Once the transfer is </w:t>
      </w:r>
      <w:r w:rsidR="00AA09D9" w:rsidRPr="00C414A8">
        <w:t>registered,</w:t>
      </w:r>
      <w:r w:rsidRPr="00C414A8">
        <w:t xml:space="preserve"> the incoming party agrees to comply with the existing expenditure requirements and all grant conditions, as </w:t>
      </w:r>
      <w:r w:rsidRPr="005737B2">
        <w:t>prescribed by the Mineral Titles Act</w:t>
      </w:r>
      <w:r w:rsidR="00AA09D9" w:rsidRPr="005737B2">
        <w:t xml:space="preserve"> 2010 (</w:t>
      </w:r>
      <w:r w:rsidR="00AA09D9">
        <w:t>the Act)</w:t>
      </w:r>
      <w:r w:rsidRPr="00C414A8">
        <w:t>.</w:t>
      </w:r>
    </w:p>
    <w:p w14:paraId="377E9552" w14:textId="77777777" w:rsidR="00AA09D9" w:rsidRDefault="00AA09D9">
      <w:pPr>
        <w:rPr>
          <w:rFonts w:ascii="Lato Semibold" w:eastAsia="Times New Roman" w:hAnsi="Lato Semibold"/>
          <w:color w:val="1F1F5F"/>
          <w:kern w:val="32"/>
          <w:sz w:val="36"/>
          <w:szCs w:val="32"/>
          <w:lang w:eastAsia="en-AU"/>
        </w:rPr>
      </w:pPr>
      <w:r>
        <w:rPr>
          <w:lang w:eastAsia="en-AU"/>
        </w:rPr>
        <w:br w:type="page"/>
      </w:r>
    </w:p>
    <w:p w14:paraId="146A0833" w14:textId="533BC843" w:rsidR="00D61FD1" w:rsidRDefault="000F5CAE" w:rsidP="00D61FD1">
      <w:pPr>
        <w:pStyle w:val="Heading1"/>
        <w:rPr>
          <w:lang w:eastAsia="en-AU"/>
        </w:rPr>
      </w:pPr>
      <w:r>
        <w:rPr>
          <w:lang w:eastAsia="en-AU"/>
        </w:rPr>
        <w:lastRenderedPageBreak/>
        <w:t>Agreements</w:t>
      </w:r>
    </w:p>
    <w:p w14:paraId="5B919D35" w14:textId="30E1F617" w:rsidR="000F5CAE" w:rsidRPr="008338AF" w:rsidRDefault="000F5CAE" w:rsidP="00E34F31">
      <w:r w:rsidRPr="00C414A8">
        <w:t xml:space="preserve">Under the </w:t>
      </w:r>
      <w:r w:rsidR="00B71311">
        <w:rPr>
          <w:iCs/>
        </w:rPr>
        <w:t>Act</w:t>
      </w:r>
      <w:r w:rsidRPr="00C414A8">
        <w:t>, an agreement is referred to as a general dealing.  This type of dealing does not require Ministerial approval.</w:t>
      </w:r>
    </w:p>
    <w:p w14:paraId="123C800A" w14:textId="3BA30349" w:rsidR="000F5CAE" w:rsidRPr="00C414A8" w:rsidRDefault="000F5CAE" w:rsidP="00E34F31">
      <w:r w:rsidRPr="00C414A8">
        <w:rPr>
          <w:rFonts w:cs="Arial"/>
        </w:rPr>
        <w:t>All agreements must be assessed for Northern Territory stamp duty prior to lodgement with the Department.</w:t>
      </w:r>
    </w:p>
    <w:p w14:paraId="072DC673" w14:textId="77C1CDF3" w:rsidR="000F5CAE" w:rsidRPr="00C414A8" w:rsidRDefault="000F5CAE" w:rsidP="00E34F31">
      <w:r w:rsidRPr="00C414A8">
        <w:t>Agreements may be lodged against applications for mineral titles and granted mineral titles.</w:t>
      </w:r>
      <w:r w:rsidRPr="00C414A8">
        <w:rPr>
          <w:color w:val="FF0000"/>
        </w:rPr>
        <w:t xml:space="preserve"> </w:t>
      </w:r>
    </w:p>
    <w:p w14:paraId="107D420B" w14:textId="0D271A1B" w:rsidR="000F5CAE" w:rsidRPr="00C414A8" w:rsidRDefault="000F5CAE" w:rsidP="008338AF">
      <w:r w:rsidRPr="00C414A8">
        <w:t>If the agreement is a Joint Venture with the incoming party earning equity, that equity can only be registered by way of transfer.</w:t>
      </w:r>
      <w:r>
        <w:t xml:space="preserve">  </w:t>
      </w:r>
      <w:r w:rsidRPr="00C414A8">
        <w:t xml:space="preserve">Regardless of the contents of any agreement, the title holder has the ultimate responsibility to ensure that all statutory requirements under the </w:t>
      </w:r>
      <w:r w:rsidR="00B71311">
        <w:t xml:space="preserve">Act </w:t>
      </w:r>
      <w:r w:rsidRPr="00C414A8">
        <w:t xml:space="preserve">are met. </w:t>
      </w:r>
    </w:p>
    <w:p w14:paraId="4A1C2047" w14:textId="5ED64880" w:rsidR="00AB59F7" w:rsidRPr="008338AF" w:rsidRDefault="000F5CAE" w:rsidP="008338AF">
      <w:pPr>
        <w:tabs>
          <w:tab w:val="left" w:pos="-142"/>
          <w:tab w:val="left" w:pos="9498"/>
        </w:tabs>
      </w:pPr>
      <w:r w:rsidRPr="00C414A8">
        <w:t>The Minister must register the Agreement unless satisfied there are circumstances why he or she should</w:t>
      </w:r>
      <w:r>
        <w:t xml:space="preserve"> </w:t>
      </w:r>
      <w:r w:rsidRPr="00C414A8">
        <w:t>refuse to do so.</w:t>
      </w:r>
    </w:p>
    <w:p w14:paraId="2C4C63CF" w14:textId="41BB7B92" w:rsidR="000F5CAE" w:rsidRPr="005737B2" w:rsidRDefault="000F5CAE" w:rsidP="00AA09D9">
      <w:pPr>
        <w:shd w:val="clear" w:color="auto" w:fill="FFFFFF"/>
        <w:rPr>
          <w:b/>
        </w:rPr>
      </w:pPr>
      <w:r w:rsidRPr="005737B2">
        <w:rPr>
          <w:b/>
        </w:rPr>
        <w:t xml:space="preserve">Severe penalties apply for failure to pay duty on a dutiable instrument.  The purported approval and registration of that instrument will be null and void by virtue of Section 9A of the </w:t>
      </w:r>
      <w:r w:rsidRPr="005737B2">
        <w:rPr>
          <w:b/>
          <w:iCs/>
        </w:rPr>
        <w:t>Stamp Duty Act</w:t>
      </w:r>
      <w:r w:rsidR="00AB59F7" w:rsidRPr="005737B2">
        <w:rPr>
          <w:b/>
          <w:iCs/>
        </w:rPr>
        <w:t xml:space="preserve"> 1978</w:t>
      </w:r>
      <w:r w:rsidRPr="005737B2">
        <w:rPr>
          <w:b/>
        </w:rPr>
        <w:t>.</w:t>
      </w:r>
    </w:p>
    <w:p w14:paraId="104FB007" w14:textId="7C202F5B" w:rsidR="000F5CAE" w:rsidRDefault="000F5CAE" w:rsidP="000F5CAE">
      <w:pPr>
        <w:pStyle w:val="Heading1"/>
        <w:rPr>
          <w:lang w:bidi="en-US"/>
        </w:rPr>
      </w:pPr>
      <w:r>
        <w:rPr>
          <w:lang w:bidi="en-US"/>
        </w:rPr>
        <w:t>Mortgage</w:t>
      </w:r>
    </w:p>
    <w:p w14:paraId="6DBAAD58" w14:textId="71F7ED11" w:rsidR="000F5CAE" w:rsidRPr="008338AF" w:rsidRDefault="000F5CAE" w:rsidP="008338AF">
      <w:r w:rsidRPr="00C414A8">
        <w:t xml:space="preserve">Under the </w:t>
      </w:r>
      <w:r w:rsidR="00B71311">
        <w:t>Act</w:t>
      </w:r>
      <w:r w:rsidRPr="00C414A8">
        <w:t>, a Mortgage is referred to as a general dealing.  This type of dealing does not require Ministerial approval.</w:t>
      </w:r>
    </w:p>
    <w:p w14:paraId="6097AA76" w14:textId="273361CD" w:rsidR="000F5CAE" w:rsidRPr="008338AF" w:rsidRDefault="000F5CAE" w:rsidP="008338AF">
      <w:r w:rsidRPr="00C414A8">
        <w:t>The Minister must register the general dealing unless satisfied there are circumstances why he or she should refuse to do so.</w:t>
      </w:r>
    </w:p>
    <w:p w14:paraId="35734DEE" w14:textId="77777777" w:rsidR="000F5CAE" w:rsidRPr="00C414A8" w:rsidRDefault="000F5CAE" w:rsidP="008338AF">
      <w:pPr>
        <w:rPr>
          <w:rFonts w:cs="Arial"/>
        </w:rPr>
      </w:pPr>
      <w:r w:rsidRPr="00C414A8">
        <w:rPr>
          <w:rFonts w:cs="Arial"/>
        </w:rPr>
        <w:t>A copy of the mortgage document must be provided.</w:t>
      </w:r>
    </w:p>
    <w:p w14:paraId="6CA74C55" w14:textId="03DC3DAA" w:rsidR="000F5CAE" w:rsidRDefault="000F5CAE" w:rsidP="000F5CAE">
      <w:pPr>
        <w:pStyle w:val="Heading1"/>
        <w:rPr>
          <w:lang w:bidi="en-US"/>
        </w:rPr>
      </w:pPr>
      <w:r>
        <w:rPr>
          <w:lang w:bidi="en-US"/>
        </w:rPr>
        <w:t>Devolution</w:t>
      </w:r>
    </w:p>
    <w:p w14:paraId="7AF93250" w14:textId="28575983" w:rsidR="000F5CAE" w:rsidRPr="00C414A8" w:rsidRDefault="000F5CAE" w:rsidP="008338AF">
      <w:pPr>
        <w:ind w:right="-1"/>
      </w:pPr>
      <w:r w:rsidRPr="00C414A8">
        <w:t>Devolution is the legal term used for the transmission of property consequential upon the death of a person, the bankruptcy of a person or the receivership, bankruptcy and/or liquidation of a company who are the holder of an application or mineral title or of an interest therein.  The application or mineral title will devolve onto the trustee or representative.</w:t>
      </w:r>
    </w:p>
    <w:p w14:paraId="7D87B63E" w14:textId="24ADF0C5" w:rsidR="000F5CAE" w:rsidRPr="00C414A8" w:rsidRDefault="000F5CAE" w:rsidP="008338AF">
      <w:pPr>
        <w:tabs>
          <w:tab w:val="center" w:pos="4153"/>
          <w:tab w:val="right" w:pos="8306"/>
        </w:tabs>
        <w:ind w:right="-1"/>
        <w:rPr>
          <w:rFonts w:cs="Arial"/>
        </w:rPr>
      </w:pPr>
      <w:r w:rsidRPr="00C414A8">
        <w:rPr>
          <w:rFonts w:cs="Arial"/>
        </w:rPr>
        <w:t>A person on whom a mineral rights interest has devolved by operation of law must apply in the approved form to the Minister for registration of the devolution.</w:t>
      </w:r>
    </w:p>
    <w:p w14:paraId="49243C2E" w14:textId="3FFA7C4D" w:rsidR="000F5CAE" w:rsidRPr="005737B2" w:rsidRDefault="000F5CAE" w:rsidP="008338AF">
      <w:pPr>
        <w:tabs>
          <w:tab w:val="center" w:pos="4153"/>
          <w:tab w:val="right" w:pos="8306"/>
        </w:tabs>
        <w:ind w:right="-1"/>
        <w:rPr>
          <w:rFonts w:cs="Arial"/>
        </w:rPr>
      </w:pPr>
      <w:r w:rsidRPr="005737B2">
        <w:rPr>
          <w:rFonts w:cs="Arial"/>
        </w:rPr>
        <w:t xml:space="preserve">A copy of the “Grant of Probate” issued by order of the Supreme Court, accompanied by a copy of the Will or Authority under Section 35 of the </w:t>
      </w:r>
      <w:r w:rsidRPr="005737B2">
        <w:rPr>
          <w:rFonts w:cs="Arial"/>
          <w:iCs/>
        </w:rPr>
        <w:t>Public Trustee Ac</w:t>
      </w:r>
      <w:r w:rsidR="00AB59F7" w:rsidRPr="005737B2">
        <w:rPr>
          <w:rFonts w:cs="Arial"/>
          <w:iCs/>
        </w:rPr>
        <w:t>t 1979</w:t>
      </w:r>
      <w:r w:rsidRPr="005737B2">
        <w:rPr>
          <w:rFonts w:cs="Arial"/>
        </w:rPr>
        <w:t>, or certified copy of appointment as Liquidator/Receiver in Bankruptcy is required.</w:t>
      </w:r>
    </w:p>
    <w:p w14:paraId="3BE37369" w14:textId="42A26781" w:rsidR="008338AF" w:rsidRDefault="000F5CAE">
      <w:r w:rsidRPr="005737B2">
        <w:t>If no Will has been left by the deceased you can apply to the Supreme Court for “Letter of Administration”, which is a legal document naming someone to administer an estate when no executor has been named, due to the absence of a will.</w:t>
      </w:r>
      <w:r w:rsidR="008338AF">
        <w:br w:type="page"/>
      </w:r>
    </w:p>
    <w:p w14:paraId="52AE2478" w14:textId="077F5B6F" w:rsidR="000F5CAE" w:rsidRDefault="000F5CAE" w:rsidP="008338AF">
      <w:r>
        <w:lastRenderedPageBreak/>
        <w:t>The court may grant administration of the estate of the intestate person to:</w:t>
      </w:r>
    </w:p>
    <w:p w14:paraId="7DB9F6B1" w14:textId="77777777" w:rsidR="000F5CAE" w:rsidRDefault="000F5CAE" w:rsidP="008338AF">
      <w:pPr>
        <w:numPr>
          <w:ilvl w:val="0"/>
          <w:numId w:val="48"/>
        </w:numPr>
      </w:pPr>
      <w:r>
        <w:t>The spouse or de facto partner of the deceased;</w:t>
      </w:r>
    </w:p>
    <w:p w14:paraId="6239E21B" w14:textId="77777777" w:rsidR="000F5CAE" w:rsidRDefault="000F5CAE" w:rsidP="008338AF">
      <w:pPr>
        <w:numPr>
          <w:ilvl w:val="0"/>
          <w:numId w:val="48"/>
        </w:numPr>
      </w:pPr>
      <w:r>
        <w:t>One or more of the next of kin;</w:t>
      </w:r>
    </w:p>
    <w:p w14:paraId="61A3FEBF" w14:textId="77777777" w:rsidR="000F5CAE" w:rsidRDefault="000F5CAE" w:rsidP="008338AF">
      <w:pPr>
        <w:numPr>
          <w:ilvl w:val="0"/>
          <w:numId w:val="48"/>
        </w:numPr>
      </w:pPr>
      <w:r>
        <w:t>The spouse or defector partner conjointly with one or more of the next of kin; or</w:t>
      </w:r>
    </w:p>
    <w:p w14:paraId="6B70D687" w14:textId="77777777" w:rsidR="000F5CAE" w:rsidRDefault="000F5CAE" w:rsidP="008338AF">
      <w:pPr>
        <w:numPr>
          <w:ilvl w:val="0"/>
          <w:numId w:val="48"/>
        </w:numPr>
      </w:pPr>
      <w:r>
        <w:t>Such person, whether a creditor or not of the deceased, as the court thinks fit.</w:t>
      </w:r>
    </w:p>
    <w:p w14:paraId="3459277C" w14:textId="127668CD" w:rsidR="000F5CAE" w:rsidRDefault="00AE5C71" w:rsidP="008338AF">
      <w:r>
        <w:t xml:space="preserve">Information on Wills and </w:t>
      </w:r>
      <w:r w:rsidR="000F5CAE">
        <w:t xml:space="preserve">Probate can be found </w:t>
      </w:r>
      <w:r w:rsidR="00AA09D9">
        <w:t xml:space="preserve">on the </w:t>
      </w:r>
      <w:hyperlink r:id="rId11" w:history="1">
        <w:r w:rsidR="00AA09D9" w:rsidRPr="00AA09D9">
          <w:rPr>
            <w:rStyle w:val="Hyperlink"/>
          </w:rPr>
          <w:t>Supreme Court website</w:t>
        </w:r>
      </w:hyperlink>
      <w:r w:rsidR="00AA09D9">
        <w:rPr>
          <w:rStyle w:val="FootnoteReference"/>
        </w:rPr>
        <w:footnoteReference w:id="2"/>
      </w:r>
      <w:r w:rsidR="00AA09D9">
        <w:t>.</w:t>
      </w:r>
    </w:p>
    <w:p w14:paraId="33366140" w14:textId="4CD6D7F9" w:rsidR="000F5CAE" w:rsidRDefault="00AE5C71" w:rsidP="000F5CAE">
      <w:pPr>
        <w:pStyle w:val="Heading1"/>
        <w:rPr>
          <w:lang w:bidi="en-US"/>
        </w:rPr>
      </w:pPr>
      <w:r>
        <w:rPr>
          <w:lang w:bidi="en-US"/>
        </w:rPr>
        <w:t>Further information</w:t>
      </w:r>
    </w:p>
    <w:p w14:paraId="54412586" w14:textId="648FC0FD" w:rsidR="000F5CAE" w:rsidRPr="00C414A8" w:rsidRDefault="005D0743" w:rsidP="00E34F31">
      <w:pPr>
        <w:rPr>
          <w:rFonts w:cs="Arial"/>
        </w:rPr>
      </w:pPr>
      <w:r>
        <w:rPr>
          <w:rFonts w:cs="Arial"/>
        </w:rPr>
        <w:t>Mineral Titles</w:t>
      </w:r>
    </w:p>
    <w:p w14:paraId="624966B6" w14:textId="77777777" w:rsidR="000F5CAE" w:rsidRPr="00C414A8" w:rsidRDefault="000F5CAE" w:rsidP="00E34F31">
      <w:pPr>
        <w:rPr>
          <w:rFonts w:cs="Arial"/>
        </w:rPr>
      </w:pPr>
      <w:r w:rsidRPr="00C414A8">
        <w:rPr>
          <w:rFonts w:cs="Arial"/>
        </w:rPr>
        <w:t>5</w:t>
      </w:r>
      <w:r w:rsidRPr="00C414A8">
        <w:rPr>
          <w:rFonts w:cs="Arial"/>
          <w:vertAlign w:val="superscript"/>
        </w:rPr>
        <w:t>th</w:t>
      </w:r>
      <w:r w:rsidRPr="00C414A8">
        <w:rPr>
          <w:rFonts w:cs="Arial"/>
        </w:rPr>
        <w:t xml:space="preserve"> Floor Centrepoint Building, The Mall</w:t>
      </w:r>
    </w:p>
    <w:p w14:paraId="34F63693" w14:textId="77777777" w:rsidR="000F5CAE" w:rsidRPr="00C414A8" w:rsidRDefault="000F5CAE" w:rsidP="00E34F31">
      <w:pPr>
        <w:rPr>
          <w:rFonts w:cs="Arial"/>
        </w:rPr>
      </w:pPr>
      <w:r w:rsidRPr="00C414A8">
        <w:rPr>
          <w:rFonts w:cs="Arial"/>
        </w:rPr>
        <w:t>Darwin, Northern Territory</w:t>
      </w:r>
    </w:p>
    <w:p w14:paraId="649872CD" w14:textId="77777777" w:rsidR="000F5CAE" w:rsidRPr="00C414A8" w:rsidRDefault="000F5CAE" w:rsidP="00E34F31">
      <w:pPr>
        <w:rPr>
          <w:rFonts w:cs="Arial"/>
        </w:rPr>
      </w:pPr>
      <w:r w:rsidRPr="00C414A8">
        <w:rPr>
          <w:rFonts w:cs="Arial"/>
        </w:rPr>
        <w:t>Phone: 08 8999 5322</w:t>
      </w:r>
      <w:r>
        <w:rPr>
          <w:rFonts w:cs="Arial"/>
        </w:rPr>
        <w:tab/>
      </w:r>
      <w:r>
        <w:rPr>
          <w:rFonts w:cs="Arial"/>
        </w:rPr>
        <w:tab/>
      </w:r>
    </w:p>
    <w:p w14:paraId="477914AA" w14:textId="25CB0826" w:rsidR="000F5CAE" w:rsidRPr="00C414A8" w:rsidRDefault="000F5CAE" w:rsidP="00E34F31">
      <w:pPr>
        <w:rPr>
          <w:rFonts w:cs="Arial"/>
        </w:rPr>
      </w:pPr>
      <w:r w:rsidRPr="00C414A8">
        <w:rPr>
          <w:rFonts w:cs="Arial"/>
        </w:rPr>
        <w:t>Email:</w:t>
      </w:r>
      <w:r w:rsidR="00B273D5">
        <w:rPr>
          <w:rFonts w:cs="Arial"/>
        </w:rPr>
        <w:t xml:space="preserve"> </w:t>
      </w:r>
      <w:hyperlink r:id="rId12" w:history="1">
        <w:r w:rsidRPr="00C414A8">
          <w:rPr>
            <w:rStyle w:val="Hyperlink"/>
            <w:rFonts w:cs="Arial"/>
          </w:rPr>
          <w:t>titles.info@nt.gov.au</w:t>
        </w:r>
      </w:hyperlink>
    </w:p>
    <w:p w14:paraId="152B21AA" w14:textId="210904C6" w:rsidR="008338AF" w:rsidRPr="00136553" w:rsidRDefault="008338AF" w:rsidP="008338AF">
      <w:pPr>
        <w:ind w:right="-1"/>
        <w:rPr>
          <w:sz w:val="20"/>
        </w:rPr>
      </w:pPr>
      <w:r w:rsidRPr="00136553">
        <w:rPr>
          <w:b/>
          <w:sz w:val="20"/>
        </w:rPr>
        <w:t xml:space="preserve">Disclaimer </w:t>
      </w:r>
      <w:r w:rsidRPr="00136553">
        <w:rPr>
          <w:sz w:val="20"/>
        </w:rPr>
        <w:t xml:space="preserve">Whilst this information bulletin has been provided to assist applicants in their compliance with the </w:t>
      </w:r>
      <w:r w:rsidR="00AA09D9">
        <w:rPr>
          <w:sz w:val="20"/>
        </w:rPr>
        <w:t>Act</w:t>
      </w:r>
      <w:r w:rsidRPr="00136553">
        <w:rPr>
          <w:sz w:val="20"/>
        </w:rPr>
        <w:t xml:space="preserve">, it is incumbent on them to acquaint themselves with the provisions of the </w:t>
      </w:r>
      <w:r w:rsidRPr="00AA09D9">
        <w:rPr>
          <w:sz w:val="20"/>
        </w:rPr>
        <w:t>Act</w:t>
      </w:r>
      <w:r w:rsidRPr="00136553">
        <w:rPr>
          <w:i/>
          <w:sz w:val="20"/>
        </w:rPr>
        <w:t xml:space="preserve"> </w:t>
      </w:r>
      <w:r w:rsidRPr="00136553">
        <w:rPr>
          <w:sz w:val="20"/>
        </w:rPr>
        <w:t xml:space="preserve">and all other laws of the Northern Territory as are applicable.  Fees are subject to change without notice. </w:t>
      </w:r>
    </w:p>
    <w:p w14:paraId="1C8ECF99" w14:textId="77777777" w:rsidR="000F5CAE" w:rsidRPr="000F5CAE" w:rsidRDefault="000F5CAE" w:rsidP="000F5CAE">
      <w:pPr>
        <w:rPr>
          <w:lang w:bidi="en-US"/>
        </w:rPr>
      </w:pPr>
    </w:p>
    <w:sectPr w:rsidR="000F5CAE" w:rsidRPr="000F5CAE" w:rsidSect="00CC571B">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F3C6A" w14:textId="77777777" w:rsidR="00A30F16" w:rsidRDefault="00A30F16" w:rsidP="007332FF">
      <w:r>
        <w:separator/>
      </w:r>
    </w:p>
  </w:endnote>
  <w:endnote w:type="continuationSeparator" w:id="0">
    <w:p w14:paraId="411EDAAA" w14:textId="77777777" w:rsidR="00A30F16" w:rsidRDefault="00A30F1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Lato Semibold">
    <w:altName w:val="Segoe U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84F4" w14:textId="77777777" w:rsidR="00996655" w:rsidRDefault="00996655" w:rsidP="0099665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96655" w:rsidRPr="00132658" w14:paraId="3F285AD3" w14:textId="77777777" w:rsidTr="001D258A">
      <w:trPr>
        <w:cantSplit/>
        <w:trHeight w:hRule="exact" w:val="567"/>
      </w:trPr>
      <w:tc>
        <w:tcPr>
          <w:tcW w:w="10318" w:type="dxa"/>
          <w:vAlign w:val="bottom"/>
        </w:tcPr>
        <w:p w14:paraId="4417442E" w14:textId="49BBD4B2" w:rsidR="00996655" w:rsidRPr="00750D2F" w:rsidRDefault="00996655" w:rsidP="00996655">
          <w:pPr>
            <w:spacing w:after="0"/>
            <w:rPr>
              <w:rStyle w:val="PageNumber"/>
            </w:rPr>
          </w:pPr>
          <w:r w:rsidRPr="00750D2F">
            <w:rPr>
              <w:rStyle w:val="PageNumber"/>
            </w:rPr>
            <w:t xml:space="preserve">Department of </w:t>
          </w:r>
          <w:sdt>
            <w:sdtPr>
              <w:rPr>
                <w:rStyle w:val="PageNumber"/>
                <w:b/>
              </w:rPr>
              <w:alias w:val="Company"/>
              <w:tag w:val=""/>
              <w:id w:val="310921806"/>
              <w:placeholder>
                <w:docPart w:val="BB8E84CE114548338F5A87A5674AEF5F"/>
              </w:placeholder>
              <w:dataBinding w:prefixMappings="xmlns:ns0='http://schemas.openxmlformats.org/officeDocument/2006/extended-properties' " w:xpath="/ns0:Properties[1]/ns0:Company[1]" w:storeItemID="{6668398D-A668-4E3E-A5EB-62B293D839F1}"/>
              <w15:color w:val="000000"/>
              <w:text w:multiLine="1"/>
            </w:sdtPr>
            <w:sdtEndPr>
              <w:rPr>
                <w:rStyle w:val="PageNumber"/>
              </w:rPr>
            </w:sdtEndPr>
            <w:sdtContent>
              <w:r w:rsidR="00D85672">
                <w:rPr>
                  <w:rStyle w:val="PageNumber"/>
                  <w:b/>
                </w:rPr>
                <w:t>Industry, Tourism and Trade</w:t>
              </w:r>
            </w:sdtContent>
          </w:sdt>
        </w:p>
        <w:p w14:paraId="4B9F73C0" w14:textId="75B99863" w:rsidR="00996655" w:rsidRPr="00AC4488" w:rsidRDefault="00996655" w:rsidP="0099665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70942">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70942">
            <w:rPr>
              <w:rStyle w:val="PageNumber"/>
              <w:noProof/>
            </w:rPr>
            <w:t>3</w:t>
          </w:r>
          <w:r w:rsidRPr="00AC4488">
            <w:rPr>
              <w:rStyle w:val="PageNumber"/>
            </w:rPr>
            <w:fldChar w:fldCharType="end"/>
          </w:r>
        </w:p>
      </w:tc>
    </w:tr>
  </w:tbl>
  <w:p w14:paraId="0A3134D6" w14:textId="77777777" w:rsidR="00CA36A0" w:rsidRPr="00996655" w:rsidRDefault="00CA36A0" w:rsidP="00996655">
    <w:pPr>
      <w:pStyle w:val="Hidden"/>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4CA7D" w14:textId="77777777" w:rsidR="00D15D88" w:rsidRDefault="00D15D88" w:rsidP="00C0326E">
    <w:pPr>
      <w:spacing w:after="0"/>
    </w:pPr>
  </w:p>
  <w:p w14:paraId="4ED8E4BE" w14:textId="77777777" w:rsidR="00996655" w:rsidRDefault="00996655" w:rsidP="00996655">
    <w:pPr>
      <w:pStyle w:val="Hidden"/>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0326E" w:rsidRPr="00132658" w14:paraId="6DC6DD8B" w14:textId="77777777" w:rsidTr="008921B4">
      <w:trPr>
        <w:cantSplit/>
        <w:trHeight w:hRule="exact" w:val="1134"/>
      </w:trPr>
      <w:tc>
        <w:tcPr>
          <w:tcW w:w="7767" w:type="dxa"/>
          <w:vAlign w:val="bottom"/>
        </w:tcPr>
        <w:p w14:paraId="71CC23DD" w14:textId="02661E90" w:rsidR="00901430" w:rsidRPr="00901430" w:rsidRDefault="00901430" w:rsidP="00C0326E">
          <w:pPr>
            <w:spacing w:after="0"/>
            <w:rPr>
              <w:rStyle w:val="PageNumber"/>
            </w:rPr>
          </w:pPr>
          <w:r>
            <w:rPr>
              <w:rStyle w:val="PageNumber"/>
            </w:rPr>
            <w:t xml:space="preserve">Department of </w:t>
          </w:r>
          <w:sdt>
            <w:sdtPr>
              <w:rPr>
                <w:b/>
                <w:sz w:val="19"/>
                <w:szCs w:val="19"/>
              </w:rPr>
              <w:alias w:val="Company"/>
              <w:tag w:val=""/>
              <w:id w:val="250782577"/>
              <w:dataBinding w:prefixMappings="xmlns:ns0='http://schemas.openxmlformats.org/officeDocument/2006/extended-properties' " w:xpath="/ns0:Properties[1]/ns0:Company[1]" w:storeItemID="{6668398D-A668-4E3E-A5EB-62B293D839F1}"/>
              <w15:color w:val="000000"/>
              <w:text w:multiLine="1"/>
            </w:sdtPr>
            <w:sdtEndPr/>
            <w:sdtContent>
              <w:r w:rsidR="00D85672">
                <w:rPr>
                  <w:b/>
                  <w:sz w:val="19"/>
                  <w:szCs w:val="19"/>
                </w:rPr>
                <w:t>Industry, Tourism and Trade</w:t>
              </w:r>
            </w:sdtContent>
          </w:sdt>
        </w:p>
        <w:p w14:paraId="3F88C321" w14:textId="29877948" w:rsidR="00C0326E" w:rsidRPr="00CE30CF" w:rsidRDefault="00C0326E" w:rsidP="00C0326E">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870942">
            <w:rPr>
              <w:rStyle w:val="PageNumber"/>
              <w:noProof/>
            </w:rPr>
            <w:t>1</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870942">
            <w:rPr>
              <w:rStyle w:val="PageNumber"/>
              <w:noProof/>
            </w:rPr>
            <w:t>3</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14:paraId="7CB2ADEA" w14:textId="77777777" w:rsidR="00C0326E" w:rsidRPr="001E14EB" w:rsidRDefault="00C0326E" w:rsidP="00C0326E">
          <w:pPr>
            <w:spacing w:after="0"/>
            <w:jc w:val="right"/>
          </w:pPr>
          <w:r>
            <w:rPr>
              <w:noProof/>
              <w:lang w:eastAsia="en-AU"/>
            </w:rPr>
            <w:drawing>
              <wp:inline distT="0" distB="0" distL="0" distR="0" wp14:anchorId="4E66272F" wp14:editId="3FFA10F6">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012E214D" w14:textId="77777777" w:rsidR="00EF7362" w:rsidRPr="00661BE1" w:rsidRDefault="00EF7362"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0C9A9" w14:textId="77777777" w:rsidR="00A30F16" w:rsidRDefault="00A30F16" w:rsidP="007332FF">
      <w:r>
        <w:separator/>
      </w:r>
    </w:p>
  </w:footnote>
  <w:footnote w:type="continuationSeparator" w:id="0">
    <w:p w14:paraId="18950406" w14:textId="77777777" w:rsidR="00A30F16" w:rsidRDefault="00A30F16" w:rsidP="007332FF">
      <w:r>
        <w:continuationSeparator/>
      </w:r>
    </w:p>
  </w:footnote>
  <w:footnote w:id="1">
    <w:p w14:paraId="22D5BB24" w14:textId="0F6F10FE" w:rsidR="00AA09D9" w:rsidRDefault="00AA09D9">
      <w:pPr>
        <w:pStyle w:val="FootnoteText"/>
      </w:pPr>
      <w:r>
        <w:rPr>
          <w:rStyle w:val="FootnoteReference"/>
        </w:rPr>
        <w:footnoteRef/>
      </w:r>
      <w:r>
        <w:t xml:space="preserve"> </w:t>
      </w:r>
      <w:hyperlink r:id="rId1" w:history="1">
        <w:r w:rsidRPr="000024D2">
          <w:rPr>
            <w:rStyle w:val="Hyperlink"/>
          </w:rPr>
          <w:t>https://nt.gov.au/industry/mining-and-petroleum/mineral-titles/mineral-titles-forms-and-guidelines/dealings-forms-and-guidelines</w:t>
        </w:r>
      </w:hyperlink>
      <w:r>
        <w:t xml:space="preserve"> </w:t>
      </w:r>
    </w:p>
  </w:footnote>
  <w:footnote w:id="2">
    <w:p w14:paraId="7A5B4304" w14:textId="652E176B" w:rsidR="00AA09D9" w:rsidRDefault="00AA09D9">
      <w:pPr>
        <w:pStyle w:val="FootnoteText"/>
      </w:pPr>
      <w:r>
        <w:rPr>
          <w:rStyle w:val="FootnoteReference"/>
        </w:rPr>
        <w:footnoteRef/>
      </w:r>
      <w:r>
        <w:t xml:space="preserve"> </w:t>
      </w:r>
      <w:hyperlink r:id="rId2" w:history="1">
        <w:r>
          <w:rPr>
            <w:rStyle w:val="Hyperlink"/>
          </w:rPr>
          <w:t>https://supremecourt.nt.gov.au/about/registry/wills-and-probate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1FE3F" w14:textId="0957CE24" w:rsidR="00983000" w:rsidRPr="00162207" w:rsidRDefault="00870942" w:rsidP="00996655">
    <w:pPr>
      <w:pStyle w:val="Header"/>
      <w:tabs>
        <w:tab w:val="clear" w:pos="9638"/>
        <w:tab w:val="right" w:pos="10318"/>
      </w:tabs>
      <w:jc w:val="right"/>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sdtContent>
        <w:r w:rsidR="00AE5C71">
          <w:t>Instrument of Dealing – transfer, agreement, mortgage and devolution on a Mineral Title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placeholder>
        <w:docPart w:val="90951DC4568245C98C564AAB26466D58"/>
      </w:placeholder>
      <w:dataBinding w:prefixMappings="xmlns:ns0='http://purl.org/dc/elements/1.1/' xmlns:ns1='http://schemas.openxmlformats.org/package/2006/metadata/core-properties' " w:xpath="/ns1:coreProperties[1]/ns0:title[1]" w:storeItemID="{6C3C8BC8-F283-45AE-878A-BAB7291924A1}"/>
      <w15:color w:val="1F1F5F"/>
      <w:text w:multiLine="1"/>
    </w:sdtPr>
    <w:sdtEndPr>
      <w:rPr>
        <w:rStyle w:val="TitleChar"/>
      </w:rPr>
    </w:sdtEndPr>
    <w:sdtContent>
      <w:p w14:paraId="0C87E1BD" w14:textId="688BCE36" w:rsidR="00AE5C71" w:rsidRDefault="00AE5C71" w:rsidP="00AE5C71">
        <w:pPr>
          <w:pStyle w:val="Title"/>
          <w:spacing w:after="0"/>
          <w:rPr>
            <w:rStyle w:val="TitleChar"/>
          </w:rPr>
        </w:pPr>
        <w:r>
          <w:rPr>
            <w:rStyle w:val="TitleChar"/>
          </w:rPr>
          <w:t>Instrument of Dealing – transfer, agreement, mortgage and devolution on a Mineral Title</w:t>
        </w:r>
      </w:p>
    </w:sdtContent>
  </w:sdt>
  <w:p w14:paraId="3EC504B7" w14:textId="4E363C8A" w:rsidR="00E908F1" w:rsidRPr="000E3ED2" w:rsidRDefault="000F5CAE" w:rsidP="00AE5C71">
    <w:pPr>
      <w:pStyle w:val="Subtitle0"/>
      <w:jc w:val="left"/>
    </w:pPr>
    <w:r>
      <w:t>Information Bulletin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6"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842BC6"/>
    <w:multiLevelType w:val="multilevel"/>
    <w:tmpl w:val="0C78A7AC"/>
    <w:numStyleLink w:val="Tablebulletlist"/>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6DA2CAE"/>
    <w:multiLevelType w:val="multilevel"/>
    <w:tmpl w:val="3E5E177A"/>
    <w:name w:val="NTG Table Bullet List332222222222222"/>
    <w:numStyleLink w:val="Tablenumberlist"/>
  </w:abstractNum>
  <w:abstractNum w:abstractNumId="52" w15:restartNumberingAfterBreak="0">
    <w:nsid w:val="583359D9"/>
    <w:multiLevelType w:val="multilevel"/>
    <w:tmpl w:val="3E5E177A"/>
    <w:name w:val="NTG Table Bullet List332222222"/>
    <w:numStyleLink w:val="Tablenumberlist"/>
  </w:abstractNum>
  <w:abstractNum w:abstractNumId="53"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8E21323"/>
    <w:multiLevelType w:val="multilevel"/>
    <w:tmpl w:val="4E6AC8F6"/>
    <w:numStyleLink w:val="Numberlist"/>
  </w:abstractNum>
  <w:abstractNum w:abstractNumId="56" w15:restartNumberingAfterBreak="0">
    <w:nsid w:val="5B9A5FFE"/>
    <w:multiLevelType w:val="multilevel"/>
    <w:tmpl w:val="0C78A7AC"/>
    <w:name w:val="NTG Table Bullet List33222222222222"/>
    <w:numStyleLink w:val="Tablebulletlist"/>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9"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1"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3"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9262556"/>
    <w:multiLevelType w:val="multilevel"/>
    <w:tmpl w:val="3E5E177A"/>
    <w:name w:val="NTG Table Bullet List3322222222222222"/>
    <w:numStyleLink w:val="Tablenumberlist"/>
  </w:abstractNum>
  <w:abstractNum w:abstractNumId="65"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453664D"/>
    <w:multiLevelType w:val="multilevel"/>
    <w:tmpl w:val="0C78A7AC"/>
    <w:name w:val="NTG Table Bullet List3322222222222222222"/>
    <w:numStyleLink w:val="Tablebulletlist"/>
  </w:abstractNum>
  <w:abstractNum w:abstractNumId="68" w15:restartNumberingAfterBreak="0">
    <w:nsid w:val="76141D1E"/>
    <w:multiLevelType w:val="multilevel"/>
    <w:tmpl w:val="0C78A7AC"/>
    <w:name w:val="NTG Table Bullet List332222222222"/>
    <w:numStyleLink w:val="Tablebulletlist"/>
  </w:abstractNum>
  <w:abstractNum w:abstractNumId="69" w15:restartNumberingAfterBreak="0">
    <w:nsid w:val="765A32D4"/>
    <w:multiLevelType w:val="multilevel"/>
    <w:tmpl w:val="4E6AC8F6"/>
    <w:numStyleLink w:val="Numberlist"/>
  </w:abstractNum>
  <w:abstractNum w:abstractNumId="70"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7BC41FA"/>
    <w:multiLevelType w:val="hybridMultilevel"/>
    <w:tmpl w:val="89BEB8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72"/>
  </w:num>
  <w:num w:numId="4">
    <w:abstractNumId w:val="43"/>
  </w:num>
  <w:num w:numId="5">
    <w:abstractNumId w:val="27"/>
  </w:num>
  <w:num w:numId="6">
    <w:abstractNumId w:val="15"/>
  </w:num>
  <w:num w:numId="7">
    <w:abstractNumId w:val="48"/>
  </w:num>
  <w:num w:numId="8">
    <w:abstractNumId w:val="24"/>
  </w:num>
  <w:num w:numId="9">
    <w:abstractNumId w:val="55"/>
  </w:num>
  <w:num w:numId="10">
    <w:abstractNumId w:val="20"/>
  </w:num>
  <w:num w:numId="11">
    <w:abstractNumId w:val="61"/>
  </w:num>
  <w:num w:numId="12">
    <w:abstractNumId w:val="17"/>
  </w:num>
  <w:num w:numId="13">
    <w:abstractNumId w:val="1"/>
  </w:num>
  <w:num w:numId="14">
    <w:abstractNumId w:val="59"/>
  </w:num>
  <w:num w:numId="15">
    <w:abstractNumId w:val="26"/>
  </w:num>
  <w:num w:numId="16">
    <w:abstractNumId w:val="60"/>
  </w:num>
  <w:num w:numId="17">
    <w:abstractNumId w:val="69"/>
  </w:num>
  <w:num w:numId="18">
    <w:abstractNumId w:val="54"/>
  </w:num>
  <w:num w:numId="19">
    <w:abstractNumId w:val="46"/>
  </w:num>
  <w:num w:numId="20">
    <w:abstractNumId w:val="50"/>
  </w:num>
  <w:num w:numId="21">
    <w:abstractNumId w:val="38"/>
  </w:num>
  <w:num w:numId="22">
    <w:abstractNumId w:val="53"/>
  </w:num>
  <w:num w:numId="23">
    <w:abstractNumId w:val="45"/>
  </w:num>
  <w:num w:numId="24">
    <w:abstractNumId w:val="40"/>
  </w:num>
  <w:num w:numId="25">
    <w:abstractNumId w:val="36"/>
  </w:num>
  <w:num w:numId="26">
    <w:abstractNumId w:val="10"/>
  </w:num>
  <w:num w:numId="27">
    <w:abstractNumId w:val="70"/>
  </w:num>
  <w:num w:numId="28">
    <w:abstractNumId w:val="35"/>
  </w:num>
  <w:num w:numId="29">
    <w:abstractNumId w:val="28"/>
  </w:num>
  <w:num w:numId="30">
    <w:abstractNumId w:val="0"/>
  </w:num>
  <w:num w:numId="31">
    <w:abstractNumId w:val="39"/>
  </w:num>
  <w:num w:numId="32">
    <w:abstractNumId w:val="9"/>
  </w:num>
  <w:num w:numId="33">
    <w:abstractNumId w:val="62"/>
  </w:num>
  <w:num w:numId="34">
    <w:abstractNumId w:val="31"/>
  </w:num>
  <w:num w:numId="35">
    <w:abstractNumId w:val="47"/>
  </w:num>
  <w:num w:numId="36">
    <w:abstractNumId w:val="63"/>
  </w:num>
  <w:num w:numId="37">
    <w:abstractNumId w:val="65"/>
  </w:num>
  <w:num w:numId="38">
    <w:abstractNumId w:val="14"/>
  </w:num>
  <w:num w:numId="39">
    <w:abstractNumId w:val="25"/>
  </w:num>
  <w:num w:numId="40">
    <w:abstractNumId w:val="66"/>
  </w:num>
  <w:num w:numId="41">
    <w:abstractNumId w:val="2"/>
  </w:num>
  <w:num w:numId="42">
    <w:abstractNumId w:val="58"/>
  </w:num>
  <w:num w:numId="43">
    <w:abstractNumId w:val="11"/>
  </w:num>
  <w:num w:numId="44">
    <w:abstractNumId w:val="34"/>
  </w:num>
  <w:num w:numId="45">
    <w:abstractNumId w:val="4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7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AE"/>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465F"/>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5CAE"/>
    <w:rsid w:val="000F604F"/>
    <w:rsid w:val="00104E7F"/>
    <w:rsid w:val="001137EC"/>
    <w:rsid w:val="00114404"/>
    <w:rsid w:val="001152F5"/>
    <w:rsid w:val="00117743"/>
    <w:rsid w:val="00117F5B"/>
    <w:rsid w:val="00127715"/>
    <w:rsid w:val="00132584"/>
    <w:rsid w:val="00132658"/>
    <w:rsid w:val="00150DC0"/>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C1FE9"/>
    <w:rsid w:val="002D3A57"/>
    <w:rsid w:val="002D7D05"/>
    <w:rsid w:val="002E20C8"/>
    <w:rsid w:val="002E4290"/>
    <w:rsid w:val="002E66A6"/>
    <w:rsid w:val="002F0DB1"/>
    <w:rsid w:val="002F2885"/>
    <w:rsid w:val="002F45A1"/>
    <w:rsid w:val="002F525F"/>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2A28"/>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43B6E"/>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3ACC"/>
    <w:rsid w:val="004C6C39"/>
    <w:rsid w:val="004D075F"/>
    <w:rsid w:val="004D1B76"/>
    <w:rsid w:val="004D344E"/>
    <w:rsid w:val="004E019E"/>
    <w:rsid w:val="004E06EC"/>
    <w:rsid w:val="004E0A3F"/>
    <w:rsid w:val="004E2CB7"/>
    <w:rsid w:val="004E355D"/>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37B2"/>
    <w:rsid w:val="005762CC"/>
    <w:rsid w:val="00582D3D"/>
    <w:rsid w:val="00590040"/>
    <w:rsid w:val="00592E78"/>
    <w:rsid w:val="00595386"/>
    <w:rsid w:val="00597234"/>
    <w:rsid w:val="005A4AC0"/>
    <w:rsid w:val="005A5FDF"/>
    <w:rsid w:val="005B0FB7"/>
    <w:rsid w:val="005B122A"/>
    <w:rsid w:val="005B1FCB"/>
    <w:rsid w:val="005B5AC2"/>
    <w:rsid w:val="005C2833"/>
    <w:rsid w:val="005D0743"/>
    <w:rsid w:val="005E144D"/>
    <w:rsid w:val="005E1500"/>
    <w:rsid w:val="005E3A43"/>
    <w:rsid w:val="005E3FC4"/>
    <w:rsid w:val="005F0B17"/>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2F2D"/>
    <w:rsid w:val="006A756A"/>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0D2F"/>
    <w:rsid w:val="00755248"/>
    <w:rsid w:val="0076190B"/>
    <w:rsid w:val="00763448"/>
    <w:rsid w:val="0076355D"/>
    <w:rsid w:val="00763A2D"/>
    <w:rsid w:val="007670BC"/>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128D"/>
    <w:rsid w:val="007E70CF"/>
    <w:rsid w:val="007E74A4"/>
    <w:rsid w:val="007F1B6F"/>
    <w:rsid w:val="007F263F"/>
    <w:rsid w:val="008015A8"/>
    <w:rsid w:val="0080766E"/>
    <w:rsid w:val="00811169"/>
    <w:rsid w:val="00815297"/>
    <w:rsid w:val="008170DB"/>
    <w:rsid w:val="00817BA1"/>
    <w:rsid w:val="00823022"/>
    <w:rsid w:val="0082634E"/>
    <w:rsid w:val="008313C4"/>
    <w:rsid w:val="008338AF"/>
    <w:rsid w:val="00835434"/>
    <w:rsid w:val="008358C0"/>
    <w:rsid w:val="00837842"/>
    <w:rsid w:val="00842838"/>
    <w:rsid w:val="00854EC1"/>
    <w:rsid w:val="0085797F"/>
    <w:rsid w:val="00861DC3"/>
    <w:rsid w:val="00867019"/>
    <w:rsid w:val="00870942"/>
    <w:rsid w:val="00872EF1"/>
    <w:rsid w:val="008735A9"/>
    <w:rsid w:val="00877BC5"/>
    <w:rsid w:val="00877D20"/>
    <w:rsid w:val="00881C48"/>
    <w:rsid w:val="00885B80"/>
    <w:rsid w:val="00885C30"/>
    <w:rsid w:val="00885E9B"/>
    <w:rsid w:val="00893C96"/>
    <w:rsid w:val="0089500A"/>
    <w:rsid w:val="00897C94"/>
    <w:rsid w:val="008A7C12"/>
    <w:rsid w:val="008B03CE"/>
    <w:rsid w:val="008B529E"/>
    <w:rsid w:val="008C0D34"/>
    <w:rsid w:val="008C17FB"/>
    <w:rsid w:val="008C70BB"/>
    <w:rsid w:val="008D1B00"/>
    <w:rsid w:val="008D278B"/>
    <w:rsid w:val="008D57B8"/>
    <w:rsid w:val="008E03FC"/>
    <w:rsid w:val="008E510B"/>
    <w:rsid w:val="008F422B"/>
    <w:rsid w:val="00901430"/>
    <w:rsid w:val="00902B13"/>
    <w:rsid w:val="00911941"/>
    <w:rsid w:val="0092024D"/>
    <w:rsid w:val="00925146"/>
    <w:rsid w:val="00925F0F"/>
    <w:rsid w:val="00932F6B"/>
    <w:rsid w:val="009468BC"/>
    <w:rsid w:val="00947FAE"/>
    <w:rsid w:val="00953762"/>
    <w:rsid w:val="009616DF"/>
    <w:rsid w:val="00963E4F"/>
    <w:rsid w:val="0096542F"/>
    <w:rsid w:val="00967FA7"/>
    <w:rsid w:val="00971645"/>
    <w:rsid w:val="00977919"/>
    <w:rsid w:val="00983000"/>
    <w:rsid w:val="009870FA"/>
    <w:rsid w:val="009921C3"/>
    <w:rsid w:val="0099551D"/>
    <w:rsid w:val="00996655"/>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0F16"/>
    <w:rsid w:val="00A31AE8"/>
    <w:rsid w:val="00A3739D"/>
    <w:rsid w:val="00A37DDA"/>
    <w:rsid w:val="00A45005"/>
    <w:rsid w:val="00A55A62"/>
    <w:rsid w:val="00A66857"/>
    <w:rsid w:val="00A76790"/>
    <w:rsid w:val="00A925EC"/>
    <w:rsid w:val="00A929AA"/>
    <w:rsid w:val="00A92B6B"/>
    <w:rsid w:val="00AA09D9"/>
    <w:rsid w:val="00AA5017"/>
    <w:rsid w:val="00AA541E"/>
    <w:rsid w:val="00AB5413"/>
    <w:rsid w:val="00AB59F7"/>
    <w:rsid w:val="00AD0DA4"/>
    <w:rsid w:val="00AD4169"/>
    <w:rsid w:val="00AE25C6"/>
    <w:rsid w:val="00AE306C"/>
    <w:rsid w:val="00AE5C71"/>
    <w:rsid w:val="00AF28C1"/>
    <w:rsid w:val="00B02EF1"/>
    <w:rsid w:val="00B07C97"/>
    <w:rsid w:val="00B11C67"/>
    <w:rsid w:val="00B15754"/>
    <w:rsid w:val="00B2046E"/>
    <w:rsid w:val="00B20E8B"/>
    <w:rsid w:val="00B257E1"/>
    <w:rsid w:val="00B2599A"/>
    <w:rsid w:val="00B273D5"/>
    <w:rsid w:val="00B27AC4"/>
    <w:rsid w:val="00B343CC"/>
    <w:rsid w:val="00B5084A"/>
    <w:rsid w:val="00B606A1"/>
    <w:rsid w:val="00B614F7"/>
    <w:rsid w:val="00B61B26"/>
    <w:rsid w:val="00B65E6B"/>
    <w:rsid w:val="00B675B2"/>
    <w:rsid w:val="00B71311"/>
    <w:rsid w:val="00B81261"/>
    <w:rsid w:val="00B8223E"/>
    <w:rsid w:val="00B832AE"/>
    <w:rsid w:val="00B86678"/>
    <w:rsid w:val="00B87BBA"/>
    <w:rsid w:val="00B92F9B"/>
    <w:rsid w:val="00B93DB1"/>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0326E"/>
    <w:rsid w:val="00C10F10"/>
    <w:rsid w:val="00C15D4D"/>
    <w:rsid w:val="00C175DC"/>
    <w:rsid w:val="00C30171"/>
    <w:rsid w:val="00C309D8"/>
    <w:rsid w:val="00C322B4"/>
    <w:rsid w:val="00C357F6"/>
    <w:rsid w:val="00C43519"/>
    <w:rsid w:val="00C45263"/>
    <w:rsid w:val="00C51537"/>
    <w:rsid w:val="00C52BC3"/>
    <w:rsid w:val="00C55B5A"/>
    <w:rsid w:val="00C61AFA"/>
    <w:rsid w:val="00C61D64"/>
    <w:rsid w:val="00C62099"/>
    <w:rsid w:val="00C64EA3"/>
    <w:rsid w:val="00C72867"/>
    <w:rsid w:val="00C75E81"/>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EBE"/>
    <w:rsid w:val="00D36A49"/>
    <w:rsid w:val="00D517C6"/>
    <w:rsid w:val="00D61FD1"/>
    <w:rsid w:val="00D71D84"/>
    <w:rsid w:val="00D72464"/>
    <w:rsid w:val="00D72A57"/>
    <w:rsid w:val="00D768EB"/>
    <w:rsid w:val="00D81E17"/>
    <w:rsid w:val="00D82D1E"/>
    <w:rsid w:val="00D832D9"/>
    <w:rsid w:val="00D85672"/>
    <w:rsid w:val="00D90F00"/>
    <w:rsid w:val="00D975C0"/>
    <w:rsid w:val="00DA5285"/>
    <w:rsid w:val="00DB191D"/>
    <w:rsid w:val="00DB4F91"/>
    <w:rsid w:val="00DB6D0A"/>
    <w:rsid w:val="00DC06BE"/>
    <w:rsid w:val="00DC1F0F"/>
    <w:rsid w:val="00DC3117"/>
    <w:rsid w:val="00DC5DD9"/>
    <w:rsid w:val="00DC6D2D"/>
    <w:rsid w:val="00DD30E2"/>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4F31"/>
    <w:rsid w:val="00E36941"/>
    <w:rsid w:val="00E3723D"/>
    <w:rsid w:val="00E44B8A"/>
    <w:rsid w:val="00E44C89"/>
    <w:rsid w:val="00E457A6"/>
    <w:rsid w:val="00E52375"/>
    <w:rsid w:val="00E61BA2"/>
    <w:rsid w:val="00E63864"/>
    <w:rsid w:val="00E6403F"/>
    <w:rsid w:val="00E75451"/>
    <w:rsid w:val="00E770C4"/>
    <w:rsid w:val="00E84C5A"/>
    <w:rsid w:val="00E861DB"/>
    <w:rsid w:val="00E908F1"/>
    <w:rsid w:val="00E91FB9"/>
    <w:rsid w:val="00E93406"/>
    <w:rsid w:val="00E9402C"/>
    <w:rsid w:val="00E956C5"/>
    <w:rsid w:val="00E95C39"/>
    <w:rsid w:val="00EA2C39"/>
    <w:rsid w:val="00EB0A3C"/>
    <w:rsid w:val="00EB0A96"/>
    <w:rsid w:val="00EB164C"/>
    <w:rsid w:val="00EB1D82"/>
    <w:rsid w:val="00EB77F9"/>
    <w:rsid w:val="00EC46CB"/>
    <w:rsid w:val="00EC5769"/>
    <w:rsid w:val="00EC7D00"/>
    <w:rsid w:val="00ED0304"/>
    <w:rsid w:val="00ED5B7B"/>
    <w:rsid w:val="00EE38FA"/>
    <w:rsid w:val="00EE3E2C"/>
    <w:rsid w:val="00EE5D23"/>
    <w:rsid w:val="00EE750D"/>
    <w:rsid w:val="00EF3CA4"/>
    <w:rsid w:val="00EF7362"/>
    <w:rsid w:val="00EF7859"/>
    <w:rsid w:val="00F014DA"/>
    <w:rsid w:val="00F02591"/>
    <w:rsid w:val="00F55742"/>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5A9812"/>
  <w15:docId w15:val="{E85DDAD4-DA5F-4EA4-A2B1-378BACDA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D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996655"/>
    <w:rPr>
      <w:rFonts w:ascii="Lato Semibold" w:eastAsia="Times New Roman" w:hAnsi="Lato Semibold"/>
      <w:color w:val="454347"/>
      <w:sz w:val="32"/>
      <w:szCs w:val="28"/>
    </w:rPr>
  </w:style>
  <w:style w:type="paragraph" w:styleId="Title">
    <w:name w:val="Title"/>
    <w:basedOn w:val="Normal"/>
    <w:next w:val="Normal"/>
    <w:link w:val="TitleChar"/>
    <w:qFormat/>
    <w:rsid w:val="00D61FD1"/>
    <w:pPr>
      <w:spacing w:after="80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D61FD1"/>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0F5CAE"/>
    <w:rPr>
      <w:color w:val="8C4799" w:themeColor="followedHyperlink"/>
      <w:u w:val="single"/>
    </w:rPr>
  </w:style>
  <w:style w:type="character" w:customStyle="1" w:styleId="UnresolvedMention">
    <w:name w:val="Unresolved Mention"/>
    <w:basedOn w:val="DefaultParagraphFont"/>
    <w:uiPriority w:val="99"/>
    <w:semiHidden/>
    <w:unhideWhenUsed/>
    <w:rsid w:val="00E34F31"/>
    <w:rPr>
      <w:color w:val="605E5C"/>
      <w:shd w:val="clear" w:color="auto" w:fill="E1DFDD"/>
    </w:rPr>
  </w:style>
  <w:style w:type="paragraph" w:styleId="FootnoteText">
    <w:name w:val="footnote text"/>
    <w:basedOn w:val="Normal"/>
    <w:link w:val="FootnoteTextChar"/>
    <w:uiPriority w:val="99"/>
    <w:semiHidden/>
    <w:unhideWhenUsed/>
    <w:rsid w:val="00AA09D9"/>
    <w:pPr>
      <w:spacing w:after="0"/>
    </w:pPr>
    <w:rPr>
      <w:sz w:val="20"/>
      <w:szCs w:val="20"/>
    </w:rPr>
  </w:style>
  <w:style w:type="character" w:customStyle="1" w:styleId="FootnoteTextChar">
    <w:name w:val="Footnote Text Char"/>
    <w:basedOn w:val="DefaultParagraphFont"/>
    <w:link w:val="FootnoteText"/>
    <w:uiPriority w:val="99"/>
    <w:semiHidden/>
    <w:rsid w:val="00AA09D9"/>
    <w:rPr>
      <w:rFonts w:ascii="Lato" w:hAnsi="Lato"/>
      <w:sz w:val="20"/>
      <w:szCs w:val="20"/>
    </w:rPr>
  </w:style>
  <w:style w:type="character" w:styleId="FootnoteReference">
    <w:name w:val="footnote reference"/>
    <w:basedOn w:val="DefaultParagraphFont"/>
    <w:uiPriority w:val="99"/>
    <w:semiHidden/>
    <w:unhideWhenUsed/>
    <w:rsid w:val="00AA09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itles.info@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premecourt.nt.gov.au/about/registry/wills-and-probat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titles.info@nt.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nt.gov.au/industry/mining-and-petroleum/mineral-titles/mineral-titles-forms-and-guidelines/dealings-forms-and-guideline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2" Type="http://schemas.openxmlformats.org/officeDocument/2006/relationships/hyperlink" Target="https://supremecourt.nt.gov.au/about/registry/wills-and-probate" TargetMode="External"/><Relationship Id="rId1" Type="http://schemas.openxmlformats.org/officeDocument/2006/relationships/hyperlink" Target="https://nt.gov.au/industry/mining-and-petroleum/mineral-titles/mineral-titles-forms-and-guidelines/dealings-forms-and-guidelin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ntg-factsheet-template_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8E84CE114548338F5A87A5674AEF5F"/>
        <w:category>
          <w:name w:val="General"/>
          <w:gallery w:val="placeholder"/>
        </w:category>
        <w:types>
          <w:type w:val="bbPlcHdr"/>
        </w:types>
        <w:behaviors>
          <w:behavior w:val="content"/>
        </w:behaviors>
        <w:guid w:val="{E020E4E0-5498-4E08-9ED7-D5390FD8B209}"/>
      </w:docPartPr>
      <w:docPartBody>
        <w:p w:rsidR="00CF5B75" w:rsidRDefault="008B7A02">
          <w:pPr>
            <w:pStyle w:val="BB8E84CE114548338F5A87A5674AEF5F"/>
          </w:pPr>
          <w:r w:rsidRPr="000E6CF8">
            <w:rPr>
              <w:rStyle w:val="PlaceholderText"/>
            </w:rPr>
            <w:t>[Title]</w:t>
          </w:r>
        </w:p>
      </w:docPartBody>
    </w:docPart>
    <w:docPart>
      <w:docPartPr>
        <w:name w:val="90951DC4568245C98C564AAB26466D58"/>
        <w:category>
          <w:name w:val="General"/>
          <w:gallery w:val="placeholder"/>
        </w:category>
        <w:types>
          <w:type w:val="bbPlcHdr"/>
        </w:types>
        <w:behaviors>
          <w:behavior w:val="content"/>
        </w:behaviors>
        <w:guid w:val="{61322F3D-71CD-464D-931D-C6EF7ACA89A7}"/>
      </w:docPartPr>
      <w:docPartBody>
        <w:p w:rsidR="002D4199" w:rsidRDefault="00CF5B75" w:rsidP="00CF5B75">
          <w:pPr>
            <w:pStyle w:val="90951DC4568245C98C564AAB26466D58"/>
          </w:pPr>
          <w:r w:rsidRPr="000E6CF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Lato Semibold">
    <w:altName w:val="Segoe U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A02"/>
    <w:rsid w:val="002D4199"/>
    <w:rsid w:val="008B7A02"/>
    <w:rsid w:val="00B63810"/>
    <w:rsid w:val="00CF5B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5B75"/>
    <w:rPr>
      <w:color w:val="808080"/>
    </w:rPr>
  </w:style>
  <w:style w:type="paragraph" w:customStyle="1" w:styleId="BB8E84CE114548338F5A87A5674AEF5F">
    <w:name w:val="BB8E84CE114548338F5A87A5674AEF5F"/>
  </w:style>
  <w:style w:type="paragraph" w:customStyle="1" w:styleId="90951DC4568245C98C564AAB26466D58">
    <w:name w:val="90951DC4568245C98C564AAB26466D58"/>
    <w:rsid w:val="00CF5B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696D58-53FC-4A36-9379-33D44A1B1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ntg-factsheet-template_0.dotx</Template>
  <TotalTime>80</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Instrument of Dealing – transfer, agreement, mortgage and devolution on a Mineral Title</vt:lpstr>
    </vt:vector>
  </TitlesOfParts>
  <Company>Industry, Tourism and Trade</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 of Dealing – transfer, agreement, mortgage and devolution on a Mineral Title</dc:title>
  <dc:creator>Northern Territory Government</dc:creator>
  <cp:lastModifiedBy>Alison Fry</cp:lastModifiedBy>
  <cp:revision>12</cp:revision>
  <cp:lastPrinted>2021-03-01T04:02:00Z</cp:lastPrinted>
  <dcterms:created xsi:type="dcterms:W3CDTF">2020-04-05T22:58:00Z</dcterms:created>
  <dcterms:modified xsi:type="dcterms:W3CDTF">2021-03-01T04:02:00Z</dcterms:modified>
</cp:coreProperties>
</file>