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570B" w14:textId="74977E34" w:rsidR="00886C9D" w:rsidRPr="00886C9D" w:rsidRDefault="000D397E" w:rsidP="00886C9D">
      <w:pPr>
        <w:pStyle w:val="Title"/>
      </w:pPr>
      <w:r>
        <w:t>Value For Territory Assessment</w:t>
      </w:r>
    </w:p>
    <w:p w14:paraId="24810508" w14:textId="7EEC95AC" w:rsidR="00BD0F38" w:rsidRPr="00E77ACA" w:rsidRDefault="00D417B9" w:rsidP="00E77ACA">
      <w:pPr>
        <w:pStyle w:val="Subtitle0"/>
        <w:sectPr w:rsidR="00BD0F38" w:rsidRPr="00E77ACA" w:rsidSect="00FA64B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43" w:right="794" w:bottom="794" w:left="794" w:header="794" w:footer="794" w:gutter="0"/>
          <w:cols w:space="708"/>
          <w:titlePg/>
          <w:docGrid w:linePitch="360"/>
        </w:sectPr>
      </w:pPr>
      <w:r>
        <w:t>A g</w:t>
      </w:r>
      <w:r w:rsidR="00803232">
        <w:t xml:space="preserve">uide for </w:t>
      </w:r>
      <w:r>
        <w:t>tendering with the N</w:t>
      </w:r>
      <w:r w:rsidR="00050103">
        <w:t xml:space="preserve">orthern </w:t>
      </w:r>
      <w:r>
        <w:t>T</w:t>
      </w:r>
      <w:r w:rsidR="00050103">
        <w:t>erritory</w:t>
      </w:r>
      <w:r>
        <w:t xml:space="preserve"> Government</w:t>
      </w:r>
    </w:p>
    <w:tbl>
      <w:tblPr>
        <w:tblStyle w:val="NTGtable1"/>
        <w:tblW w:w="10348" w:type="dxa"/>
        <w:tblLook w:val="0480" w:firstRow="0" w:lastRow="0" w:firstColumn="1" w:lastColumn="0" w:noHBand="0" w:noVBand="1"/>
        <w:tblCaption w:val="Document details"/>
        <w:tblDescription w:val="Table details document title and approval details"/>
      </w:tblPr>
      <w:tblGrid>
        <w:gridCol w:w="2410"/>
        <w:gridCol w:w="7938"/>
      </w:tblGrid>
      <w:tr w:rsidR="00832B35" w14:paraId="504CC6C6" w14:textId="77777777" w:rsidTr="009E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04AADB0D" w14:textId="77777777"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lastRenderedPageBreak/>
              <w:t>Document title</w:t>
            </w:r>
          </w:p>
        </w:tc>
        <w:tc>
          <w:tcPr>
            <w:tcW w:w="7938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29A23EB7" w14:textId="1907A379" w:rsidR="00832B35" w:rsidRPr="00050358" w:rsidRDefault="000D397E" w:rsidP="00050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Value For Territory Assessment</w:t>
            </w:r>
          </w:p>
        </w:tc>
      </w:tr>
      <w:tr w:rsidR="00832B35" w14:paraId="32D41A33" w14:textId="77777777" w:rsidTr="009E2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2C728108" w14:textId="77777777"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Contact details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3FCCE759" w14:textId="7E868EAC" w:rsidR="00832B35" w:rsidRPr="00050358" w:rsidRDefault="00D417B9" w:rsidP="00D41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Department of Industry, Tourism and Trade</w:t>
            </w:r>
          </w:p>
        </w:tc>
      </w:tr>
      <w:tr w:rsidR="00832B35" w14:paraId="53F010D3" w14:textId="77777777" w:rsidTr="009E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0DFDDA57" w14:textId="77777777"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Approved by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5EADFDD7" w14:textId="3050B4F4" w:rsidR="00832B35" w:rsidRPr="00050358" w:rsidRDefault="00D75D03" w:rsidP="00050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</w:t>
            </w:r>
            <w:r w:rsidR="00D417B9">
              <w:t>Director</w:t>
            </w:r>
            <w:r w:rsidR="009761AD">
              <w:t>, Procurement Policy</w:t>
            </w:r>
          </w:p>
        </w:tc>
      </w:tr>
      <w:tr w:rsidR="00832B35" w14:paraId="666BAD88" w14:textId="77777777" w:rsidTr="00EF4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3BC241D3" w14:textId="77777777"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Date approved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266406F5" w14:textId="3B7FCAA5" w:rsidR="00832B35" w:rsidRPr="00050358" w:rsidRDefault="002301F7" w:rsidP="00050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 January 2025</w:t>
            </w:r>
          </w:p>
        </w:tc>
      </w:tr>
      <w:tr w:rsidR="00832B35" w14:paraId="758C56FA" w14:textId="77777777" w:rsidTr="00EF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4BED3404" w14:textId="77777777"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Document review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single" w:sz="4" w:space="0" w:color="auto"/>
              <w:right w:val="single" w:sz="4" w:space="0" w:color="1F1F5F" w:themeColor="text1"/>
            </w:tcBorders>
            <w:hideMark/>
          </w:tcPr>
          <w:p w14:paraId="65F14FB9" w14:textId="7A655747" w:rsidR="00832B35" w:rsidRPr="00050358" w:rsidRDefault="00EF4073" w:rsidP="00050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</w:tbl>
    <w:p w14:paraId="498673E3" w14:textId="77777777" w:rsidR="00832B35" w:rsidRDefault="00832B35" w:rsidP="00702D61"/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  <w:tblCaption w:val="Version control"/>
        <w:tblDescription w:val="Table details document version history"/>
      </w:tblPr>
      <w:tblGrid>
        <w:gridCol w:w="1128"/>
        <w:gridCol w:w="2268"/>
        <w:gridCol w:w="2551"/>
        <w:gridCol w:w="4394"/>
      </w:tblGrid>
      <w:tr w:rsidR="003223FE" w:rsidRPr="00050358" w14:paraId="4363037F" w14:textId="77777777" w:rsidTr="00EF4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</w:tcPr>
          <w:p w14:paraId="4618AF0B" w14:textId="77777777" w:rsidR="003223FE" w:rsidRPr="00050358" w:rsidRDefault="003223FE" w:rsidP="00050358">
            <w:r w:rsidRPr="00050358"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3C002232" w14:textId="77777777" w:rsidR="003223FE" w:rsidRPr="00050358" w:rsidRDefault="003223FE" w:rsidP="00050358">
            <w:r w:rsidRPr="00050358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6C2CB2E6" w14:textId="77777777" w:rsidR="003223FE" w:rsidRPr="00050358" w:rsidRDefault="003223FE" w:rsidP="00050358">
            <w:r w:rsidRPr="00050358">
              <w:t>Author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394" w:type="dxa"/>
          </w:tcPr>
          <w:p w14:paraId="09D8207D" w14:textId="77777777" w:rsidR="003223FE" w:rsidRPr="00050358" w:rsidRDefault="003223FE" w:rsidP="00050358">
            <w:r w:rsidRPr="00050358">
              <w:t>Changes made</w:t>
            </w:r>
          </w:p>
        </w:tc>
      </w:tr>
      <w:tr w:rsidR="003223FE" w:rsidRPr="00050358" w14:paraId="4391B774" w14:textId="77777777" w:rsidTr="00EF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</w:tcPr>
          <w:p w14:paraId="4889FFCB" w14:textId="234475F8" w:rsidR="003223FE" w:rsidRPr="00050358" w:rsidRDefault="007641C2" w:rsidP="00050358"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7126F4B9" w14:textId="370C83F7" w:rsidR="003223FE" w:rsidRPr="00050358" w:rsidRDefault="007641C2" w:rsidP="005B7035">
            <w:r>
              <w:t>8 July</w:t>
            </w:r>
            <w:r w:rsidR="005B7035">
              <w:t xml:space="preserve">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7E873F36" w14:textId="77777777" w:rsidR="003223FE" w:rsidRPr="00050358" w:rsidRDefault="005B7035" w:rsidP="00050358">
            <w:r>
              <w:t>Procurement 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14:paraId="2590EAF0" w14:textId="3B5B891D" w:rsidR="003223FE" w:rsidRPr="00050358" w:rsidRDefault="002419DD" w:rsidP="005B7035">
            <w:r>
              <w:t>I</w:t>
            </w:r>
            <w:r w:rsidR="007641C2">
              <w:t>nitial</w:t>
            </w:r>
            <w:r>
              <w:t xml:space="preserve"> version</w:t>
            </w:r>
          </w:p>
        </w:tc>
      </w:tr>
      <w:tr w:rsidR="003223FE" w:rsidRPr="00050358" w14:paraId="251748EB" w14:textId="77777777" w:rsidTr="00EF4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bottom w:val="nil"/>
            </w:tcBorders>
          </w:tcPr>
          <w:p w14:paraId="4837B4CE" w14:textId="42DFE103" w:rsidR="003223FE" w:rsidRPr="00050358" w:rsidRDefault="00D95B15" w:rsidP="00050358">
            <w: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1C20309C" w14:textId="7C7B82F3" w:rsidR="003223FE" w:rsidRPr="00050358" w:rsidRDefault="008E72FE" w:rsidP="00050358">
            <w:proofErr w:type="gramStart"/>
            <w:r>
              <w:t xml:space="preserve">16 </w:t>
            </w:r>
            <w:r w:rsidR="00D95B15">
              <w:t xml:space="preserve"> July</w:t>
            </w:r>
            <w:proofErr w:type="gramEnd"/>
            <w:r>
              <w:t xml:space="preserve">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nil"/>
            </w:tcBorders>
          </w:tcPr>
          <w:p w14:paraId="19F5881F" w14:textId="240316E4" w:rsidR="003223FE" w:rsidRPr="00050358" w:rsidRDefault="00D95B15" w:rsidP="00050358">
            <w:r>
              <w:t>Procurement 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nil"/>
            </w:tcBorders>
          </w:tcPr>
          <w:p w14:paraId="7B73D09E" w14:textId="5D0A9F77" w:rsidR="003223FE" w:rsidRPr="00050358" w:rsidRDefault="007A5417" w:rsidP="00050358">
            <w:r>
              <w:t>Minor updates and revisions for consistency</w:t>
            </w:r>
          </w:p>
        </w:tc>
      </w:tr>
      <w:tr w:rsidR="003223FE" w:rsidRPr="00050358" w14:paraId="7F5C3A2F" w14:textId="77777777" w:rsidTr="00EF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bottom w:val="single" w:sz="4" w:space="0" w:color="1F1F5F" w:themeColor="text1"/>
            </w:tcBorders>
          </w:tcPr>
          <w:p w14:paraId="09551B3E" w14:textId="0B33B091" w:rsidR="003223FE" w:rsidRPr="00050358" w:rsidRDefault="009761AD" w:rsidP="00050358">
            <w: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single" w:sz="4" w:space="0" w:color="1F1F5F" w:themeColor="text1"/>
            </w:tcBorders>
          </w:tcPr>
          <w:p w14:paraId="2102D206" w14:textId="3D266184" w:rsidR="003223FE" w:rsidRPr="00050358" w:rsidRDefault="002301F7" w:rsidP="00050358">
            <w:r>
              <w:t>31 January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4" w:space="0" w:color="1F1F5F" w:themeColor="text1"/>
            </w:tcBorders>
          </w:tcPr>
          <w:p w14:paraId="043FE203" w14:textId="06E2237F" w:rsidR="003223FE" w:rsidRPr="00050358" w:rsidRDefault="009761AD" w:rsidP="00050358">
            <w:r>
              <w:t xml:space="preserve">Procurement </w:t>
            </w:r>
            <w:r w:rsidR="00D75D03">
              <w:t>Policy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single" w:sz="4" w:space="0" w:color="1F1F5F" w:themeColor="text1"/>
            </w:tcBorders>
          </w:tcPr>
          <w:p w14:paraId="21CE388D" w14:textId="0E702507" w:rsidR="003223FE" w:rsidRPr="00050358" w:rsidRDefault="009761AD" w:rsidP="00050358">
            <w:r>
              <w:t xml:space="preserve">Agency </w:t>
            </w:r>
            <w:proofErr w:type="gramStart"/>
            <w:r>
              <w:t>name</w:t>
            </w:r>
            <w:proofErr w:type="gramEnd"/>
            <w:r>
              <w:t xml:space="preserve"> update due to MOG change</w:t>
            </w:r>
          </w:p>
        </w:tc>
      </w:tr>
    </w:tbl>
    <w:p w14:paraId="1031096C" w14:textId="77777777" w:rsidR="003223FE" w:rsidRDefault="003223FE" w:rsidP="00702D61"/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  <w:tblCaption w:val="Acronyms"/>
        <w:tblDescription w:val="Table lists acronyms used in this document"/>
      </w:tblPr>
      <w:tblGrid>
        <w:gridCol w:w="1979"/>
        <w:gridCol w:w="8362"/>
      </w:tblGrid>
      <w:tr w:rsidR="003223FE" w:rsidRPr="00E87DE1" w14:paraId="6E151408" w14:textId="77777777" w:rsidTr="00AA4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444340E3" w14:textId="77777777"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362" w:type="dxa"/>
          </w:tcPr>
          <w:p w14:paraId="631D1755" w14:textId="77777777"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3223FE" w:rsidRPr="00E87DE1" w14:paraId="1A9D3110" w14:textId="77777777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39AE7649" w14:textId="77777777" w:rsidR="003223FE" w:rsidRPr="00050358" w:rsidRDefault="003223FE" w:rsidP="001B60EF">
            <w:r w:rsidRPr="00050358">
              <w:t>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74FCA043" w14:textId="77777777" w:rsidR="003223FE" w:rsidRPr="00050358" w:rsidRDefault="003223FE" w:rsidP="00050358">
            <w:r w:rsidRPr="00050358">
              <w:t>Northern</w:t>
            </w:r>
            <w:r w:rsidR="001B60EF">
              <w:t xml:space="preserve"> Territory</w:t>
            </w:r>
          </w:p>
        </w:tc>
      </w:tr>
      <w:tr w:rsidR="003223FE" w:rsidRPr="00E87DE1" w14:paraId="3488BDBD" w14:textId="77777777" w:rsidTr="00AA4C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1B6FFD12" w14:textId="77777777" w:rsidR="003223FE" w:rsidRPr="00050358" w:rsidRDefault="001B60EF" w:rsidP="00050358">
            <w:r>
              <w:t>VFT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324C4F3E" w14:textId="77777777" w:rsidR="003223FE" w:rsidRPr="00050358" w:rsidRDefault="001B60EF" w:rsidP="00050358">
            <w:r>
              <w:t>Value For Territory</w:t>
            </w:r>
          </w:p>
        </w:tc>
      </w:tr>
      <w:tr w:rsidR="003223FE" w:rsidRPr="00E87DE1" w14:paraId="3ACDF325" w14:textId="77777777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7CE3C8AF" w14:textId="788B2568" w:rsidR="003223FE" w:rsidRPr="00050358" w:rsidRDefault="00A40DFB" w:rsidP="00050358">
            <w:r>
              <w:t>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4996D749" w14:textId="2B5DDE8F" w:rsidR="003223FE" w:rsidRPr="00050358" w:rsidRDefault="00A40DFB" w:rsidP="00050358">
            <w:r>
              <w:t>Contractor Accreditation Limited</w:t>
            </w:r>
          </w:p>
        </w:tc>
      </w:tr>
    </w:tbl>
    <w:p w14:paraId="36CF5EB4" w14:textId="77777777"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4C70F1F6" w14:textId="77777777" w:rsidR="00964B22" w:rsidRPr="00422874" w:rsidRDefault="00964B22" w:rsidP="00F479D5">
          <w:pPr>
            <w:pStyle w:val="TOCHeading"/>
            <w:tabs>
              <w:tab w:val="left" w:pos="8601"/>
            </w:tabs>
            <w:rPr>
              <w:lang w:eastAsia="ja-JP"/>
            </w:rPr>
          </w:pPr>
          <w:r w:rsidRPr="00422874">
            <w:t>Contents</w:t>
          </w:r>
        </w:p>
        <w:p w14:paraId="2E118610" w14:textId="0A56AB53" w:rsidR="00575F57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77328026" w:history="1">
            <w:r w:rsidR="00575F57" w:rsidRPr="001102D7">
              <w:rPr>
                <w:rStyle w:val="Hyperlink"/>
                <w:noProof/>
                <w:lang w:eastAsia="en-AU"/>
              </w:rPr>
              <w:t>1. Introduction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_Toc77328026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4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7150F298" w14:textId="60E02856" w:rsidR="00575F57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77328027" w:history="1">
            <w:r w:rsidR="00575F57" w:rsidRPr="001102D7">
              <w:rPr>
                <w:rStyle w:val="Hyperlink"/>
                <w:noProof/>
                <w:lang w:eastAsia="en-AU"/>
              </w:rPr>
              <w:t>2. What is Value for Territory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_Toc77328027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4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4977A8CE" w14:textId="2C5518EA" w:rsidR="00575F57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77328028" w:history="1">
            <w:r w:rsidR="00575F57" w:rsidRPr="001102D7">
              <w:rPr>
                <w:rStyle w:val="Hyperlink"/>
                <w:noProof/>
                <w:lang w:eastAsia="en-AU"/>
              </w:rPr>
              <w:t>3. Value For Territory Assessment Criteria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_Toc77328028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5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0E93BCC8" w14:textId="1D474524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29" w:history="1">
            <w:r w:rsidR="00575F57" w:rsidRPr="001102D7">
              <w:rPr>
                <w:rStyle w:val="Hyperlink"/>
                <w:noProof/>
                <w:lang w:eastAsia="en-AU"/>
              </w:rPr>
              <w:t>3.1. Local Content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_Toc77328029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5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54BE053E" w14:textId="3A3E6F50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0" w:history="1">
            <w:r w:rsidR="00575F57" w:rsidRPr="001102D7">
              <w:rPr>
                <w:rStyle w:val="Hyperlink"/>
                <w:noProof/>
                <w:lang w:eastAsia="en-AU"/>
              </w:rPr>
              <w:t>3.2. Past Performance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_Toc77328030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5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18DC0B65" w14:textId="46E8B4FA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1" w:history="1">
            <w:r w:rsidR="00575F57" w:rsidRPr="001102D7">
              <w:rPr>
                <w:rStyle w:val="Hyperlink"/>
                <w:noProof/>
                <w:lang w:eastAsia="en-AU"/>
              </w:rPr>
              <w:t>3.3. Capability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_Toc77328031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6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4CADDC6F" w14:textId="3BAF9481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2" w:history="1">
            <w:r w:rsidR="00575F57" w:rsidRPr="001102D7">
              <w:rPr>
                <w:rStyle w:val="Hyperlink"/>
                <w:noProof/>
                <w:lang w:eastAsia="en-AU"/>
              </w:rPr>
              <w:t>3.4. Capacity and Timeliness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_Toc77328032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6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44EE77C0" w14:textId="25449B25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3" w:history="1">
            <w:r w:rsidR="00575F57" w:rsidRPr="001102D7">
              <w:rPr>
                <w:rStyle w:val="Hyperlink"/>
                <w:noProof/>
                <w:lang w:eastAsia="en-AU"/>
              </w:rPr>
              <w:t>3.5. Scope Specific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_Toc77328033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7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0B74CA09" w14:textId="3487DF96" w:rsidR="00575F57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77328034" w:history="1">
            <w:r w:rsidR="00575F57" w:rsidRPr="001102D7">
              <w:rPr>
                <w:rStyle w:val="Hyperlink"/>
                <w:noProof/>
                <w:lang w:eastAsia="en-AU"/>
              </w:rPr>
              <w:t>4. The Assessment Process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_Toc77328034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7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1A77611C" w14:textId="246A8D0B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5" w:history="1">
            <w:r w:rsidR="00575F57" w:rsidRPr="001102D7">
              <w:rPr>
                <w:rStyle w:val="Hyperlink"/>
                <w:noProof/>
                <w:lang w:bidi="en-US"/>
              </w:rPr>
              <w:t>4.1. Local Content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_Toc77328035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7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70D53E98" w14:textId="0A68E2CA" w:rsidR="00575F57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6" w:history="1">
            <w:r w:rsidR="00575F57" w:rsidRPr="001102D7">
              <w:rPr>
                <w:rStyle w:val="Hyperlink"/>
                <w:noProof/>
                <w:lang w:bidi="en-US"/>
              </w:rPr>
              <w:t>4.1.1. Objective Assessment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_Toc77328036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7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3FCF3BBD" w14:textId="14712C3A" w:rsidR="00575F57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7" w:history="1">
            <w:r w:rsidR="00575F57" w:rsidRPr="001102D7">
              <w:rPr>
                <w:rStyle w:val="Hyperlink"/>
                <w:noProof/>
                <w:lang w:bidi="en-US"/>
              </w:rPr>
              <w:t>4.1.2. Assessing Commitment To Advancing The Territory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_Toc77328037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8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0C339881" w14:textId="0C533554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38" w:history="1">
            <w:r w:rsidR="00575F57" w:rsidRPr="001102D7">
              <w:rPr>
                <w:rStyle w:val="Hyperlink"/>
                <w:noProof/>
                <w:lang w:eastAsia="en-AU"/>
              </w:rPr>
              <w:t>4.2. Subjective Scoring Scale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_Toc77328038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9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326E5459" w14:textId="5C5D308C" w:rsidR="00575F57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77328039" w:history="1">
            <w:r w:rsidR="00575F57" w:rsidRPr="001102D7">
              <w:rPr>
                <w:rStyle w:val="Hyperlink"/>
                <w:noProof/>
              </w:rPr>
              <w:t>Appendix A – Focus Areas for Commitment to Advancing the Territory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_Toc77328039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11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4DA698BF" w14:textId="1CCC60FB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40" w:history="1">
            <w:r w:rsidR="00575F57" w:rsidRPr="001102D7">
              <w:rPr>
                <w:rStyle w:val="Hyperlink"/>
                <w:noProof/>
              </w:rPr>
              <w:t>Increased Aboriginal participation in employment and business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_Toc77328040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11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0B3EBCFE" w14:textId="12E11DDD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41" w:history="1">
            <w:r w:rsidR="00575F57" w:rsidRPr="001102D7">
              <w:rPr>
                <w:rStyle w:val="Hyperlink"/>
                <w:noProof/>
              </w:rPr>
              <w:t>Regional development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_Toc77328041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11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00E51B71" w14:textId="71ACE91C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42" w:history="1">
            <w:r w:rsidR="00575F57" w:rsidRPr="001102D7">
              <w:rPr>
                <w:rStyle w:val="Hyperlink"/>
                <w:noProof/>
              </w:rPr>
              <w:t>Territory culture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_Toc77328042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12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705A763F" w14:textId="3CD657E6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43" w:history="1">
            <w:r w:rsidR="00575F57" w:rsidRPr="001102D7">
              <w:rPr>
                <w:rStyle w:val="Hyperlink"/>
                <w:noProof/>
              </w:rPr>
              <w:t>Support for disadvantaged people or groups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_Toc77328043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12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59773191" w14:textId="6D19CD63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44" w:history="1">
            <w:r w:rsidR="00575F57" w:rsidRPr="001102D7">
              <w:rPr>
                <w:rStyle w:val="Hyperlink"/>
                <w:noProof/>
              </w:rPr>
              <w:t>Environmental protection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_Toc77328044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12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4CB57598" w14:textId="3BC8F63D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45" w:history="1">
            <w:r w:rsidR="00575F57" w:rsidRPr="001102D7">
              <w:rPr>
                <w:rStyle w:val="Hyperlink"/>
                <w:noProof/>
              </w:rPr>
              <w:t>Gender equality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_Toc77328045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12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686D33F7" w14:textId="0B64FD5C" w:rsidR="00575F57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77328046" w:history="1">
            <w:r w:rsidR="00575F57" w:rsidRPr="001102D7">
              <w:rPr>
                <w:rStyle w:val="Hyperlink"/>
                <w:noProof/>
              </w:rPr>
              <w:t>Research and innovation</w:t>
            </w:r>
            <w:r w:rsidR="00575F57">
              <w:rPr>
                <w:noProof/>
                <w:webHidden/>
              </w:rPr>
              <w:tab/>
            </w:r>
            <w:r w:rsidR="00575F57">
              <w:rPr>
                <w:noProof/>
                <w:webHidden/>
              </w:rPr>
              <w:fldChar w:fldCharType="begin"/>
            </w:r>
            <w:r w:rsidR="00575F57">
              <w:rPr>
                <w:noProof/>
                <w:webHidden/>
              </w:rPr>
              <w:instrText xml:space="preserve"> PAGEREF _Toc77328046 \h </w:instrText>
            </w:r>
            <w:r w:rsidR="00575F57">
              <w:rPr>
                <w:noProof/>
                <w:webHidden/>
              </w:rPr>
            </w:r>
            <w:r w:rsidR="00575F57">
              <w:rPr>
                <w:noProof/>
                <w:webHidden/>
              </w:rPr>
              <w:fldChar w:fldCharType="separate"/>
            </w:r>
            <w:r w:rsidR="0042758F">
              <w:rPr>
                <w:noProof/>
                <w:webHidden/>
              </w:rPr>
              <w:t>12</w:t>
            </w:r>
            <w:r w:rsidR="00575F57">
              <w:rPr>
                <w:noProof/>
                <w:webHidden/>
              </w:rPr>
              <w:fldChar w:fldCharType="end"/>
            </w:r>
          </w:hyperlink>
        </w:p>
        <w:p w14:paraId="7901C798" w14:textId="1EEABAEB" w:rsidR="004E7885" w:rsidRPr="004E7885" w:rsidRDefault="006747E0" w:rsidP="004E7885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54531C29" w14:textId="77777777" w:rsidR="00964B22" w:rsidRPr="004E7885" w:rsidRDefault="00964B22" w:rsidP="004E7885">
      <w:pPr>
        <w:sectPr w:rsidR="00964B22" w:rsidRPr="004E7885" w:rsidSect="004E788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3909F921" w14:textId="0FC9A29F" w:rsidR="00D417B9" w:rsidRDefault="00D417B9" w:rsidP="004E0FD7">
      <w:pPr>
        <w:pStyle w:val="Heading1"/>
        <w:rPr>
          <w:lang w:eastAsia="en-AU"/>
        </w:rPr>
      </w:pPr>
      <w:bookmarkStart w:id="0" w:name="_Toc77328026"/>
      <w:r>
        <w:rPr>
          <w:lang w:eastAsia="en-AU"/>
        </w:rPr>
        <w:lastRenderedPageBreak/>
        <w:t>Introduction</w:t>
      </w:r>
      <w:bookmarkEnd w:id="0"/>
    </w:p>
    <w:p w14:paraId="7919C2CA" w14:textId="029B0530" w:rsidR="00D17006" w:rsidRDefault="00D17006" w:rsidP="00D17006">
      <w:r>
        <w:rPr>
          <w:lang w:eastAsia="en-AU"/>
        </w:rPr>
        <w:t xml:space="preserve">This guide </w:t>
      </w:r>
      <w:r w:rsidR="004E008F">
        <w:rPr>
          <w:lang w:eastAsia="en-AU"/>
        </w:rPr>
        <w:t xml:space="preserve">is intended to </w:t>
      </w:r>
      <w:r>
        <w:rPr>
          <w:lang w:eastAsia="en-AU"/>
        </w:rPr>
        <w:t>provide</w:t>
      </w:r>
      <w:r w:rsidR="004E008F">
        <w:rPr>
          <w:lang w:eastAsia="en-AU"/>
        </w:rPr>
        <w:t xml:space="preserve"> business with an</w:t>
      </w:r>
      <w:r>
        <w:rPr>
          <w:lang w:eastAsia="en-AU"/>
        </w:rPr>
        <w:t xml:space="preserve"> insight into how the N</w:t>
      </w:r>
      <w:r w:rsidR="00050103">
        <w:rPr>
          <w:lang w:eastAsia="en-AU"/>
        </w:rPr>
        <w:t xml:space="preserve">orthern </w:t>
      </w:r>
      <w:r>
        <w:rPr>
          <w:lang w:eastAsia="en-AU"/>
        </w:rPr>
        <w:t>T</w:t>
      </w:r>
      <w:r w:rsidR="00050103">
        <w:rPr>
          <w:lang w:eastAsia="en-AU"/>
        </w:rPr>
        <w:t>erritory</w:t>
      </w:r>
      <w:r>
        <w:rPr>
          <w:lang w:eastAsia="en-AU"/>
        </w:rPr>
        <w:t xml:space="preserve"> Government defines and assesses Value </w:t>
      </w:r>
      <w:proofErr w:type="gramStart"/>
      <w:r>
        <w:rPr>
          <w:lang w:eastAsia="en-AU"/>
        </w:rPr>
        <w:t>For</w:t>
      </w:r>
      <w:proofErr w:type="gramEnd"/>
      <w:r>
        <w:rPr>
          <w:lang w:eastAsia="en-AU"/>
        </w:rPr>
        <w:t xml:space="preserve"> Territory </w:t>
      </w:r>
      <w:r w:rsidR="00AD73F3">
        <w:rPr>
          <w:lang w:eastAsia="en-AU"/>
        </w:rPr>
        <w:t xml:space="preserve">in its tender assessment process </w:t>
      </w:r>
      <w:r>
        <w:rPr>
          <w:lang w:eastAsia="en-AU"/>
        </w:rPr>
        <w:t xml:space="preserve">and </w:t>
      </w:r>
      <w:r w:rsidR="009C05F4">
        <w:rPr>
          <w:lang w:eastAsia="en-AU"/>
        </w:rPr>
        <w:t xml:space="preserve">has been </w:t>
      </w:r>
      <w:r w:rsidR="004E008F">
        <w:rPr>
          <w:lang w:eastAsia="en-AU"/>
        </w:rPr>
        <w:t>developed</w:t>
      </w:r>
      <w:r>
        <w:rPr>
          <w:lang w:eastAsia="en-AU"/>
        </w:rPr>
        <w:t xml:space="preserve"> to be read in conjunction with the </w:t>
      </w:r>
      <w:r w:rsidRPr="00EF4073">
        <w:rPr>
          <w:lang w:eastAsia="en-AU"/>
        </w:rPr>
        <w:t>Tendering Guide</w:t>
      </w:r>
      <w:r w:rsidR="00D06A58">
        <w:rPr>
          <w:rStyle w:val="FootnoteReference"/>
          <w:lang w:eastAsia="en-AU"/>
        </w:rPr>
        <w:footnoteReference w:id="2"/>
      </w:r>
      <w:r>
        <w:rPr>
          <w:lang w:eastAsia="en-AU"/>
        </w:rPr>
        <w:t>.</w:t>
      </w:r>
      <w:r w:rsidRPr="00803232">
        <w:t xml:space="preserve"> </w:t>
      </w:r>
    </w:p>
    <w:p w14:paraId="6C0EE127" w14:textId="1022C61A" w:rsidR="00251444" w:rsidRDefault="004E008F" w:rsidP="00D17006">
      <w:r>
        <w:t xml:space="preserve">The document will outline each of the assessment criteria used in tender </w:t>
      </w:r>
      <w:proofErr w:type="gramStart"/>
      <w:r>
        <w:t>assessments, and</w:t>
      </w:r>
      <w:proofErr w:type="gramEnd"/>
      <w:r>
        <w:t xml:space="preserve"> will discuss how they are considered by the assessment panel</w:t>
      </w:r>
      <w:r w:rsidR="00AD73F3">
        <w:t xml:space="preserve"> when evaluating Value for Territory</w:t>
      </w:r>
      <w:r>
        <w:t>.</w:t>
      </w:r>
    </w:p>
    <w:p w14:paraId="2BC22432" w14:textId="3F1E669E" w:rsidR="004E0FD7" w:rsidRDefault="00D417B9" w:rsidP="004E0FD7">
      <w:pPr>
        <w:pStyle w:val="Heading1"/>
        <w:rPr>
          <w:lang w:eastAsia="en-AU"/>
        </w:rPr>
      </w:pPr>
      <w:bookmarkStart w:id="1" w:name="_Toc77328027"/>
      <w:r>
        <w:rPr>
          <w:lang w:eastAsia="en-AU"/>
        </w:rPr>
        <w:t xml:space="preserve">What is </w:t>
      </w:r>
      <w:r w:rsidR="00694E54">
        <w:rPr>
          <w:lang w:eastAsia="en-AU"/>
        </w:rPr>
        <w:t>Value for Territory</w:t>
      </w:r>
      <w:bookmarkEnd w:id="1"/>
    </w:p>
    <w:p w14:paraId="027A946D" w14:textId="64F1B89F" w:rsidR="00B5223A" w:rsidRDefault="00B5223A" w:rsidP="00694E54">
      <w:pPr>
        <w:rPr>
          <w:lang w:eastAsia="en-AU"/>
        </w:rPr>
      </w:pPr>
      <w:r>
        <w:rPr>
          <w:lang w:eastAsia="en-AU"/>
        </w:rPr>
        <w:t xml:space="preserve">Value For Territory (VFT) </w:t>
      </w:r>
      <w:r w:rsidR="00D417B9">
        <w:rPr>
          <w:lang w:eastAsia="en-AU"/>
        </w:rPr>
        <w:t xml:space="preserve">is </w:t>
      </w:r>
      <w:r w:rsidR="00D17006">
        <w:rPr>
          <w:lang w:eastAsia="en-AU"/>
        </w:rPr>
        <w:t xml:space="preserve">one of </w:t>
      </w:r>
      <w:r w:rsidR="00AF1158">
        <w:rPr>
          <w:lang w:eastAsia="en-AU"/>
        </w:rPr>
        <w:t>five</w:t>
      </w:r>
      <w:r w:rsidR="00D417B9">
        <w:rPr>
          <w:lang w:eastAsia="en-AU"/>
        </w:rPr>
        <w:t xml:space="preserve"> </w:t>
      </w:r>
      <w:r w:rsidR="00D17006">
        <w:rPr>
          <w:lang w:eastAsia="en-AU"/>
        </w:rPr>
        <w:t>Procurement Pr</w:t>
      </w:r>
      <w:r w:rsidR="00D417B9">
        <w:rPr>
          <w:lang w:eastAsia="en-AU"/>
        </w:rPr>
        <w:t>incip</w:t>
      </w:r>
      <w:r w:rsidR="003600BE">
        <w:rPr>
          <w:lang w:eastAsia="en-AU"/>
        </w:rPr>
        <w:t>les</w:t>
      </w:r>
      <w:r w:rsidR="00D17006">
        <w:rPr>
          <w:lang w:eastAsia="en-AU"/>
        </w:rPr>
        <w:t xml:space="preserve"> that guide</w:t>
      </w:r>
      <w:r w:rsidR="00D417B9">
        <w:rPr>
          <w:lang w:eastAsia="en-AU"/>
        </w:rPr>
        <w:t xml:space="preserve"> the way that Government </w:t>
      </w:r>
      <w:r w:rsidR="00D17006">
        <w:rPr>
          <w:lang w:eastAsia="en-AU"/>
        </w:rPr>
        <w:t xml:space="preserve">undertakes and </w:t>
      </w:r>
      <w:r w:rsidR="00AD73F3">
        <w:rPr>
          <w:lang w:eastAsia="en-AU"/>
        </w:rPr>
        <w:t xml:space="preserve">assesses </w:t>
      </w:r>
      <w:r w:rsidR="00D417B9">
        <w:rPr>
          <w:lang w:eastAsia="en-AU"/>
        </w:rPr>
        <w:t>tender</w:t>
      </w:r>
      <w:r w:rsidR="00D17006">
        <w:rPr>
          <w:lang w:eastAsia="en-AU"/>
        </w:rPr>
        <w:t>s</w:t>
      </w:r>
      <w:r w:rsidR="00D417B9">
        <w:rPr>
          <w:lang w:eastAsia="en-AU"/>
        </w:rPr>
        <w:t xml:space="preserve">.  It </w:t>
      </w:r>
      <w:r>
        <w:rPr>
          <w:lang w:eastAsia="en-AU"/>
        </w:rPr>
        <w:t xml:space="preserve">is </w:t>
      </w:r>
      <w:r w:rsidR="00D17006">
        <w:rPr>
          <w:lang w:eastAsia="en-AU"/>
        </w:rPr>
        <w:t xml:space="preserve">a key driver in the effective realisation of NTG economic, social and cultural objectives.  That means government wants more for its contract delivery than just the </w:t>
      </w:r>
      <w:r w:rsidR="00986EDB">
        <w:rPr>
          <w:lang w:eastAsia="en-AU"/>
        </w:rPr>
        <w:t xml:space="preserve">best </w:t>
      </w:r>
      <w:r w:rsidR="00D17006">
        <w:rPr>
          <w:lang w:eastAsia="en-AU"/>
        </w:rPr>
        <w:t xml:space="preserve">price. </w:t>
      </w:r>
      <w:r>
        <w:rPr>
          <w:lang w:eastAsia="en-AU"/>
        </w:rPr>
        <w:t xml:space="preserve"> VFT </w:t>
      </w:r>
      <w:r w:rsidR="00D17006">
        <w:rPr>
          <w:lang w:eastAsia="en-AU"/>
        </w:rPr>
        <w:t xml:space="preserve">in a tender </w:t>
      </w:r>
      <w:r w:rsidR="00986EDB">
        <w:rPr>
          <w:lang w:eastAsia="en-AU"/>
        </w:rPr>
        <w:t>is a</w:t>
      </w:r>
      <w:r>
        <w:rPr>
          <w:lang w:eastAsia="en-AU"/>
        </w:rPr>
        <w:t xml:space="preserve"> combination of:</w:t>
      </w:r>
    </w:p>
    <w:p w14:paraId="339CD8FD" w14:textId="2CF72470" w:rsidR="00B5223A" w:rsidRDefault="00B5223A" w:rsidP="00B010B0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Good quality – </w:t>
      </w:r>
      <w:r w:rsidR="00C15963">
        <w:rPr>
          <w:lang w:eastAsia="en-AU"/>
        </w:rPr>
        <w:t xml:space="preserve">tenderers provide a </w:t>
      </w:r>
      <w:r>
        <w:rPr>
          <w:lang w:eastAsia="en-AU"/>
        </w:rPr>
        <w:t>fit for purpose solution that meets the N</w:t>
      </w:r>
      <w:r w:rsidR="00050103">
        <w:rPr>
          <w:lang w:eastAsia="en-AU"/>
        </w:rPr>
        <w:t xml:space="preserve">orthern </w:t>
      </w:r>
      <w:r>
        <w:rPr>
          <w:lang w:eastAsia="en-AU"/>
        </w:rPr>
        <w:t>T</w:t>
      </w:r>
      <w:r w:rsidR="00050103">
        <w:rPr>
          <w:lang w:eastAsia="en-AU"/>
        </w:rPr>
        <w:t>erritory</w:t>
      </w:r>
      <w:r>
        <w:rPr>
          <w:lang w:eastAsia="en-AU"/>
        </w:rPr>
        <w:t xml:space="preserve"> Governments </w:t>
      </w:r>
      <w:proofErr w:type="gramStart"/>
      <w:r>
        <w:rPr>
          <w:lang w:eastAsia="en-AU"/>
        </w:rPr>
        <w:t>needs</w:t>
      </w:r>
      <w:proofErr w:type="gramEnd"/>
    </w:p>
    <w:p w14:paraId="233D2F04" w14:textId="28449D81" w:rsidR="00B5223A" w:rsidRDefault="00B5223A" w:rsidP="00B010B0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Good price </w:t>
      </w:r>
      <w:r w:rsidR="00944A27">
        <w:rPr>
          <w:lang w:eastAsia="en-AU"/>
        </w:rPr>
        <w:t>–</w:t>
      </w:r>
      <w:r>
        <w:rPr>
          <w:lang w:eastAsia="en-AU"/>
        </w:rPr>
        <w:t xml:space="preserve"> </w:t>
      </w:r>
      <w:r w:rsidR="00C15963">
        <w:rPr>
          <w:lang w:eastAsia="en-AU"/>
        </w:rPr>
        <w:t xml:space="preserve">tenderers provide a </w:t>
      </w:r>
      <w:r w:rsidR="00944A27">
        <w:rPr>
          <w:lang w:eastAsia="en-AU"/>
        </w:rPr>
        <w:t xml:space="preserve">competitive price that is sustainable for both government and </w:t>
      </w:r>
      <w:proofErr w:type="gramStart"/>
      <w:r w:rsidR="00944A27">
        <w:rPr>
          <w:lang w:eastAsia="en-AU"/>
        </w:rPr>
        <w:t>industry</w:t>
      </w:r>
      <w:proofErr w:type="gramEnd"/>
    </w:p>
    <w:p w14:paraId="0DBDAF54" w14:textId="19EA184B" w:rsidR="00B7381A" w:rsidRDefault="00944A27" w:rsidP="00B7381A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 xml:space="preserve">Good outcomes – </w:t>
      </w:r>
      <w:r w:rsidR="00C15963">
        <w:rPr>
          <w:lang w:eastAsia="en-AU"/>
        </w:rPr>
        <w:t xml:space="preserve">tenderers </w:t>
      </w:r>
      <w:r w:rsidR="00AD73F3">
        <w:rPr>
          <w:lang w:eastAsia="en-AU"/>
        </w:rPr>
        <w:t xml:space="preserve">contribute </w:t>
      </w:r>
      <w:r>
        <w:rPr>
          <w:lang w:eastAsia="en-AU"/>
        </w:rPr>
        <w:t>towards the N</w:t>
      </w:r>
      <w:r w:rsidR="00050103">
        <w:rPr>
          <w:lang w:eastAsia="en-AU"/>
        </w:rPr>
        <w:t xml:space="preserve">orthern </w:t>
      </w:r>
      <w:r>
        <w:rPr>
          <w:lang w:eastAsia="en-AU"/>
        </w:rPr>
        <w:t>T</w:t>
      </w:r>
      <w:r w:rsidR="00050103">
        <w:rPr>
          <w:lang w:eastAsia="en-AU"/>
        </w:rPr>
        <w:t>erritory</w:t>
      </w:r>
      <w:r>
        <w:rPr>
          <w:lang w:eastAsia="en-AU"/>
        </w:rPr>
        <w:t xml:space="preserve"> Government</w:t>
      </w:r>
      <w:r w:rsidR="003600BE">
        <w:rPr>
          <w:lang w:eastAsia="en-AU"/>
        </w:rPr>
        <w:t>’</w:t>
      </w:r>
      <w:r>
        <w:rPr>
          <w:lang w:eastAsia="en-AU"/>
        </w:rPr>
        <w:t>s economic, social</w:t>
      </w:r>
      <w:r w:rsidR="00AD73F3">
        <w:rPr>
          <w:lang w:eastAsia="en-AU"/>
        </w:rPr>
        <w:t>,</w:t>
      </w:r>
      <w:r>
        <w:rPr>
          <w:lang w:eastAsia="en-AU"/>
        </w:rPr>
        <w:t xml:space="preserve"> environmental and cultural objectives for the Northern Territory</w:t>
      </w:r>
      <w:r w:rsidR="00A0675A">
        <w:rPr>
          <w:lang w:eastAsia="en-AU"/>
        </w:rPr>
        <w:t>.</w:t>
      </w:r>
    </w:p>
    <w:p w14:paraId="2A112077" w14:textId="77777777" w:rsidR="00B5223A" w:rsidRDefault="00694E54" w:rsidP="00B5223A">
      <w:pPr>
        <w:keepNext/>
      </w:pPr>
      <w:r>
        <w:rPr>
          <w:noProof/>
          <w:lang w:eastAsia="en-AU"/>
        </w:rPr>
        <w:drawing>
          <wp:inline distT="0" distB="0" distL="0" distR="0" wp14:anchorId="593E4DF9" wp14:editId="350D9093">
            <wp:extent cx="6196263" cy="3615055"/>
            <wp:effectExtent l="0" t="0" r="0" b="4445"/>
            <wp:docPr id="2" name="Picture 2" descr="Good quality – tenderers provide a fit for purpose solution that meets the NT Governments needs&#10;Good price – tenderers provide a competitively price that is sustainable for both government and industry&#10;Good outcomes – tenderers contributing towards the NT Governments economic, social environmental and cultural  objectives for the Northern Territory&#10;" title="Value For Territory diagram showing Good Quality, Good Outcomes and Good P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659" cy="361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73FB5" w14:textId="1579763D" w:rsidR="00694E54" w:rsidRDefault="00B5223A" w:rsidP="00B5223A">
      <w:pPr>
        <w:pStyle w:val="Caption"/>
        <w:rPr>
          <w:lang w:eastAsia="en-AU"/>
        </w:rPr>
      </w:pPr>
      <w:r>
        <w:t xml:space="preserve">Figure </w:t>
      </w:r>
      <w:fldSimple w:instr=" SEQ Figure \* ARABIC ">
        <w:r w:rsidR="0042758F">
          <w:rPr>
            <w:noProof/>
          </w:rPr>
          <w:t>1</w:t>
        </w:r>
      </w:fldSimple>
      <w:r>
        <w:t xml:space="preserve"> - Value </w:t>
      </w:r>
      <w:proofErr w:type="gramStart"/>
      <w:r>
        <w:t>For</w:t>
      </w:r>
      <w:proofErr w:type="gramEnd"/>
      <w:r>
        <w:t xml:space="preserve"> Territory diagram showing Good Quality, Good Outcomes and Good Price</w:t>
      </w:r>
    </w:p>
    <w:p w14:paraId="0CF3F1BA" w14:textId="44B2B622" w:rsidR="00CB4473" w:rsidRDefault="00C5469F" w:rsidP="00694E54">
      <w:pPr>
        <w:rPr>
          <w:lang w:eastAsia="en-AU"/>
        </w:rPr>
      </w:pPr>
      <w:r>
        <w:rPr>
          <w:lang w:eastAsia="en-AU"/>
        </w:rPr>
        <w:lastRenderedPageBreak/>
        <w:t>While the considerations that make up good quality and good price are reasonably consistent across all procurement cont</w:t>
      </w:r>
      <w:r w:rsidR="003600BE">
        <w:rPr>
          <w:lang w:eastAsia="en-AU"/>
        </w:rPr>
        <w:t>r</w:t>
      </w:r>
      <w:r>
        <w:rPr>
          <w:lang w:eastAsia="en-AU"/>
        </w:rPr>
        <w:t xml:space="preserve">acts, the consideration of good outcomes can vary </w:t>
      </w:r>
      <w:r w:rsidR="00443699">
        <w:rPr>
          <w:lang w:eastAsia="en-AU"/>
        </w:rPr>
        <w:t>considerably</w:t>
      </w:r>
      <w:r>
        <w:rPr>
          <w:lang w:eastAsia="en-AU"/>
        </w:rPr>
        <w:t xml:space="preserve"> based on the specific priorities of government</w:t>
      </w:r>
      <w:r w:rsidR="00AD73F3">
        <w:rPr>
          <w:lang w:eastAsia="en-AU"/>
        </w:rPr>
        <w:t xml:space="preserve"> at the time</w:t>
      </w:r>
      <w:r>
        <w:rPr>
          <w:lang w:eastAsia="en-AU"/>
        </w:rPr>
        <w:t>.</w:t>
      </w:r>
      <w:r w:rsidR="00CB4473">
        <w:rPr>
          <w:lang w:eastAsia="en-AU"/>
        </w:rPr>
        <w:t xml:space="preserve"> </w:t>
      </w:r>
    </w:p>
    <w:p w14:paraId="058D2080" w14:textId="2CF3E065" w:rsidR="00694E54" w:rsidRDefault="00B570DE" w:rsidP="00694E54">
      <w:pPr>
        <w:pStyle w:val="Heading1"/>
        <w:rPr>
          <w:lang w:eastAsia="en-AU"/>
        </w:rPr>
      </w:pPr>
      <w:bookmarkStart w:id="2" w:name="_Toc77328028"/>
      <w:r>
        <w:rPr>
          <w:lang w:eastAsia="en-AU"/>
        </w:rPr>
        <w:t xml:space="preserve">Value For Territory </w:t>
      </w:r>
      <w:r w:rsidR="00694E54">
        <w:rPr>
          <w:lang w:eastAsia="en-AU"/>
        </w:rPr>
        <w:t>Assessment Criteria</w:t>
      </w:r>
      <w:bookmarkEnd w:id="2"/>
    </w:p>
    <w:p w14:paraId="12247D42" w14:textId="676308AD" w:rsidR="00C5469F" w:rsidRDefault="00CB4473" w:rsidP="000627CB">
      <w:pPr>
        <w:rPr>
          <w:lang w:eastAsia="en-AU"/>
        </w:rPr>
      </w:pPr>
      <w:r>
        <w:rPr>
          <w:lang w:eastAsia="en-AU"/>
        </w:rPr>
        <w:t>To ass</w:t>
      </w:r>
      <w:r w:rsidR="00917C6F">
        <w:rPr>
          <w:lang w:eastAsia="en-AU"/>
        </w:rPr>
        <w:t>e</w:t>
      </w:r>
      <w:r w:rsidR="001F132C">
        <w:rPr>
          <w:lang w:eastAsia="en-AU"/>
        </w:rPr>
        <w:t>s</w:t>
      </w:r>
      <w:r w:rsidR="00917C6F">
        <w:rPr>
          <w:lang w:eastAsia="en-AU"/>
        </w:rPr>
        <w:t>s VFT, the N</w:t>
      </w:r>
      <w:r w:rsidR="00050103">
        <w:rPr>
          <w:lang w:eastAsia="en-AU"/>
        </w:rPr>
        <w:t xml:space="preserve">orthern </w:t>
      </w:r>
      <w:r w:rsidR="00917C6F">
        <w:rPr>
          <w:lang w:eastAsia="en-AU"/>
        </w:rPr>
        <w:t>T</w:t>
      </w:r>
      <w:r w:rsidR="00050103">
        <w:rPr>
          <w:lang w:eastAsia="en-AU"/>
        </w:rPr>
        <w:t>erritory</w:t>
      </w:r>
      <w:r w:rsidR="00917C6F">
        <w:rPr>
          <w:lang w:eastAsia="en-AU"/>
        </w:rPr>
        <w:t xml:space="preserve"> Government uses </w:t>
      </w:r>
      <w:r w:rsidR="00443699">
        <w:rPr>
          <w:lang w:eastAsia="en-AU"/>
        </w:rPr>
        <w:t>up to six</w:t>
      </w:r>
      <w:r>
        <w:rPr>
          <w:lang w:eastAsia="en-AU"/>
        </w:rPr>
        <w:t xml:space="preserve"> standard</w:t>
      </w:r>
      <w:r w:rsidR="00917C6F">
        <w:rPr>
          <w:lang w:eastAsia="en-AU"/>
        </w:rPr>
        <w:t xml:space="preserve"> </w:t>
      </w:r>
      <w:r>
        <w:rPr>
          <w:lang w:eastAsia="en-AU"/>
        </w:rPr>
        <w:t>assessment c</w:t>
      </w:r>
      <w:r w:rsidR="00917C6F">
        <w:rPr>
          <w:lang w:eastAsia="en-AU"/>
        </w:rPr>
        <w:t>riteria:</w:t>
      </w:r>
    </w:p>
    <w:p w14:paraId="1CE60DA4" w14:textId="096373AE" w:rsidR="00917C6F" w:rsidRDefault="00575F57" w:rsidP="00B010B0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Local Content</w:t>
      </w:r>
    </w:p>
    <w:p w14:paraId="40A61D0D" w14:textId="718236BD" w:rsidR="00917C6F" w:rsidRDefault="00575F57" w:rsidP="00B010B0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Past performance</w:t>
      </w:r>
    </w:p>
    <w:p w14:paraId="3FB558B6" w14:textId="0673ECB3" w:rsidR="00917C6F" w:rsidRDefault="00575F57" w:rsidP="00B010B0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Capability</w:t>
      </w:r>
    </w:p>
    <w:p w14:paraId="2B19018E" w14:textId="744222C5" w:rsidR="00917C6F" w:rsidRDefault="00575F57" w:rsidP="00B010B0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Capacity &amp; Timeliness</w:t>
      </w:r>
    </w:p>
    <w:p w14:paraId="795D6A57" w14:textId="725E5250" w:rsidR="00917C6F" w:rsidRDefault="00575F57" w:rsidP="00B010B0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Scope Specific</w:t>
      </w:r>
    </w:p>
    <w:p w14:paraId="0FC58FEF" w14:textId="19332222" w:rsidR="00917C6F" w:rsidRDefault="00917C6F" w:rsidP="00B010B0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Price</w:t>
      </w:r>
    </w:p>
    <w:p w14:paraId="292F6EE9" w14:textId="46EEA58E" w:rsidR="003A5C34" w:rsidRDefault="00917C6F" w:rsidP="00917C6F">
      <w:pPr>
        <w:rPr>
          <w:lang w:eastAsia="en-AU"/>
        </w:rPr>
      </w:pPr>
      <w:r>
        <w:rPr>
          <w:lang w:eastAsia="en-AU"/>
        </w:rPr>
        <w:t xml:space="preserve">Each of </w:t>
      </w:r>
      <w:proofErr w:type="gramStart"/>
      <w:r>
        <w:rPr>
          <w:lang w:eastAsia="en-AU"/>
        </w:rPr>
        <w:t>these criter</w:t>
      </w:r>
      <w:r w:rsidR="00986EDB">
        <w:rPr>
          <w:lang w:eastAsia="en-AU"/>
        </w:rPr>
        <w:t>ion</w:t>
      </w:r>
      <w:proofErr w:type="gramEnd"/>
      <w:r w:rsidR="001F132C">
        <w:rPr>
          <w:lang w:eastAsia="en-AU"/>
        </w:rPr>
        <w:t>, where selected,</w:t>
      </w:r>
      <w:r>
        <w:rPr>
          <w:lang w:eastAsia="en-AU"/>
        </w:rPr>
        <w:t xml:space="preserve"> is allocated </w:t>
      </w:r>
      <w:r w:rsidR="001F132C">
        <w:rPr>
          <w:lang w:eastAsia="en-AU"/>
        </w:rPr>
        <w:t>a</w:t>
      </w:r>
      <w:r>
        <w:rPr>
          <w:lang w:eastAsia="en-AU"/>
        </w:rPr>
        <w:t xml:space="preserve"> weighting</w:t>
      </w:r>
      <w:r w:rsidR="00D85ADF">
        <w:rPr>
          <w:lang w:eastAsia="en-AU"/>
        </w:rPr>
        <w:t xml:space="preserve"> as indicated in the tender documents</w:t>
      </w:r>
      <w:r w:rsidR="00986EDB">
        <w:rPr>
          <w:lang w:eastAsia="en-AU"/>
        </w:rPr>
        <w:t>.</w:t>
      </w:r>
      <w:r w:rsidR="00D85ADF">
        <w:rPr>
          <w:lang w:eastAsia="en-AU"/>
        </w:rPr>
        <w:t xml:space="preserve"> Local Content must always be weighted at </w:t>
      </w:r>
      <w:r w:rsidR="00AD73F3">
        <w:rPr>
          <w:lang w:eastAsia="en-AU"/>
        </w:rPr>
        <w:t xml:space="preserve">a minimum of </w:t>
      </w:r>
      <w:r w:rsidR="00D85ADF">
        <w:rPr>
          <w:lang w:eastAsia="en-AU"/>
        </w:rPr>
        <w:t>30%.</w:t>
      </w:r>
      <w:r>
        <w:rPr>
          <w:lang w:eastAsia="en-AU"/>
        </w:rPr>
        <w:t xml:space="preserve"> </w:t>
      </w:r>
    </w:p>
    <w:p w14:paraId="1BBEA522" w14:textId="4C522382" w:rsidR="00FF6BCB" w:rsidRDefault="00FF6BCB" w:rsidP="00917C6F">
      <w:pPr>
        <w:rPr>
          <w:lang w:eastAsia="en-AU"/>
        </w:rPr>
      </w:pPr>
      <w:r>
        <w:rPr>
          <w:lang w:eastAsia="en-AU"/>
        </w:rPr>
        <w:t xml:space="preserve">An overview of each of </w:t>
      </w:r>
      <w:r w:rsidR="00155BB5">
        <w:rPr>
          <w:lang w:eastAsia="en-AU"/>
        </w:rPr>
        <w:t xml:space="preserve">the non-price </w:t>
      </w:r>
      <w:r>
        <w:rPr>
          <w:lang w:eastAsia="en-AU"/>
        </w:rPr>
        <w:t>criteria is included below.</w:t>
      </w:r>
      <w:r w:rsidR="00155BB5">
        <w:rPr>
          <w:lang w:eastAsia="en-AU"/>
        </w:rPr>
        <w:t xml:space="preserve"> Refer to the </w:t>
      </w:r>
      <w:r w:rsidR="00155BB5" w:rsidRPr="00AD73F3">
        <w:rPr>
          <w:lang w:eastAsia="en-AU"/>
        </w:rPr>
        <w:t>Tendering Guide</w:t>
      </w:r>
      <w:r w:rsidR="00155BB5">
        <w:rPr>
          <w:lang w:eastAsia="en-AU"/>
        </w:rPr>
        <w:t xml:space="preserve"> for information on </w:t>
      </w:r>
      <w:r w:rsidR="00AD73F3">
        <w:rPr>
          <w:lang w:eastAsia="en-AU"/>
        </w:rPr>
        <w:t>how price is assessed</w:t>
      </w:r>
      <w:r w:rsidR="00155BB5">
        <w:rPr>
          <w:lang w:eastAsia="en-AU"/>
        </w:rPr>
        <w:t xml:space="preserve">. </w:t>
      </w:r>
    </w:p>
    <w:p w14:paraId="7BD1BD93" w14:textId="63BDA30A" w:rsidR="00C5469F" w:rsidRDefault="00C5469F" w:rsidP="00C5469F">
      <w:pPr>
        <w:pStyle w:val="Heading2"/>
        <w:rPr>
          <w:lang w:eastAsia="en-AU"/>
        </w:rPr>
      </w:pPr>
      <w:bookmarkStart w:id="3" w:name="_Toc77328029"/>
      <w:r>
        <w:rPr>
          <w:lang w:eastAsia="en-AU"/>
        </w:rPr>
        <w:t>Local Content</w:t>
      </w:r>
      <w:bookmarkEnd w:id="3"/>
    </w:p>
    <w:p w14:paraId="2066C966" w14:textId="062913C9" w:rsidR="00D85ADF" w:rsidRDefault="003A5C34" w:rsidP="003A5C34">
      <w:pPr>
        <w:rPr>
          <w:rFonts w:cstheme="minorHAnsi"/>
        </w:rPr>
      </w:pPr>
      <w:r w:rsidRPr="00236D6E">
        <w:rPr>
          <w:rFonts w:cstheme="minorHAnsi"/>
        </w:rPr>
        <w:t>The N</w:t>
      </w:r>
      <w:r w:rsidR="00050103">
        <w:rPr>
          <w:rFonts w:cstheme="minorHAnsi"/>
        </w:rPr>
        <w:t xml:space="preserve">orthern </w:t>
      </w:r>
      <w:r w:rsidRPr="00236D6E">
        <w:rPr>
          <w:rFonts w:cstheme="minorHAnsi"/>
        </w:rPr>
        <w:t>T</w:t>
      </w:r>
      <w:r w:rsidR="00050103">
        <w:rPr>
          <w:rFonts w:cstheme="minorHAnsi"/>
        </w:rPr>
        <w:t>erritory</w:t>
      </w:r>
      <w:r w:rsidRPr="00236D6E">
        <w:rPr>
          <w:rFonts w:cstheme="minorHAnsi"/>
        </w:rPr>
        <w:t xml:space="preserve"> Government is committed</w:t>
      </w:r>
      <w:r w:rsidR="00D85ADF">
        <w:rPr>
          <w:rFonts w:cstheme="minorHAnsi"/>
        </w:rPr>
        <w:t xml:space="preserve"> through its Buy Local Plan</w:t>
      </w:r>
      <w:r w:rsidRPr="00236D6E">
        <w:rPr>
          <w:rFonts w:cstheme="minorHAnsi"/>
        </w:rPr>
        <w:t xml:space="preserve"> to supporting businesses that use local contractors, suppliers, hire and train Territorians and support the development of the Territory.  </w:t>
      </w:r>
    </w:p>
    <w:p w14:paraId="21443581" w14:textId="77777777" w:rsidR="003600BE" w:rsidRDefault="003A5C34" w:rsidP="003A5C34">
      <w:pPr>
        <w:rPr>
          <w:rFonts w:cstheme="minorHAnsi"/>
        </w:rPr>
      </w:pPr>
      <w:r w:rsidRPr="00236D6E">
        <w:rPr>
          <w:rFonts w:cstheme="minorHAnsi"/>
        </w:rPr>
        <w:t xml:space="preserve">Assessment </w:t>
      </w:r>
      <w:r>
        <w:rPr>
          <w:rFonts w:cstheme="minorHAnsi"/>
        </w:rPr>
        <w:t xml:space="preserve">of this criteria </w:t>
      </w:r>
      <w:r w:rsidRPr="00236D6E">
        <w:rPr>
          <w:rFonts w:cstheme="minorHAnsi"/>
        </w:rPr>
        <w:t>take</w:t>
      </w:r>
      <w:r w:rsidR="00D85ADF">
        <w:rPr>
          <w:rFonts w:cstheme="minorHAnsi"/>
        </w:rPr>
        <w:t>s</w:t>
      </w:r>
      <w:r w:rsidRPr="00236D6E">
        <w:rPr>
          <w:rFonts w:cstheme="minorHAnsi"/>
        </w:rPr>
        <w:t xml:space="preserve"> into consideration </w:t>
      </w:r>
      <w:r w:rsidR="00D85ADF">
        <w:rPr>
          <w:rFonts w:cstheme="minorHAnsi"/>
        </w:rPr>
        <w:t xml:space="preserve">the tenderers </w:t>
      </w:r>
      <w:r w:rsidRPr="00236D6E">
        <w:rPr>
          <w:rFonts w:cstheme="minorHAnsi"/>
        </w:rPr>
        <w:t>commitment</w:t>
      </w:r>
      <w:r>
        <w:rPr>
          <w:rFonts w:cstheme="minorHAnsi"/>
        </w:rPr>
        <w:t>s</w:t>
      </w:r>
      <w:r w:rsidRPr="00236D6E">
        <w:rPr>
          <w:rFonts w:cstheme="minorHAnsi"/>
        </w:rPr>
        <w:t xml:space="preserve"> </w:t>
      </w:r>
      <w:proofErr w:type="gramStart"/>
      <w:r w:rsidRPr="00236D6E">
        <w:rPr>
          <w:rFonts w:cstheme="minorHAnsi"/>
        </w:rPr>
        <w:t>to</w:t>
      </w:r>
      <w:r w:rsidR="003600BE">
        <w:rPr>
          <w:rFonts w:cstheme="minorHAnsi"/>
        </w:rPr>
        <w:t>:-</w:t>
      </w:r>
      <w:proofErr w:type="gramEnd"/>
    </w:p>
    <w:p w14:paraId="554B26DD" w14:textId="4589D43B" w:rsidR="003600BE" w:rsidRDefault="00575F57" w:rsidP="00453153">
      <w:pPr>
        <w:pStyle w:val="ListParagraph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S</w:t>
      </w:r>
      <w:r w:rsidR="003A5C34" w:rsidRPr="003600BE">
        <w:rPr>
          <w:rFonts w:cstheme="minorHAnsi"/>
        </w:rPr>
        <w:t xml:space="preserve">upporting and employing Territorians including </w:t>
      </w:r>
      <w:r w:rsidR="00D85ADF" w:rsidRPr="003600BE">
        <w:rPr>
          <w:rFonts w:cstheme="minorHAnsi"/>
        </w:rPr>
        <w:t>Aboriginal</w:t>
      </w:r>
      <w:r w:rsidR="003A5C34" w:rsidRPr="003600BE">
        <w:rPr>
          <w:rFonts w:cstheme="minorHAnsi"/>
        </w:rPr>
        <w:t xml:space="preserve"> Territorians, </w:t>
      </w:r>
      <w:r w:rsidR="003600BE">
        <w:rPr>
          <w:rFonts w:cstheme="minorHAnsi"/>
        </w:rPr>
        <w:t>through provision of</w:t>
      </w:r>
      <w:r w:rsidR="003A5C34" w:rsidRPr="003600BE">
        <w:rPr>
          <w:rFonts w:cstheme="minorHAnsi"/>
        </w:rPr>
        <w:t xml:space="preserve"> accredited training for its employees, sourc</w:t>
      </w:r>
      <w:r w:rsidR="003600BE">
        <w:rPr>
          <w:rFonts w:cstheme="minorHAnsi"/>
        </w:rPr>
        <w:t>ing</w:t>
      </w:r>
      <w:r w:rsidR="003A5C34" w:rsidRPr="003600BE">
        <w:rPr>
          <w:rFonts w:cstheme="minorHAnsi"/>
        </w:rPr>
        <w:t xml:space="preserve"> goods and services from local businesses </w:t>
      </w:r>
      <w:r w:rsidR="003600BE">
        <w:rPr>
          <w:rFonts w:cstheme="minorHAnsi"/>
        </w:rPr>
        <w:t>or</w:t>
      </w:r>
      <w:r w:rsidR="003A5C34" w:rsidRPr="003600BE">
        <w:rPr>
          <w:rFonts w:cstheme="minorHAnsi"/>
        </w:rPr>
        <w:t xml:space="preserve"> other activities that support the </w:t>
      </w:r>
      <w:r w:rsidR="00AD73F3">
        <w:rPr>
          <w:rFonts w:cstheme="minorHAnsi"/>
        </w:rPr>
        <w:t xml:space="preserve">development and advancement of </w:t>
      </w:r>
      <w:proofErr w:type="spellStart"/>
      <w:r w:rsidR="00AD73F3">
        <w:rPr>
          <w:rFonts w:cstheme="minorHAnsi"/>
        </w:rPr>
        <w:t>the</w:t>
      </w:r>
      <w:r w:rsidR="003A5C34" w:rsidRPr="003600BE">
        <w:rPr>
          <w:rFonts w:cstheme="minorHAnsi"/>
        </w:rPr>
        <w:t>Territory</w:t>
      </w:r>
      <w:proofErr w:type="spellEnd"/>
      <w:r w:rsidR="003600BE">
        <w:rPr>
          <w:rFonts w:cstheme="minorHAnsi"/>
        </w:rPr>
        <w:t>; and</w:t>
      </w:r>
    </w:p>
    <w:p w14:paraId="3AD6763C" w14:textId="5626C400" w:rsidR="003A5C34" w:rsidRPr="008E72FE" w:rsidRDefault="00575F57" w:rsidP="008E72FE">
      <w:pPr>
        <w:pStyle w:val="ListParagraph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D</w:t>
      </w:r>
      <w:r w:rsidR="003A5C34" w:rsidRPr="008E72FE">
        <w:rPr>
          <w:rFonts w:cstheme="minorHAnsi"/>
        </w:rPr>
        <w:t>evelopment of business and industry in the Northern Territory.</w:t>
      </w:r>
    </w:p>
    <w:p w14:paraId="23986402" w14:textId="4EC0FAE0" w:rsidR="00251444" w:rsidRDefault="00251444" w:rsidP="00251444">
      <w:pPr>
        <w:rPr>
          <w:rFonts w:cstheme="minorHAnsi"/>
        </w:rPr>
      </w:pPr>
      <w:r w:rsidRPr="00236D6E">
        <w:rPr>
          <w:rFonts w:cstheme="minorHAnsi"/>
        </w:rPr>
        <w:t>The</w:t>
      </w:r>
      <w:r w:rsidR="003600BE">
        <w:rPr>
          <w:rFonts w:cstheme="minorHAnsi"/>
        </w:rPr>
        <w:t>se are referred to as Local Benefit Commitments and the</w:t>
      </w:r>
      <w:r w:rsidRPr="00236D6E">
        <w:rPr>
          <w:rFonts w:cstheme="minorHAnsi"/>
        </w:rPr>
        <w:t xml:space="preserve"> Contractor </w:t>
      </w:r>
      <w:r>
        <w:rPr>
          <w:rFonts w:cstheme="minorHAnsi"/>
        </w:rPr>
        <w:t>will</w:t>
      </w:r>
      <w:r w:rsidRPr="00236D6E">
        <w:rPr>
          <w:rFonts w:cstheme="minorHAnsi"/>
        </w:rPr>
        <w:t xml:space="preserve"> be required to fulfil all aspects of </w:t>
      </w:r>
      <w:r w:rsidR="003600BE">
        <w:rPr>
          <w:rFonts w:cstheme="minorHAnsi"/>
        </w:rPr>
        <w:t>these commitments</w:t>
      </w:r>
      <w:r w:rsidRPr="00236D6E">
        <w:rPr>
          <w:rFonts w:cstheme="minorHAnsi"/>
        </w:rPr>
        <w:t xml:space="preserve">. </w:t>
      </w:r>
    </w:p>
    <w:p w14:paraId="2E3B29AB" w14:textId="0BF4099D" w:rsidR="00A0675A" w:rsidRPr="00A0675A" w:rsidRDefault="00A0675A" w:rsidP="00EF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A0675A">
        <w:rPr>
          <w:rFonts w:cstheme="minorHAnsi"/>
          <w:b/>
        </w:rPr>
        <w:t>Important Information</w:t>
      </w:r>
    </w:p>
    <w:p w14:paraId="5082ADC5" w14:textId="3890552B" w:rsidR="001F132C" w:rsidRDefault="00251444" w:rsidP="00EF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If you nominate </w:t>
      </w:r>
      <w:r w:rsidR="00295E3C">
        <w:rPr>
          <w:rFonts w:cstheme="minorHAnsi"/>
        </w:rPr>
        <w:t xml:space="preserve">subcontractors or suppliers, they may be contacted by the tender assessment panel to confirm that they are aware that they </w:t>
      </w:r>
      <w:r w:rsidR="003600BE">
        <w:rPr>
          <w:rFonts w:cstheme="minorHAnsi"/>
        </w:rPr>
        <w:t xml:space="preserve">have </w:t>
      </w:r>
      <w:r w:rsidR="00295E3C">
        <w:rPr>
          <w:rFonts w:cstheme="minorHAnsi"/>
        </w:rPr>
        <w:t>been put forward as a potential subcontractor, particularly where the subcontractor contributes significantly towards the</w:t>
      </w:r>
      <w:r w:rsidR="00AD73F3">
        <w:rPr>
          <w:rFonts w:cstheme="minorHAnsi"/>
        </w:rPr>
        <w:t xml:space="preserve"> tenderers</w:t>
      </w:r>
      <w:r w:rsidR="00295E3C">
        <w:rPr>
          <w:rFonts w:cstheme="minorHAnsi"/>
        </w:rPr>
        <w:t xml:space="preserve"> Local Content assessment.  </w:t>
      </w:r>
    </w:p>
    <w:p w14:paraId="05AE3A7F" w14:textId="77777777" w:rsidR="00B5223A" w:rsidRDefault="00C5469F" w:rsidP="00C5469F">
      <w:pPr>
        <w:pStyle w:val="Heading2"/>
        <w:rPr>
          <w:lang w:eastAsia="en-AU"/>
        </w:rPr>
      </w:pPr>
      <w:bookmarkStart w:id="4" w:name="_Toc77328030"/>
      <w:r>
        <w:rPr>
          <w:lang w:eastAsia="en-AU"/>
        </w:rPr>
        <w:t>Past Performance</w:t>
      </w:r>
      <w:bookmarkEnd w:id="4"/>
    </w:p>
    <w:p w14:paraId="0806D808" w14:textId="5DCCF04D" w:rsidR="003A5C34" w:rsidRDefault="003A5C34" w:rsidP="003A5C34">
      <w:pPr>
        <w:rPr>
          <w:rFonts w:cstheme="minorHAnsi"/>
        </w:rPr>
      </w:pPr>
      <w:r w:rsidRPr="003A5C34">
        <w:rPr>
          <w:rFonts w:cstheme="minorHAnsi"/>
        </w:rPr>
        <w:t xml:space="preserve">Contractors with a good history </w:t>
      </w:r>
      <w:r w:rsidR="00AD73F3">
        <w:rPr>
          <w:rFonts w:cstheme="minorHAnsi"/>
        </w:rPr>
        <w:t xml:space="preserve">of </w:t>
      </w:r>
      <w:r w:rsidRPr="003A5C34">
        <w:rPr>
          <w:rFonts w:cstheme="minorHAnsi"/>
        </w:rPr>
        <w:t xml:space="preserve">delivering on </w:t>
      </w:r>
      <w:r w:rsidR="000243B1">
        <w:rPr>
          <w:rFonts w:cstheme="minorHAnsi"/>
        </w:rPr>
        <w:t xml:space="preserve">contract </w:t>
      </w:r>
      <w:r w:rsidRPr="003A5C34">
        <w:rPr>
          <w:rFonts w:cstheme="minorHAnsi"/>
        </w:rPr>
        <w:t xml:space="preserve">commitments, particularly in projects that are </w:t>
      </w:r>
      <w:r w:rsidR="00240356">
        <w:rPr>
          <w:rFonts w:cstheme="minorHAnsi"/>
        </w:rPr>
        <w:t xml:space="preserve">of a </w:t>
      </w:r>
      <w:r w:rsidRPr="003A5C34">
        <w:rPr>
          <w:rFonts w:cstheme="minorHAnsi"/>
        </w:rPr>
        <w:t xml:space="preserve">similar scope, scale and </w:t>
      </w:r>
      <w:r w:rsidR="00240356">
        <w:rPr>
          <w:rFonts w:cstheme="minorHAnsi"/>
        </w:rPr>
        <w:t xml:space="preserve">delivered in the </w:t>
      </w:r>
      <w:r w:rsidRPr="003A5C34">
        <w:rPr>
          <w:rFonts w:cstheme="minorHAnsi"/>
        </w:rPr>
        <w:t>region</w:t>
      </w:r>
      <w:r w:rsidR="0000679D">
        <w:rPr>
          <w:rFonts w:cstheme="minorHAnsi"/>
        </w:rPr>
        <w:t>,</w:t>
      </w:r>
      <w:r w:rsidRPr="003A5C34">
        <w:rPr>
          <w:rFonts w:cstheme="minorHAnsi"/>
        </w:rPr>
        <w:t xml:space="preserve"> are considered </w:t>
      </w:r>
      <w:r w:rsidR="00240356">
        <w:rPr>
          <w:rFonts w:cstheme="minorHAnsi"/>
        </w:rPr>
        <w:t xml:space="preserve">to be </w:t>
      </w:r>
      <w:r w:rsidRPr="003A5C34">
        <w:rPr>
          <w:rFonts w:cstheme="minorHAnsi"/>
        </w:rPr>
        <w:t xml:space="preserve">more likely to deliver on commitments made in the tender. </w:t>
      </w:r>
    </w:p>
    <w:p w14:paraId="099A5FBC" w14:textId="77777777" w:rsidR="003A5C34" w:rsidRPr="003A5C34" w:rsidRDefault="003A5C34" w:rsidP="003A5C34">
      <w:pPr>
        <w:rPr>
          <w:rFonts w:cstheme="minorHAnsi"/>
        </w:rPr>
      </w:pPr>
      <w:r w:rsidRPr="003A5C34">
        <w:rPr>
          <w:rFonts w:cstheme="minorHAnsi"/>
        </w:rPr>
        <w:t>Assessment of Past Performance may consider:</w:t>
      </w:r>
    </w:p>
    <w:p w14:paraId="025764F3" w14:textId="6582519B" w:rsidR="003A5C34" w:rsidRPr="003A5C34" w:rsidRDefault="003A5C34" w:rsidP="00B010B0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cstheme="minorHAnsi"/>
        </w:rPr>
      </w:pPr>
      <w:r w:rsidRPr="003A5C34">
        <w:rPr>
          <w:rFonts w:cstheme="minorHAnsi"/>
        </w:rPr>
        <w:t xml:space="preserve">History </w:t>
      </w:r>
      <w:r w:rsidR="00575F57">
        <w:rPr>
          <w:rFonts w:cstheme="minorHAnsi"/>
        </w:rPr>
        <w:t xml:space="preserve">of </w:t>
      </w:r>
      <w:r w:rsidRPr="003A5C34">
        <w:rPr>
          <w:rFonts w:cstheme="minorHAnsi"/>
        </w:rPr>
        <w:t>delivering on commitments made (timeframe, budget, scope</w:t>
      </w:r>
      <w:r w:rsidR="00240356">
        <w:rPr>
          <w:rFonts w:cstheme="minorHAnsi"/>
        </w:rPr>
        <w:t>, etc</w:t>
      </w:r>
      <w:r w:rsidRPr="003A5C34">
        <w:rPr>
          <w:rFonts w:cstheme="minorHAnsi"/>
        </w:rPr>
        <w:t xml:space="preserve">) </w:t>
      </w:r>
    </w:p>
    <w:p w14:paraId="6DC873D9" w14:textId="77777777" w:rsidR="003A5C34" w:rsidRPr="003A5C34" w:rsidRDefault="003A5C34" w:rsidP="00B010B0">
      <w:pPr>
        <w:pStyle w:val="ListParagraph"/>
        <w:numPr>
          <w:ilvl w:val="0"/>
          <w:numId w:val="14"/>
        </w:numPr>
        <w:spacing w:after="200"/>
        <w:contextualSpacing/>
      </w:pPr>
      <w:r w:rsidRPr="003A5C34">
        <w:lastRenderedPageBreak/>
        <w:t xml:space="preserve">Standard and quality of supplies previously </w:t>
      </w:r>
      <w:proofErr w:type="gramStart"/>
      <w:r w:rsidRPr="003A5C34">
        <w:t>provided</w:t>
      </w:r>
      <w:proofErr w:type="gramEnd"/>
    </w:p>
    <w:p w14:paraId="3E11472B" w14:textId="4DB405D9" w:rsidR="003A5C34" w:rsidRPr="003A5C34" w:rsidRDefault="003A5C34" w:rsidP="00B010B0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cstheme="minorHAnsi"/>
        </w:rPr>
      </w:pPr>
      <w:r w:rsidRPr="003A5C34">
        <w:rPr>
          <w:rFonts w:cstheme="minorHAnsi"/>
        </w:rPr>
        <w:t xml:space="preserve">Quality of communication throughout </w:t>
      </w:r>
      <w:r w:rsidR="00240356">
        <w:rPr>
          <w:rFonts w:cstheme="minorHAnsi"/>
        </w:rPr>
        <w:t xml:space="preserve">previous </w:t>
      </w:r>
      <w:r w:rsidRPr="003A5C34">
        <w:rPr>
          <w:rFonts w:cstheme="minorHAnsi"/>
        </w:rPr>
        <w:t>cont</w:t>
      </w:r>
      <w:r w:rsidR="00240356">
        <w:rPr>
          <w:rFonts w:cstheme="minorHAnsi"/>
        </w:rPr>
        <w:t>r</w:t>
      </w:r>
      <w:r w:rsidRPr="003A5C34">
        <w:rPr>
          <w:rFonts w:cstheme="minorHAnsi"/>
        </w:rPr>
        <w:t>act period</w:t>
      </w:r>
      <w:r w:rsidR="00240356">
        <w:rPr>
          <w:rFonts w:cstheme="minorHAnsi"/>
        </w:rPr>
        <w:t>s</w:t>
      </w:r>
    </w:p>
    <w:p w14:paraId="37E4066D" w14:textId="77777777" w:rsidR="003A5C34" w:rsidRPr="003A5C34" w:rsidRDefault="003A5C34" w:rsidP="00B010B0">
      <w:pPr>
        <w:pStyle w:val="ListParagraph"/>
        <w:numPr>
          <w:ilvl w:val="0"/>
          <w:numId w:val="14"/>
        </w:numPr>
        <w:spacing w:after="200"/>
        <w:contextualSpacing/>
      </w:pPr>
      <w:r w:rsidRPr="003A5C34">
        <w:t>Disputes and claims history</w:t>
      </w:r>
    </w:p>
    <w:p w14:paraId="41D75A37" w14:textId="369EA691" w:rsidR="003A5C34" w:rsidRPr="003A5C34" w:rsidRDefault="003A5C34" w:rsidP="00B010B0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cstheme="minorHAnsi"/>
        </w:rPr>
      </w:pPr>
      <w:r w:rsidRPr="003A5C34">
        <w:rPr>
          <w:rFonts w:cstheme="minorHAnsi"/>
        </w:rPr>
        <w:t xml:space="preserve">Commitment to resolving issues where they </w:t>
      </w:r>
      <w:r w:rsidR="008638FA">
        <w:rPr>
          <w:rFonts w:cstheme="minorHAnsi"/>
        </w:rPr>
        <w:t xml:space="preserve">have </w:t>
      </w:r>
      <w:proofErr w:type="gramStart"/>
      <w:r w:rsidRPr="003A5C34">
        <w:rPr>
          <w:rFonts w:cstheme="minorHAnsi"/>
        </w:rPr>
        <w:t>occur</w:t>
      </w:r>
      <w:r w:rsidR="008638FA">
        <w:rPr>
          <w:rFonts w:cstheme="minorHAnsi"/>
        </w:rPr>
        <w:t>red</w:t>
      </w:r>
      <w:proofErr w:type="gramEnd"/>
      <w:r w:rsidRPr="003A5C34">
        <w:rPr>
          <w:rFonts w:cstheme="minorHAnsi"/>
        </w:rPr>
        <w:t xml:space="preserve"> </w:t>
      </w:r>
    </w:p>
    <w:p w14:paraId="7DACC8EB" w14:textId="77777777" w:rsidR="003A5C34" w:rsidRPr="003A5C34" w:rsidRDefault="003A5C34" w:rsidP="00B010B0">
      <w:pPr>
        <w:pStyle w:val="ListParagraph"/>
        <w:numPr>
          <w:ilvl w:val="0"/>
          <w:numId w:val="14"/>
        </w:numPr>
        <w:spacing w:after="200"/>
        <w:contextualSpacing/>
      </w:pPr>
      <w:r w:rsidRPr="003A5C34">
        <w:t xml:space="preserve">Extent of supervision previously </w:t>
      </w:r>
      <w:proofErr w:type="gramStart"/>
      <w:r w:rsidRPr="003A5C34">
        <w:t>required</w:t>
      </w:r>
      <w:proofErr w:type="gramEnd"/>
    </w:p>
    <w:p w14:paraId="68A4D083" w14:textId="77777777" w:rsidR="003A5C34" w:rsidRPr="003A5C34" w:rsidRDefault="003A5C34" w:rsidP="00B010B0">
      <w:pPr>
        <w:pStyle w:val="ListParagraph"/>
        <w:numPr>
          <w:ilvl w:val="0"/>
          <w:numId w:val="14"/>
        </w:numPr>
        <w:spacing w:after="200"/>
        <w:contextualSpacing/>
      </w:pPr>
      <w:r w:rsidRPr="003A5C34">
        <w:t>References (including CAL if applicable)</w:t>
      </w:r>
    </w:p>
    <w:p w14:paraId="15E01639" w14:textId="77777777" w:rsidR="003A5C34" w:rsidRPr="003A5C34" w:rsidRDefault="003A5C34" w:rsidP="00B010B0">
      <w:pPr>
        <w:pStyle w:val="ListParagraph"/>
        <w:numPr>
          <w:ilvl w:val="0"/>
          <w:numId w:val="14"/>
        </w:numPr>
        <w:spacing w:after="200"/>
        <w:contextualSpacing/>
      </w:pPr>
      <w:r w:rsidRPr="003A5C34">
        <w:t>Safe and fair workplace record</w:t>
      </w:r>
    </w:p>
    <w:p w14:paraId="50C13A02" w14:textId="77777777" w:rsidR="003A5C34" w:rsidRPr="003A5C34" w:rsidRDefault="003A5C34" w:rsidP="00B010B0">
      <w:pPr>
        <w:pStyle w:val="ListParagraph"/>
        <w:numPr>
          <w:ilvl w:val="0"/>
          <w:numId w:val="14"/>
        </w:numPr>
        <w:spacing w:after="200"/>
        <w:contextualSpacing/>
      </w:pPr>
      <w:r w:rsidRPr="003A5C34">
        <w:t>Timely payment to employees, subcontractors and suppliers</w:t>
      </w:r>
    </w:p>
    <w:p w14:paraId="1FDB4C80" w14:textId="4A6383CE" w:rsidR="003A5C34" w:rsidRPr="003A5C34" w:rsidRDefault="003A5C34" w:rsidP="00B010B0">
      <w:pPr>
        <w:pStyle w:val="ListParagraph"/>
        <w:numPr>
          <w:ilvl w:val="0"/>
          <w:numId w:val="14"/>
        </w:numPr>
        <w:spacing w:after="200"/>
        <w:contextualSpacing/>
      </w:pPr>
      <w:r w:rsidRPr="003A5C34">
        <w:t>History of enhancing local</w:t>
      </w:r>
      <w:r w:rsidR="00295E3C">
        <w:t>,</w:t>
      </w:r>
      <w:r w:rsidRPr="003A5C34">
        <w:t xml:space="preserve"> economic and community outcomes</w:t>
      </w:r>
      <w:r w:rsidR="00A0675A">
        <w:t>.</w:t>
      </w:r>
    </w:p>
    <w:p w14:paraId="3B1281F3" w14:textId="197D6100" w:rsidR="003A5C34" w:rsidRPr="003A5C34" w:rsidRDefault="003A5C34" w:rsidP="003A5C34">
      <w:pPr>
        <w:rPr>
          <w:rFonts w:cstheme="minorHAnsi"/>
        </w:rPr>
      </w:pPr>
      <w:r w:rsidRPr="003A5C34">
        <w:rPr>
          <w:rFonts w:cstheme="minorHAnsi"/>
        </w:rPr>
        <w:t xml:space="preserve">If referees or examples of previous work are requested, </w:t>
      </w:r>
      <w:r w:rsidR="003A44C8">
        <w:rPr>
          <w:rFonts w:cstheme="minorHAnsi"/>
        </w:rPr>
        <w:t>it is of value to</w:t>
      </w:r>
      <w:r w:rsidRPr="003A5C34">
        <w:rPr>
          <w:rFonts w:cstheme="minorHAnsi"/>
        </w:rPr>
        <w:t xml:space="preserve"> provide samples that</w:t>
      </w:r>
      <w:r w:rsidR="00295E3C">
        <w:rPr>
          <w:rFonts w:cstheme="minorHAnsi"/>
        </w:rPr>
        <w:t>:</w:t>
      </w:r>
    </w:p>
    <w:p w14:paraId="50100AA3" w14:textId="4C4BB1B2" w:rsidR="003A5C34" w:rsidRPr="003A5C34" w:rsidRDefault="003A5C34" w:rsidP="00B010B0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theme="minorHAnsi"/>
        </w:rPr>
      </w:pPr>
      <w:r w:rsidRPr="003A5C34">
        <w:rPr>
          <w:rFonts w:cstheme="minorHAnsi"/>
        </w:rPr>
        <w:t xml:space="preserve">align closely to the scope of </w:t>
      </w:r>
      <w:r w:rsidR="00295E3C">
        <w:rPr>
          <w:rFonts w:cstheme="minorHAnsi"/>
        </w:rPr>
        <w:t>the</w:t>
      </w:r>
      <w:r w:rsidR="00295E3C" w:rsidRPr="003A5C34">
        <w:rPr>
          <w:rFonts w:cstheme="minorHAnsi"/>
        </w:rPr>
        <w:t xml:space="preserve"> </w:t>
      </w:r>
      <w:proofErr w:type="gramStart"/>
      <w:r w:rsidRPr="003A5C34">
        <w:rPr>
          <w:rFonts w:cstheme="minorHAnsi"/>
        </w:rPr>
        <w:t>tender</w:t>
      </w:r>
      <w:proofErr w:type="gramEnd"/>
      <w:r w:rsidRPr="003A5C34">
        <w:rPr>
          <w:rFonts w:cstheme="minorHAnsi"/>
        </w:rPr>
        <w:t xml:space="preserve"> </w:t>
      </w:r>
    </w:p>
    <w:p w14:paraId="1274F45F" w14:textId="1C1A8BC5" w:rsidR="003A5C34" w:rsidRPr="003A5C34" w:rsidRDefault="0000679D" w:rsidP="00B010B0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are </w:t>
      </w:r>
      <w:r w:rsidR="003A5C34" w:rsidRPr="003A5C34">
        <w:rPr>
          <w:rFonts w:cstheme="minorHAnsi"/>
        </w:rPr>
        <w:t xml:space="preserve">relevant to the project </w:t>
      </w:r>
      <w:proofErr w:type="gramStart"/>
      <w:r w:rsidR="003A5C34" w:rsidRPr="003A5C34">
        <w:rPr>
          <w:rFonts w:cstheme="minorHAnsi"/>
        </w:rPr>
        <w:t>requirements</w:t>
      </w:r>
      <w:proofErr w:type="gramEnd"/>
    </w:p>
    <w:p w14:paraId="2BCF9C3B" w14:textId="2F249FAB" w:rsidR="003A5C34" w:rsidRPr="003A5C34" w:rsidRDefault="0000679D" w:rsidP="00B010B0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are </w:t>
      </w:r>
      <w:r w:rsidR="003A5C34" w:rsidRPr="003A5C34">
        <w:rPr>
          <w:rFonts w:cstheme="minorHAnsi"/>
        </w:rPr>
        <w:t xml:space="preserve">similar in value, complexity and </w:t>
      </w:r>
      <w:proofErr w:type="gramStart"/>
      <w:r w:rsidR="003A5C34" w:rsidRPr="003A5C34">
        <w:rPr>
          <w:rFonts w:cstheme="minorHAnsi"/>
        </w:rPr>
        <w:t>scope</w:t>
      </w:r>
      <w:proofErr w:type="gramEnd"/>
    </w:p>
    <w:p w14:paraId="56A9545B" w14:textId="724FC125" w:rsidR="003A5C34" w:rsidRPr="003A5C34" w:rsidRDefault="0000679D" w:rsidP="00B010B0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include </w:t>
      </w:r>
      <w:r w:rsidR="003A5C34" w:rsidRPr="003A5C34">
        <w:rPr>
          <w:rFonts w:cstheme="minorHAnsi"/>
        </w:rPr>
        <w:t xml:space="preserve">key personnel being put forward </w:t>
      </w:r>
      <w:r>
        <w:rPr>
          <w:rFonts w:cstheme="minorHAnsi"/>
        </w:rPr>
        <w:t xml:space="preserve">who </w:t>
      </w:r>
      <w:r w:rsidR="003A5C34" w:rsidRPr="003A5C34">
        <w:rPr>
          <w:rFonts w:cstheme="minorHAnsi"/>
        </w:rPr>
        <w:t>had</w:t>
      </w:r>
      <w:r w:rsidR="00A0675A">
        <w:rPr>
          <w:rFonts w:cstheme="minorHAnsi"/>
        </w:rPr>
        <w:t xml:space="preserve"> a significant role in delivery</w:t>
      </w:r>
      <w:r w:rsidR="00155260">
        <w:rPr>
          <w:rFonts w:cstheme="minorHAnsi"/>
        </w:rPr>
        <w:t xml:space="preserve"> of the</w:t>
      </w:r>
      <w:r w:rsidR="008638FA">
        <w:rPr>
          <w:rFonts w:cstheme="minorHAnsi"/>
        </w:rPr>
        <w:t xml:space="preserve"> requirement</w:t>
      </w:r>
      <w:r w:rsidR="00A0675A">
        <w:rPr>
          <w:rFonts w:cstheme="minorHAnsi"/>
        </w:rPr>
        <w:t>.</w:t>
      </w:r>
    </w:p>
    <w:p w14:paraId="3916077E" w14:textId="55923C02" w:rsidR="003A5C34" w:rsidRDefault="003A5C34" w:rsidP="003A5C34">
      <w:pPr>
        <w:rPr>
          <w:rFonts w:cstheme="minorHAnsi"/>
        </w:rPr>
      </w:pPr>
      <w:r w:rsidRPr="003A5C34">
        <w:rPr>
          <w:rFonts w:cstheme="minorHAnsi"/>
        </w:rPr>
        <w:t xml:space="preserve">Where </w:t>
      </w:r>
      <w:r w:rsidR="0023707B">
        <w:rPr>
          <w:rFonts w:cstheme="minorHAnsi"/>
        </w:rPr>
        <w:t xml:space="preserve">an </w:t>
      </w:r>
      <w:r w:rsidRPr="003A5C34">
        <w:rPr>
          <w:rFonts w:cstheme="minorHAnsi"/>
        </w:rPr>
        <w:t>organisation has limited direct experience in delivering contracts directly comparable to th</w:t>
      </w:r>
      <w:r w:rsidR="003A44C8">
        <w:rPr>
          <w:rFonts w:cstheme="minorHAnsi"/>
        </w:rPr>
        <w:t>e</w:t>
      </w:r>
      <w:r w:rsidRPr="003A5C34">
        <w:rPr>
          <w:rFonts w:cstheme="minorHAnsi"/>
        </w:rPr>
        <w:t xml:space="preserve"> tender, referees and example</w:t>
      </w:r>
      <w:r w:rsidR="00CC32CE">
        <w:rPr>
          <w:rFonts w:cstheme="minorHAnsi"/>
        </w:rPr>
        <w:t>s</w:t>
      </w:r>
      <w:r w:rsidRPr="003A5C34">
        <w:rPr>
          <w:rFonts w:cstheme="minorHAnsi"/>
        </w:rPr>
        <w:t xml:space="preserve"> that demonstrate past performance of key personnel </w:t>
      </w:r>
      <w:r w:rsidR="008638FA">
        <w:rPr>
          <w:rFonts w:cstheme="minorHAnsi"/>
        </w:rPr>
        <w:t xml:space="preserve">which relate to the tender </w:t>
      </w:r>
      <w:r w:rsidRPr="003A5C34">
        <w:rPr>
          <w:rFonts w:cstheme="minorHAnsi"/>
        </w:rPr>
        <w:t xml:space="preserve">may be put forward. </w:t>
      </w:r>
    </w:p>
    <w:p w14:paraId="1B586B60" w14:textId="77777777" w:rsidR="00A0675A" w:rsidRPr="00A0675A" w:rsidRDefault="00A0675A" w:rsidP="00EF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noProof/>
          <w:lang w:eastAsia="en-AU"/>
        </w:rPr>
      </w:pPr>
      <w:r w:rsidRPr="00A0675A">
        <w:rPr>
          <w:rFonts w:cstheme="minorHAnsi"/>
          <w:b/>
          <w:noProof/>
          <w:lang w:eastAsia="en-AU"/>
        </w:rPr>
        <w:t>Important Information</w:t>
      </w:r>
    </w:p>
    <w:p w14:paraId="07E6E814" w14:textId="081B5354" w:rsidR="00A87355" w:rsidRDefault="003A5C34" w:rsidP="00EF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A5C34">
        <w:rPr>
          <w:rFonts w:cstheme="minorHAnsi"/>
        </w:rPr>
        <w:t>Referees may be contacted by the agency to discuss your past performance and substantiate any written statement on past performance you have made.</w:t>
      </w:r>
      <w:r w:rsidR="00A80436" w:rsidRPr="00A80436">
        <w:rPr>
          <w:rFonts w:cstheme="minorHAnsi"/>
        </w:rPr>
        <w:t xml:space="preserve"> </w:t>
      </w:r>
    </w:p>
    <w:p w14:paraId="314F6CB0" w14:textId="36934E7E" w:rsidR="00A87355" w:rsidRDefault="00A80436" w:rsidP="00EF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5C34">
        <w:rPr>
          <w:rFonts w:cstheme="minorHAnsi"/>
        </w:rPr>
        <w:t xml:space="preserve">The </w:t>
      </w:r>
      <w:r w:rsidR="00CC32CE">
        <w:rPr>
          <w:rFonts w:cstheme="minorHAnsi"/>
        </w:rPr>
        <w:t>Tenderer</w:t>
      </w:r>
      <w:r w:rsidR="00CC32CE" w:rsidRPr="003A5C34">
        <w:rPr>
          <w:rFonts w:cstheme="minorHAnsi"/>
        </w:rPr>
        <w:t xml:space="preserve"> </w:t>
      </w:r>
      <w:r w:rsidRPr="003A5C34">
        <w:rPr>
          <w:rFonts w:cstheme="minorHAnsi"/>
        </w:rPr>
        <w:t>is encouraged to contact their referees to confirm they are willing to be a referee for a particular submission before list</w:t>
      </w:r>
      <w:r>
        <w:rPr>
          <w:rFonts w:cstheme="minorHAnsi"/>
        </w:rPr>
        <w:t>ing</w:t>
      </w:r>
      <w:r w:rsidRPr="003A5C34">
        <w:rPr>
          <w:rFonts w:cstheme="minorHAnsi"/>
        </w:rPr>
        <w:t xml:space="preserve"> them in the response schedule.</w:t>
      </w:r>
      <w:r w:rsidR="00A87355" w:rsidRPr="00A87355">
        <w:t xml:space="preserve"> </w:t>
      </w:r>
    </w:p>
    <w:p w14:paraId="6AF47DC2" w14:textId="77777777" w:rsidR="00A87355" w:rsidRDefault="00A87355" w:rsidP="00EF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7355">
        <w:rPr>
          <w:rFonts w:cstheme="minorHAnsi"/>
        </w:rPr>
        <w:t>Unless stated otherwise, responses to Past Performance assessment criteria should focus on the last two years.</w:t>
      </w:r>
      <w:r w:rsidRPr="00A87355">
        <w:t xml:space="preserve"> </w:t>
      </w:r>
    </w:p>
    <w:p w14:paraId="5CC01A72" w14:textId="4C37106A" w:rsidR="00A87355" w:rsidRPr="003A5C34" w:rsidRDefault="00A87355" w:rsidP="00EF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A87355">
        <w:rPr>
          <w:rFonts w:cstheme="minorHAnsi"/>
        </w:rPr>
        <w:t>Previous/</w:t>
      </w:r>
      <w:r w:rsidR="00207307">
        <w:rPr>
          <w:rFonts w:cstheme="minorHAnsi"/>
        </w:rPr>
        <w:t>r</w:t>
      </w:r>
      <w:r w:rsidRPr="00A87355">
        <w:rPr>
          <w:rFonts w:cstheme="minorHAnsi"/>
        </w:rPr>
        <w:t>ecent Contractor Performance Reports for similar works and services can be used by the assessment panel as an indicator for this assessment criteria.</w:t>
      </w:r>
    </w:p>
    <w:p w14:paraId="696E6B3F" w14:textId="77777777" w:rsidR="00C5469F" w:rsidRDefault="00C5469F" w:rsidP="00917C6F">
      <w:pPr>
        <w:pStyle w:val="Heading2"/>
        <w:rPr>
          <w:lang w:eastAsia="en-AU"/>
        </w:rPr>
      </w:pPr>
      <w:bookmarkStart w:id="5" w:name="_Toc77328031"/>
      <w:r>
        <w:rPr>
          <w:lang w:eastAsia="en-AU"/>
        </w:rPr>
        <w:t>Capability</w:t>
      </w:r>
      <w:bookmarkEnd w:id="5"/>
    </w:p>
    <w:p w14:paraId="4C153710" w14:textId="1ADECABE" w:rsidR="003A5C34" w:rsidRDefault="003A5C34" w:rsidP="003A5C34">
      <w:pPr>
        <w:rPr>
          <w:rFonts w:cstheme="minorHAnsi"/>
        </w:rPr>
      </w:pPr>
      <w:r>
        <w:rPr>
          <w:rFonts w:cstheme="minorHAnsi"/>
        </w:rPr>
        <w:t xml:space="preserve">The Capability assessment criteria is used to validate the technical capability of tenderers. </w:t>
      </w:r>
    </w:p>
    <w:p w14:paraId="64EE3F38" w14:textId="77777777" w:rsidR="003A5C34" w:rsidRDefault="003A5C34" w:rsidP="003A5C34">
      <w:pPr>
        <w:rPr>
          <w:rFonts w:cstheme="minorHAnsi"/>
        </w:rPr>
      </w:pPr>
      <w:r>
        <w:rPr>
          <w:rFonts w:cstheme="minorHAnsi"/>
        </w:rPr>
        <w:t>Assessment of Capability may include:</w:t>
      </w:r>
    </w:p>
    <w:p w14:paraId="22FC4274" w14:textId="77777777" w:rsidR="003A5C34" w:rsidRDefault="003A5C34" w:rsidP="00B010B0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Qualifications of personnel</w:t>
      </w:r>
    </w:p>
    <w:p w14:paraId="428E2053" w14:textId="70149E4E" w:rsidR="003A5C34" w:rsidRDefault="008638FA" w:rsidP="00B010B0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Verification </w:t>
      </w:r>
      <w:r w:rsidR="003A5C34">
        <w:rPr>
          <w:rFonts w:cstheme="minorHAnsi"/>
        </w:rPr>
        <w:t xml:space="preserve">of required licences and accreditations being </w:t>
      </w:r>
      <w:proofErr w:type="gramStart"/>
      <w:r w:rsidR="003A5C34">
        <w:rPr>
          <w:rFonts w:cstheme="minorHAnsi"/>
        </w:rPr>
        <w:t>held</w:t>
      </w:r>
      <w:proofErr w:type="gramEnd"/>
    </w:p>
    <w:p w14:paraId="617AF53B" w14:textId="620A1AE2" w:rsidR="003A5C34" w:rsidRDefault="008638FA" w:rsidP="00B010B0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Verification </w:t>
      </w:r>
      <w:r w:rsidR="003A5C34">
        <w:rPr>
          <w:rFonts w:cstheme="minorHAnsi"/>
        </w:rPr>
        <w:t>of understanding the business needs and industry specifics</w:t>
      </w:r>
    </w:p>
    <w:p w14:paraId="451EB38C" w14:textId="4150FEC1" w:rsidR="003A5C34" w:rsidRPr="00D64E1B" w:rsidRDefault="008638FA" w:rsidP="00B010B0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Verification </w:t>
      </w:r>
      <w:r w:rsidR="003A5C34">
        <w:rPr>
          <w:rFonts w:cstheme="minorHAnsi"/>
        </w:rPr>
        <w:t xml:space="preserve">of Membership </w:t>
      </w:r>
      <w:r>
        <w:rPr>
          <w:rFonts w:cstheme="minorHAnsi"/>
        </w:rPr>
        <w:t xml:space="preserve">of </w:t>
      </w:r>
      <w:r w:rsidR="003A5C34">
        <w:rPr>
          <w:rFonts w:cstheme="minorHAnsi"/>
        </w:rPr>
        <w:t>industry</w:t>
      </w:r>
      <w:r>
        <w:rPr>
          <w:rFonts w:cstheme="minorHAnsi"/>
        </w:rPr>
        <w:t xml:space="preserve"> bodies</w:t>
      </w:r>
      <w:r w:rsidR="00A0675A">
        <w:rPr>
          <w:rFonts w:cstheme="minorHAnsi"/>
        </w:rPr>
        <w:t>.</w:t>
      </w:r>
      <w:r w:rsidR="003A5C34">
        <w:rPr>
          <w:rFonts w:cstheme="minorHAnsi"/>
        </w:rPr>
        <w:t xml:space="preserve"> </w:t>
      </w:r>
    </w:p>
    <w:p w14:paraId="45DAD6E7" w14:textId="4CED64A9" w:rsidR="00C5469F" w:rsidRDefault="00592447" w:rsidP="00917C6F">
      <w:pPr>
        <w:pStyle w:val="Heading2"/>
        <w:rPr>
          <w:lang w:eastAsia="en-AU"/>
        </w:rPr>
      </w:pPr>
      <w:bookmarkStart w:id="6" w:name="_Toc77328032"/>
      <w:r>
        <w:rPr>
          <w:lang w:eastAsia="en-AU"/>
        </w:rPr>
        <w:t>Capacity and</w:t>
      </w:r>
      <w:r w:rsidR="00C5469F">
        <w:rPr>
          <w:lang w:eastAsia="en-AU"/>
        </w:rPr>
        <w:t xml:space="preserve"> Timeliness</w:t>
      </w:r>
      <w:bookmarkEnd w:id="6"/>
      <w:r w:rsidR="00C5469F">
        <w:rPr>
          <w:lang w:eastAsia="en-AU"/>
        </w:rPr>
        <w:t xml:space="preserve"> </w:t>
      </w:r>
    </w:p>
    <w:p w14:paraId="77733BF9" w14:textId="5B4A11F2" w:rsidR="003A5C34" w:rsidRDefault="003A5C34" w:rsidP="003A5C34">
      <w:pPr>
        <w:rPr>
          <w:rFonts w:cstheme="minorHAnsi"/>
        </w:rPr>
      </w:pPr>
      <w:r>
        <w:rPr>
          <w:rFonts w:cstheme="minorHAnsi"/>
        </w:rPr>
        <w:t xml:space="preserve">The assessment of Capacity and Timeliness is to ensure that tenderers have planned for and </w:t>
      </w:r>
      <w:r w:rsidR="007C2D71">
        <w:rPr>
          <w:rFonts w:cstheme="minorHAnsi"/>
        </w:rPr>
        <w:t xml:space="preserve">have </w:t>
      </w:r>
      <w:r>
        <w:rPr>
          <w:rFonts w:cstheme="minorHAnsi"/>
        </w:rPr>
        <w:t>the ability to allocate appropriate resources to deliver the scope of requirements within the timeframe</w:t>
      </w:r>
      <w:r w:rsidR="008638FA">
        <w:rPr>
          <w:rFonts w:cstheme="minorHAnsi"/>
        </w:rPr>
        <w:t xml:space="preserve"> outlined in the tender response</w:t>
      </w:r>
      <w:r>
        <w:rPr>
          <w:rFonts w:cstheme="minorHAnsi"/>
        </w:rPr>
        <w:t xml:space="preserve">. </w:t>
      </w:r>
    </w:p>
    <w:p w14:paraId="1AD0BA6B" w14:textId="439F56F7" w:rsidR="003A5C34" w:rsidRDefault="003A5C34" w:rsidP="008E72FE">
      <w:pPr>
        <w:keepNext/>
        <w:rPr>
          <w:rFonts w:cstheme="minorHAnsi"/>
        </w:rPr>
      </w:pPr>
      <w:r>
        <w:rPr>
          <w:rFonts w:cstheme="minorHAnsi"/>
        </w:rPr>
        <w:lastRenderedPageBreak/>
        <w:t xml:space="preserve">Assessment of Capacity and Timeliness </w:t>
      </w:r>
      <w:r w:rsidR="008638FA">
        <w:rPr>
          <w:rFonts w:cstheme="minorHAnsi"/>
        </w:rPr>
        <w:t xml:space="preserve">will usually </w:t>
      </w:r>
      <w:r>
        <w:rPr>
          <w:rFonts w:cstheme="minorHAnsi"/>
        </w:rPr>
        <w:t>consider:</w:t>
      </w:r>
    </w:p>
    <w:p w14:paraId="548C5131" w14:textId="52D82AB4" w:rsidR="003A5C34" w:rsidRPr="007866A5" w:rsidRDefault="00CC32CE" w:rsidP="008E72FE">
      <w:pPr>
        <w:pStyle w:val="ListParagraph"/>
        <w:keepNext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N</w:t>
      </w:r>
      <w:r w:rsidR="003A5C34">
        <w:rPr>
          <w:rFonts w:cstheme="minorHAnsi"/>
        </w:rPr>
        <w:t xml:space="preserve">umber and role of personnel allocated towards the delivery of the </w:t>
      </w:r>
      <w:proofErr w:type="gramStart"/>
      <w:r w:rsidR="003A5C34">
        <w:rPr>
          <w:rFonts w:cstheme="minorHAnsi"/>
        </w:rPr>
        <w:t>requirements</w:t>
      </w:r>
      <w:proofErr w:type="gramEnd"/>
    </w:p>
    <w:p w14:paraId="2613B917" w14:textId="49EB2796" w:rsidR="003A5C34" w:rsidRDefault="00CC32CE" w:rsidP="008E72FE">
      <w:pPr>
        <w:pStyle w:val="ListParagraph"/>
        <w:keepNext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P</w:t>
      </w:r>
      <w:r w:rsidR="003A5C34">
        <w:rPr>
          <w:rFonts w:cstheme="minorHAnsi"/>
        </w:rPr>
        <w:t xml:space="preserve">lant, </w:t>
      </w:r>
      <w:proofErr w:type="gramStart"/>
      <w:r w:rsidR="003A5C34">
        <w:rPr>
          <w:rFonts w:cstheme="minorHAnsi"/>
        </w:rPr>
        <w:t>equipment</w:t>
      </w:r>
      <w:proofErr w:type="gramEnd"/>
      <w:r w:rsidR="003A5C34">
        <w:rPr>
          <w:rFonts w:cstheme="minorHAnsi"/>
        </w:rPr>
        <w:t xml:space="preserve"> and facilities available for use in the delivery of the requirements</w:t>
      </w:r>
    </w:p>
    <w:p w14:paraId="5DB07D99" w14:textId="5D5A8A6B" w:rsidR="003A5C34" w:rsidRDefault="00CC32CE" w:rsidP="008E72FE">
      <w:pPr>
        <w:pStyle w:val="ListParagraph"/>
        <w:keepNext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F</w:t>
      </w:r>
      <w:r w:rsidR="003A5C34">
        <w:rPr>
          <w:rFonts w:cstheme="minorHAnsi"/>
        </w:rPr>
        <w:t xml:space="preserve">inancial capacity of </w:t>
      </w:r>
      <w:r w:rsidR="0023707B">
        <w:rPr>
          <w:rFonts w:cstheme="minorHAnsi"/>
        </w:rPr>
        <w:t>the</w:t>
      </w:r>
      <w:r w:rsidR="003A5C34">
        <w:rPr>
          <w:rFonts w:cstheme="minorHAnsi"/>
        </w:rPr>
        <w:t xml:space="preserve"> organisation</w:t>
      </w:r>
    </w:p>
    <w:p w14:paraId="56CF330B" w14:textId="757D1E68" w:rsidR="003A5C34" w:rsidRDefault="00CC32CE" w:rsidP="008E72FE">
      <w:pPr>
        <w:pStyle w:val="ListParagraph"/>
        <w:keepNext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R</w:t>
      </w:r>
      <w:r w:rsidR="003A5C34">
        <w:rPr>
          <w:rFonts w:cstheme="minorHAnsi"/>
        </w:rPr>
        <w:t>isk management policies and procedure</w:t>
      </w:r>
      <w:r w:rsidR="00FE6F0B">
        <w:rPr>
          <w:rFonts w:cstheme="minorHAnsi"/>
        </w:rPr>
        <w:t>s</w:t>
      </w:r>
    </w:p>
    <w:p w14:paraId="65E60C61" w14:textId="5C047F6E" w:rsidR="003A5C34" w:rsidRDefault="00CC32CE" w:rsidP="008E72FE">
      <w:pPr>
        <w:pStyle w:val="ListParagraph"/>
        <w:keepNext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M</w:t>
      </w:r>
      <w:r w:rsidR="003A5C34">
        <w:rPr>
          <w:rFonts w:cstheme="minorHAnsi"/>
        </w:rPr>
        <w:t xml:space="preserve">ethodologies to be used to deliver the tender </w:t>
      </w:r>
      <w:proofErr w:type="gramStart"/>
      <w:r w:rsidR="003A5C34">
        <w:rPr>
          <w:rFonts w:cstheme="minorHAnsi"/>
        </w:rPr>
        <w:t>requirement</w:t>
      </w:r>
      <w:proofErr w:type="gramEnd"/>
    </w:p>
    <w:p w14:paraId="4575C7D8" w14:textId="33997E59" w:rsidR="003A5C34" w:rsidRDefault="00CC32CE" w:rsidP="008E72FE">
      <w:pPr>
        <w:pStyle w:val="ListParagraph"/>
        <w:keepNext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A</w:t>
      </w:r>
      <w:r w:rsidR="003A5C34">
        <w:rPr>
          <w:rFonts w:cstheme="minorHAnsi"/>
        </w:rPr>
        <w:t>cceptability of the proposed delivery timeline</w:t>
      </w:r>
      <w:r w:rsidR="00A0675A">
        <w:rPr>
          <w:rFonts w:cstheme="minorHAnsi"/>
        </w:rPr>
        <w:t>.</w:t>
      </w:r>
    </w:p>
    <w:p w14:paraId="528084CE" w14:textId="136B0030" w:rsidR="003A5C34" w:rsidRDefault="003A5C34" w:rsidP="003A5C34">
      <w:pPr>
        <w:rPr>
          <w:rFonts w:cstheme="minorHAnsi"/>
        </w:rPr>
      </w:pPr>
      <w:r>
        <w:rPr>
          <w:rFonts w:cstheme="minorHAnsi"/>
        </w:rPr>
        <w:t xml:space="preserve">Assessment </w:t>
      </w:r>
      <w:r w:rsidR="00207307">
        <w:rPr>
          <w:rFonts w:cstheme="minorHAnsi"/>
        </w:rPr>
        <w:t xml:space="preserve">of </w:t>
      </w:r>
      <w:r>
        <w:rPr>
          <w:rFonts w:cstheme="minorHAnsi"/>
        </w:rPr>
        <w:t xml:space="preserve">Capacity and Timeliness will often involve cross referencing responses to other assessment criteria. For </w:t>
      </w:r>
      <w:proofErr w:type="gramStart"/>
      <w:r>
        <w:rPr>
          <w:rFonts w:cstheme="minorHAnsi"/>
        </w:rPr>
        <w:t>example</w:t>
      </w:r>
      <w:proofErr w:type="gramEnd"/>
      <w:r>
        <w:rPr>
          <w:rFonts w:cstheme="minorHAnsi"/>
        </w:rPr>
        <w:t xml:space="preserve"> where qualifications and experience of key personnel are requested, assessment panels will often look for where those resources are allocated throughout the </w:t>
      </w:r>
      <w:r w:rsidR="00207307">
        <w:rPr>
          <w:rFonts w:cstheme="minorHAnsi"/>
        </w:rPr>
        <w:t>contract</w:t>
      </w:r>
      <w:r>
        <w:rPr>
          <w:rFonts w:cstheme="minorHAnsi"/>
        </w:rPr>
        <w:t xml:space="preserve">. </w:t>
      </w:r>
    </w:p>
    <w:p w14:paraId="2773BCC9" w14:textId="77777777" w:rsidR="00917C6F" w:rsidRDefault="00917C6F" w:rsidP="00917C6F">
      <w:pPr>
        <w:pStyle w:val="Heading2"/>
        <w:rPr>
          <w:lang w:eastAsia="en-AU"/>
        </w:rPr>
      </w:pPr>
      <w:bookmarkStart w:id="7" w:name="_Toc77328033"/>
      <w:r>
        <w:rPr>
          <w:lang w:eastAsia="en-AU"/>
        </w:rPr>
        <w:t>Scope Specific</w:t>
      </w:r>
      <w:bookmarkEnd w:id="7"/>
    </w:p>
    <w:p w14:paraId="1E1E3EB8" w14:textId="573D3688" w:rsidR="00917C6F" w:rsidRDefault="007866A5" w:rsidP="00694E54">
      <w:pPr>
        <w:rPr>
          <w:lang w:eastAsia="en-AU"/>
        </w:rPr>
      </w:pPr>
      <w:r>
        <w:rPr>
          <w:lang w:eastAsia="en-AU"/>
        </w:rPr>
        <w:t>The Scope Specific assessment criteria is used to asses</w:t>
      </w:r>
      <w:r w:rsidR="00207307">
        <w:rPr>
          <w:lang w:eastAsia="en-AU"/>
        </w:rPr>
        <w:t>s</w:t>
      </w:r>
      <w:r>
        <w:rPr>
          <w:lang w:eastAsia="en-AU"/>
        </w:rPr>
        <w:t xml:space="preserve"> other aspects of tenders that are considered </w:t>
      </w:r>
      <w:proofErr w:type="gramStart"/>
      <w:r>
        <w:rPr>
          <w:lang w:eastAsia="en-AU"/>
        </w:rPr>
        <w:t>important, but</w:t>
      </w:r>
      <w:proofErr w:type="gramEnd"/>
      <w:r>
        <w:rPr>
          <w:lang w:eastAsia="en-AU"/>
        </w:rPr>
        <w:t xml:space="preserve"> are not covered by other criteria.</w:t>
      </w:r>
    </w:p>
    <w:p w14:paraId="0958C834" w14:textId="2290D894" w:rsidR="007866A5" w:rsidRDefault="007866A5" w:rsidP="00694E54">
      <w:pPr>
        <w:rPr>
          <w:lang w:eastAsia="en-AU"/>
        </w:rPr>
      </w:pPr>
      <w:r>
        <w:rPr>
          <w:lang w:eastAsia="en-AU"/>
        </w:rPr>
        <w:t xml:space="preserve">Assessment of Scope Specific </w:t>
      </w:r>
      <w:r w:rsidR="00CC32CE">
        <w:rPr>
          <w:lang w:eastAsia="en-AU"/>
        </w:rPr>
        <w:t xml:space="preserve">criteria could </w:t>
      </w:r>
      <w:r>
        <w:rPr>
          <w:lang w:eastAsia="en-AU"/>
        </w:rPr>
        <w:t>include:</w:t>
      </w:r>
    </w:p>
    <w:p w14:paraId="2E051E93" w14:textId="77777777" w:rsidR="007866A5" w:rsidRPr="00A3597A" w:rsidRDefault="007866A5" w:rsidP="00A3597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 w:rsidRPr="00A3597A">
        <w:rPr>
          <w:rFonts w:cstheme="minorHAnsi"/>
        </w:rPr>
        <w:t xml:space="preserve">Assessment of technical specifications of products, equipment, services or infrastructure being </w:t>
      </w:r>
      <w:proofErr w:type="gramStart"/>
      <w:r w:rsidRPr="00A3597A">
        <w:rPr>
          <w:rFonts w:cstheme="minorHAnsi"/>
        </w:rPr>
        <w:t>offered</w:t>
      </w:r>
      <w:proofErr w:type="gramEnd"/>
    </w:p>
    <w:p w14:paraId="1572C346" w14:textId="77777777" w:rsidR="007866A5" w:rsidRPr="00A3597A" w:rsidRDefault="007866A5" w:rsidP="00A3597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cstheme="minorHAnsi"/>
        </w:rPr>
      </w:pPr>
      <w:r w:rsidRPr="00A3597A">
        <w:rPr>
          <w:rFonts w:cstheme="minorHAnsi"/>
        </w:rPr>
        <w:t xml:space="preserve">Value added or cost saving </w:t>
      </w:r>
      <w:proofErr w:type="gramStart"/>
      <w:r w:rsidRPr="00A3597A">
        <w:rPr>
          <w:rFonts w:cstheme="minorHAnsi"/>
        </w:rPr>
        <w:t>proposals</w:t>
      </w:r>
      <w:proofErr w:type="gramEnd"/>
    </w:p>
    <w:p w14:paraId="6EBA0E0C" w14:textId="29D15ABE" w:rsidR="007866A5" w:rsidRDefault="007866A5" w:rsidP="00A3597A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lang w:eastAsia="en-AU"/>
        </w:rPr>
      </w:pPr>
      <w:r w:rsidRPr="00A3597A">
        <w:rPr>
          <w:rFonts w:cstheme="minorHAnsi"/>
        </w:rPr>
        <w:t>Innovation offered</w:t>
      </w:r>
      <w:r>
        <w:rPr>
          <w:lang w:eastAsia="en-AU"/>
        </w:rPr>
        <w:t xml:space="preserve"> as part of the tender </w:t>
      </w:r>
      <w:r w:rsidR="008638FA">
        <w:rPr>
          <w:lang w:eastAsia="en-AU"/>
        </w:rPr>
        <w:t>response</w:t>
      </w:r>
      <w:r w:rsidR="00A0675A">
        <w:rPr>
          <w:lang w:eastAsia="en-AU"/>
        </w:rPr>
        <w:t>.</w:t>
      </w:r>
    </w:p>
    <w:p w14:paraId="460ABE08" w14:textId="77777777" w:rsidR="00694E54" w:rsidRDefault="00694E54" w:rsidP="00694E54">
      <w:pPr>
        <w:pStyle w:val="Heading1"/>
        <w:rPr>
          <w:lang w:eastAsia="en-AU"/>
        </w:rPr>
      </w:pPr>
      <w:bookmarkStart w:id="8" w:name="_Toc77328034"/>
      <w:r>
        <w:rPr>
          <w:lang w:eastAsia="en-AU"/>
        </w:rPr>
        <w:t xml:space="preserve">The </w:t>
      </w:r>
      <w:r w:rsidR="00950DD2">
        <w:rPr>
          <w:lang w:eastAsia="en-AU"/>
        </w:rPr>
        <w:t>A</w:t>
      </w:r>
      <w:r>
        <w:rPr>
          <w:lang w:eastAsia="en-AU"/>
        </w:rPr>
        <w:t xml:space="preserve">ssessment </w:t>
      </w:r>
      <w:r w:rsidR="00950DD2">
        <w:rPr>
          <w:lang w:eastAsia="en-AU"/>
        </w:rPr>
        <w:t>P</w:t>
      </w:r>
      <w:r>
        <w:rPr>
          <w:lang w:eastAsia="en-AU"/>
        </w:rPr>
        <w:t>rocess</w:t>
      </w:r>
      <w:bookmarkEnd w:id="8"/>
    </w:p>
    <w:p w14:paraId="2BE6DBD2" w14:textId="396BD14C" w:rsidR="00FE6F0B" w:rsidRDefault="007C6160" w:rsidP="00C5469F">
      <w:pPr>
        <w:rPr>
          <w:lang w:bidi="en-US"/>
        </w:rPr>
      </w:pPr>
      <w:r>
        <w:rPr>
          <w:lang w:bidi="en-US"/>
        </w:rPr>
        <w:t>The i</w:t>
      </w:r>
      <w:r w:rsidR="00FE6F0B">
        <w:rPr>
          <w:lang w:bidi="en-US"/>
        </w:rPr>
        <w:t xml:space="preserve">nformation and examples </w:t>
      </w:r>
      <w:r w:rsidR="0045014F">
        <w:rPr>
          <w:lang w:bidi="en-US"/>
        </w:rPr>
        <w:t xml:space="preserve">below </w:t>
      </w:r>
      <w:r>
        <w:rPr>
          <w:lang w:bidi="en-US"/>
        </w:rPr>
        <w:t>are</w:t>
      </w:r>
      <w:r w:rsidR="0045014F">
        <w:rPr>
          <w:lang w:bidi="en-US"/>
        </w:rPr>
        <w:t xml:space="preserve"> </w:t>
      </w:r>
      <w:r>
        <w:rPr>
          <w:lang w:bidi="en-US"/>
        </w:rPr>
        <w:t xml:space="preserve">provided </w:t>
      </w:r>
      <w:r w:rsidR="0045014F">
        <w:rPr>
          <w:lang w:bidi="en-US"/>
        </w:rPr>
        <w:t xml:space="preserve">to demonstrate </w:t>
      </w:r>
      <w:r>
        <w:rPr>
          <w:lang w:bidi="en-US"/>
        </w:rPr>
        <w:t xml:space="preserve">how </w:t>
      </w:r>
      <w:r w:rsidR="0045014F">
        <w:rPr>
          <w:lang w:bidi="en-US"/>
        </w:rPr>
        <w:t xml:space="preserve">the assessment process </w:t>
      </w:r>
      <w:r>
        <w:rPr>
          <w:lang w:bidi="en-US"/>
        </w:rPr>
        <w:t xml:space="preserve">is undertaken. </w:t>
      </w:r>
    </w:p>
    <w:p w14:paraId="528BD25E" w14:textId="77777777" w:rsidR="002B4538" w:rsidRPr="002B4538" w:rsidRDefault="00917C6F" w:rsidP="002B4538">
      <w:pPr>
        <w:pStyle w:val="Heading2"/>
        <w:rPr>
          <w:lang w:bidi="en-US"/>
        </w:rPr>
      </w:pPr>
      <w:bookmarkStart w:id="9" w:name="_Toc77328035"/>
      <w:r>
        <w:rPr>
          <w:lang w:bidi="en-US"/>
        </w:rPr>
        <w:t>Local Content</w:t>
      </w:r>
      <w:bookmarkEnd w:id="9"/>
    </w:p>
    <w:p w14:paraId="59123A23" w14:textId="0AF2EEA8" w:rsidR="00694E54" w:rsidRDefault="00694E54" w:rsidP="00694E54">
      <w:pPr>
        <w:pStyle w:val="Heading3"/>
        <w:rPr>
          <w:lang w:bidi="en-US"/>
        </w:rPr>
      </w:pPr>
      <w:bookmarkStart w:id="10" w:name="_Toc77328036"/>
      <w:r>
        <w:rPr>
          <w:lang w:bidi="en-US"/>
        </w:rPr>
        <w:t>Objective Assessment</w:t>
      </w:r>
      <w:bookmarkEnd w:id="10"/>
    </w:p>
    <w:p w14:paraId="7EF5A5F2" w14:textId="73722551" w:rsidR="00694E54" w:rsidRDefault="00694E54" w:rsidP="00694E54">
      <w:pPr>
        <w:rPr>
          <w:lang w:bidi="en-US"/>
        </w:rPr>
      </w:pPr>
      <w:r>
        <w:rPr>
          <w:lang w:bidi="en-US"/>
        </w:rPr>
        <w:t xml:space="preserve">The majority of </w:t>
      </w:r>
      <w:r w:rsidR="0045014F">
        <w:rPr>
          <w:lang w:bidi="en-US"/>
        </w:rPr>
        <w:t xml:space="preserve">questions </w:t>
      </w:r>
      <w:r w:rsidR="00534073">
        <w:rPr>
          <w:lang w:bidi="en-US"/>
        </w:rPr>
        <w:t xml:space="preserve">will be </w:t>
      </w:r>
      <w:r>
        <w:rPr>
          <w:lang w:bidi="en-US"/>
        </w:rPr>
        <w:t>assessed objective</w:t>
      </w:r>
      <w:r w:rsidR="00DA3D6F">
        <w:rPr>
          <w:lang w:bidi="en-US"/>
        </w:rPr>
        <w:t>ly</w:t>
      </w:r>
      <w:r w:rsidR="007C6160">
        <w:rPr>
          <w:lang w:bidi="en-US"/>
        </w:rPr>
        <w:t xml:space="preserve"> </w:t>
      </w:r>
      <w:r>
        <w:rPr>
          <w:lang w:bidi="en-US"/>
        </w:rPr>
        <w:t xml:space="preserve">based </w:t>
      </w:r>
      <w:r w:rsidR="007C6160">
        <w:rPr>
          <w:lang w:bidi="en-US"/>
        </w:rPr>
        <w:t>on</w:t>
      </w:r>
      <w:r>
        <w:rPr>
          <w:lang w:bidi="en-US"/>
        </w:rPr>
        <w:t xml:space="preserve"> benchmarks that describe the response required to achieve a particular score. </w:t>
      </w:r>
      <w:r w:rsidR="0045014F">
        <w:rPr>
          <w:lang w:bidi="en-US"/>
        </w:rPr>
        <w:t>B</w:t>
      </w:r>
      <w:r>
        <w:rPr>
          <w:lang w:bidi="en-US"/>
        </w:rPr>
        <w:t xml:space="preserve">enchmarks </w:t>
      </w:r>
      <w:r w:rsidR="00FE6F0B">
        <w:rPr>
          <w:lang w:bidi="en-US"/>
        </w:rPr>
        <w:t xml:space="preserve">may </w:t>
      </w:r>
      <w:r>
        <w:rPr>
          <w:lang w:bidi="en-US"/>
        </w:rPr>
        <w:t xml:space="preserve">include more than one </w:t>
      </w:r>
      <w:r w:rsidR="0045014F">
        <w:rPr>
          <w:lang w:bidi="en-US"/>
        </w:rPr>
        <w:t>requirement that must be satisfied</w:t>
      </w:r>
      <w:r w:rsidR="004234DA">
        <w:rPr>
          <w:lang w:bidi="en-US"/>
        </w:rPr>
        <w:t xml:space="preserve"> (as show in </w:t>
      </w:r>
      <w:r w:rsidR="007A5417">
        <w:rPr>
          <w:highlight w:val="yellow"/>
          <w:lang w:bidi="en-US"/>
        </w:rPr>
        <w:fldChar w:fldCharType="begin"/>
      </w:r>
      <w:r w:rsidR="007A5417">
        <w:rPr>
          <w:lang w:bidi="en-US"/>
        </w:rPr>
        <w:instrText xml:space="preserve"> REF _Ref77324578 \h </w:instrText>
      </w:r>
      <w:r w:rsidR="007A5417">
        <w:rPr>
          <w:highlight w:val="yellow"/>
          <w:lang w:bidi="en-US"/>
        </w:rPr>
      </w:r>
      <w:r w:rsidR="007A5417">
        <w:rPr>
          <w:highlight w:val="yellow"/>
          <w:lang w:bidi="en-US"/>
        </w:rPr>
        <w:fldChar w:fldCharType="separate"/>
      </w:r>
      <w:r w:rsidR="0042758F">
        <w:t xml:space="preserve">Figure </w:t>
      </w:r>
      <w:r w:rsidR="0042758F">
        <w:rPr>
          <w:noProof/>
        </w:rPr>
        <w:t>2</w:t>
      </w:r>
      <w:r w:rsidR="0042758F">
        <w:t xml:space="preserve"> – Objective assessment example</w:t>
      </w:r>
      <w:r w:rsidR="007A5417">
        <w:rPr>
          <w:highlight w:val="yellow"/>
          <w:lang w:bidi="en-US"/>
        </w:rPr>
        <w:fldChar w:fldCharType="end"/>
      </w:r>
      <w:r w:rsidR="004234DA" w:rsidRPr="007A5417">
        <w:rPr>
          <w:lang w:bidi="en-US"/>
        </w:rPr>
        <w:t>)</w:t>
      </w:r>
      <w:r w:rsidRPr="007A5417">
        <w:rPr>
          <w:lang w:bidi="en-US"/>
        </w:rPr>
        <w:t xml:space="preserve">. </w:t>
      </w:r>
    </w:p>
    <w:tbl>
      <w:tblPr>
        <w:tblStyle w:val="NTGtable1"/>
        <w:tblW w:w="0" w:type="auto"/>
        <w:tblLook w:val="04A0" w:firstRow="1" w:lastRow="0" w:firstColumn="1" w:lastColumn="0" w:noHBand="0" w:noVBand="1"/>
      </w:tblPr>
      <w:tblGrid>
        <w:gridCol w:w="1239"/>
        <w:gridCol w:w="3131"/>
        <w:gridCol w:w="1213"/>
        <w:gridCol w:w="987"/>
        <w:gridCol w:w="3738"/>
      </w:tblGrid>
      <w:tr w:rsidR="00D06A58" w14:paraId="374F194B" w14:textId="2AD68C40" w:rsidTr="00592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dxa"/>
            <w:tcBorders>
              <w:bottom w:val="single" w:sz="4" w:space="0" w:color="1F1F5F" w:themeColor="text1"/>
            </w:tcBorders>
          </w:tcPr>
          <w:p w14:paraId="7A3EF72B" w14:textId="015A5D01" w:rsidR="00D06A58" w:rsidRDefault="00D06A58" w:rsidP="00D06A5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Weighting</w:t>
            </w:r>
          </w:p>
        </w:tc>
        <w:tc>
          <w:tcPr>
            <w:tcW w:w="3131" w:type="dxa"/>
            <w:tcBorders>
              <w:bottom w:val="single" w:sz="4" w:space="0" w:color="1F1F5F" w:themeColor="text1"/>
            </w:tcBorders>
          </w:tcPr>
          <w:p w14:paraId="5C9D21A8" w14:textId="1671D971" w:rsidR="00D06A58" w:rsidRDefault="00D06A58" w:rsidP="00D06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Criteria</w:t>
            </w:r>
          </w:p>
        </w:tc>
        <w:tc>
          <w:tcPr>
            <w:tcW w:w="1213" w:type="dxa"/>
            <w:tcBorders>
              <w:bottom w:val="single" w:sz="4" w:space="0" w:color="1F1F5F" w:themeColor="text1"/>
            </w:tcBorders>
          </w:tcPr>
          <w:p w14:paraId="13211FBF" w14:textId="5BD0ABB1" w:rsidR="00D06A58" w:rsidRDefault="00D06A58" w:rsidP="00D06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% Score</w:t>
            </w:r>
          </w:p>
        </w:tc>
        <w:tc>
          <w:tcPr>
            <w:tcW w:w="987" w:type="dxa"/>
            <w:tcBorders>
              <w:bottom w:val="single" w:sz="4" w:space="0" w:color="1F1F5F" w:themeColor="text1"/>
            </w:tcBorders>
          </w:tcPr>
          <w:p w14:paraId="78CBA392" w14:textId="266429DF" w:rsidR="00D06A58" w:rsidRDefault="00D06A58" w:rsidP="00D06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Raw score</w:t>
            </w:r>
          </w:p>
        </w:tc>
        <w:tc>
          <w:tcPr>
            <w:tcW w:w="3738" w:type="dxa"/>
            <w:tcBorders>
              <w:bottom w:val="single" w:sz="4" w:space="0" w:color="1F1F5F" w:themeColor="text1"/>
            </w:tcBorders>
          </w:tcPr>
          <w:p w14:paraId="03CF2ED2" w14:textId="742F0DFE" w:rsidR="00D06A58" w:rsidRDefault="00D06A58" w:rsidP="00D06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Benchmark description</w:t>
            </w:r>
          </w:p>
        </w:tc>
      </w:tr>
      <w:tr w:rsidR="007A5417" w14:paraId="5BC24E55" w14:textId="3E43F146" w:rsidTr="008E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 w:val="restart"/>
            <w:tcBorders>
              <w:top w:val="single" w:sz="4" w:space="0" w:color="1F1F5F" w:themeColor="text1"/>
              <w:right w:val="single" w:sz="6" w:space="0" w:color="1F1F5F" w:themeColor="text1"/>
            </w:tcBorders>
          </w:tcPr>
          <w:p w14:paraId="708A1275" w14:textId="7E956FFE" w:rsidR="007A5417" w:rsidRDefault="007A5417" w:rsidP="00180313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3131" w:type="dxa"/>
            <w:vMerge w:val="restart"/>
            <w:tcBorders>
              <w:top w:val="single" w:sz="4" w:space="0" w:color="1F1F5F" w:themeColor="text1"/>
              <w:left w:val="single" w:sz="6" w:space="0" w:color="1F1F5F" w:themeColor="text1"/>
              <w:right w:val="single" w:sz="6" w:space="0" w:color="1F1F5F" w:themeColor="text1"/>
            </w:tcBorders>
          </w:tcPr>
          <w:p w14:paraId="7BF305E4" w14:textId="3DFA7CF5" w:rsidR="007A5417" w:rsidRDefault="007A5417" w:rsidP="00180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Employing Territorians</w:t>
            </w:r>
          </w:p>
        </w:tc>
        <w:tc>
          <w:tcPr>
            <w:tcW w:w="1213" w:type="dxa"/>
            <w:tcBorders>
              <w:top w:val="single" w:sz="4" w:space="0" w:color="1F1F5F" w:themeColor="text1"/>
              <w:left w:val="single" w:sz="6" w:space="0" w:color="1F1F5F" w:themeColor="text1"/>
              <w:bottom w:val="single" w:sz="6" w:space="0" w:color="1F1F5F" w:themeColor="text1"/>
              <w:right w:val="single" w:sz="6" w:space="0" w:color="1F1F5F" w:themeColor="text1"/>
            </w:tcBorders>
          </w:tcPr>
          <w:p w14:paraId="3535F18B" w14:textId="29955552" w:rsidR="007A5417" w:rsidRDefault="007A5417" w:rsidP="00694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100%</w:t>
            </w:r>
          </w:p>
        </w:tc>
        <w:tc>
          <w:tcPr>
            <w:tcW w:w="987" w:type="dxa"/>
            <w:tcBorders>
              <w:top w:val="single" w:sz="4" w:space="0" w:color="1F1F5F" w:themeColor="text1"/>
              <w:left w:val="single" w:sz="6" w:space="0" w:color="1F1F5F" w:themeColor="text1"/>
              <w:bottom w:val="single" w:sz="6" w:space="0" w:color="1F1F5F" w:themeColor="text1"/>
              <w:right w:val="single" w:sz="6" w:space="0" w:color="1F1F5F" w:themeColor="text1"/>
            </w:tcBorders>
          </w:tcPr>
          <w:p w14:paraId="718022C2" w14:textId="0B2323B0" w:rsidR="007A5417" w:rsidRDefault="007A5417" w:rsidP="00694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3738" w:type="dxa"/>
            <w:tcBorders>
              <w:top w:val="single" w:sz="4" w:space="0" w:color="1F1F5F" w:themeColor="text1"/>
              <w:left w:val="single" w:sz="6" w:space="0" w:color="1F1F5F" w:themeColor="text1"/>
              <w:bottom w:val="single" w:sz="6" w:space="0" w:color="1F1F5F" w:themeColor="text1"/>
            </w:tcBorders>
          </w:tcPr>
          <w:p w14:paraId="4F8BF31B" w14:textId="6A6EEC34" w:rsidR="007A5417" w:rsidRDefault="007A5417" w:rsidP="00694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50% or 10+ local employees</w:t>
            </w:r>
          </w:p>
        </w:tc>
      </w:tr>
      <w:tr w:rsidR="007A5417" w14:paraId="35468D05" w14:textId="77777777" w:rsidTr="008E72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right w:val="single" w:sz="6" w:space="0" w:color="1F1F5F" w:themeColor="text1"/>
            </w:tcBorders>
          </w:tcPr>
          <w:p w14:paraId="484A7122" w14:textId="77777777" w:rsidR="007A5417" w:rsidRDefault="007A5417" w:rsidP="00694E54">
            <w:pPr>
              <w:rPr>
                <w:lang w:bidi="en-US"/>
              </w:rPr>
            </w:pPr>
          </w:p>
        </w:tc>
        <w:tc>
          <w:tcPr>
            <w:tcW w:w="3131" w:type="dxa"/>
            <w:vMerge/>
            <w:tcBorders>
              <w:left w:val="single" w:sz="6" w:space="0" w:color="1F1F5F" w:themeColor="text1"/>
              <w:right w:val="single" w:sz="6" w:space="0" w:color="1F1F5F" w:themeColor="text1"/>
            </w:tcBorders>
          </w:tcPr>
          <w:p w14:paraId="6AE2F213" w14:textId="77777777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</w:p>
        </w:tc>
        <w:tc>
          <w:tcPr>
            <w:tcW w:w="1213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6" w:space="0" w:color="1F1F5F" w:themeColor="text1"/>
              <w:right w:val="single" w:sz="6" w:space="0" w:color="1F1F5F" w:themeColor="text1"/>
            </w:tcBorders>
            <w:shd w:val="clear" w:color="auto" w:fill="auto"/>
          </w:tcPr>
          <w:p w14:paraId="1F6DC31B" w14:textId="19F476C4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67%</w:t>
            </w:r>
          </w:p>
        </w:tc>
        <w:tc>
          <w:tcPr>
            <w:tcW w:w="987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6" w:space="0" w:color="1F1F5F" w:themeColor="text1"/>
              <w:right w:val="single" w:sz="6" w:space="0" w:color="1F1F5F" w:themeColor="text1"/>
            </w:tcBorders>
            <w:shd w:val="clear" w:color="auto" w:fill="auto"/>
          </w:tcPr>
          <w:p w14:paraId="50E2B48E" w14:textId="61D2777C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3738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6" w:space="0" w:color="1F1F5F" w:themeColor="text1"/>
            </w:tcBorders>
            <w:shd w:val="clear" w:color="auto" w:fill="auto"/>
          </w:tcPr>
          <w:p w14:paraId="24358BF2" w14:textId="19440587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20% or 5+ local employees</w:t>
            </w:r>
          </w:p>
        </w:tc>
      </w:tr>
      <w:tr w:rsidR="007A5417" w14:paraId="51E948F7" w14:textId="77777777" w:rsidTr="008E7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right w:val="single" w:sz="6" w:space="0" w:color="1F1F5F" w:themeColor="text1"/>
            </w:tcBorders>
          </w:tcPr>
          <w:p w14:paraId="18E71309" w14:textId="77777777" w:rsidR="007A5417" w:rsidRDefault="007A5417" w:rsidP="00694E54">
            <w:pPr>
              <w:rPr>
                <w:lang w:bidi="en-US"/>
              </w:rPr>
            </w:pPr>
          </w:p>
        </w:tc>
        <w:tc>
          <w:tcPr>
            <w:tcW w:w="3131" w:type="dxa"/>
            <w:vMerge/>
            <w:tcBorders>
              <w:left w:val="single" w:sz="6" w:space="0" w:color="1F1F5F" w:themeColor="text1"/>
              <w:right w:val="single" w:sz="6" w:space="0" w:color="1F1F5F" w:themeColor="text1"/>
            </w:tcBorders>
          </w:tcPr>
          <w:p w14:paraId="73D21217" w14:textId="77777777" w:rsidR="007A5417" w:rsidRDefault="007A5417" w:rsidP="00694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</w:p>
        </w:tc>
        <w:tc>
          <w:tcPr>
            <w:tcW w:w="1213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6" w:space="0" w:color="1F1F5F" w:themeColor="text1"/>
              <w:right w:val="single" w:sz="6" w:space="0" w:color="1F1F5F" w:themeColor="text1"/>
            </w:tcBorders>
          </w:tcPr>
          <w:p w14:paraId="5D0CE3AE" w14:textId="586FE79C" w:rsidR="007A5417" w:rsidRDefault="007A5417" w:rsidP="00694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33%</w:t>
            </w:r>
          </w:p>
        </w:tc>
        <w:tc>
          <w:tcPr>
            <w:tcW w:w="987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6" w:space="0" w:color="1F1F5F" w:themeColor="text1"/>
              <w:right w:val="single" w:sz="6" w:space="0" w:color="1F1F5F" w:themeColor="text1"/>
            </w:tcBorders>
          </w:tcPr>
          <w:p w14:paraId="528776A2" w14:textId="3BE11802" w:rsidR="007A5417" w:rsidRDefault="007A5417" w:rsidP="00694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3738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6" w:space="0" w:color="1F1F5F" w:themeColor="text1"/>
            </w:tcBorders>
          </w:tcPr>
          <w:p w14:paraId="31DEF853" w14:textId="3F7AD7F8" w:rsidR="007A5417" w:rsidRDefault="007A5417" w:rsidP="00694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Some local employment</w:t>
            </w:r>
          </w:p>
        </w:tc>
      </w:tr>
      <w:tr w:rsidR="007A5417" w14:paraId="367EB5F4" w14:textId="77777777" w:rsidTr="007A5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bottom w:val="single" w:sz="4" w:space="0" w:color="1F1F5F" w:themeColor="text1"/>
              <w:right w:val="single" w:sz="6" w:space="0" w:color="1F1F5F" w:themeColor="text1"/>
            </w:tcBorders>
          </w:tcPr>
          <w:p w14:paraId="303B6EDF" w14:textId="77777777" w:rsidR="007A5417" w:rsidRDefault="007A5417" w:rsidP="00694E54">
            <w:pPr>
              <w:rPr>
                <w:lang w:bidi="en-US"/>
              </w:rPr>
            </w:pPr>
          </w:p>
        </w:tc>
        <w:tc>
          <w:tcPr>
            <w:tcW w:w="3131" w:type="dxa"/>
            <w:vMerge/>
            <w:tcBorders>
              <w:left w:val="single" w:sz="6" w:space="0" w:color="1F1F5F" w:themeColor="text1"/>
              <w:bottom w:val="single" w:sz="4" w:space="0" w:color="1F1F5F" w:themeColor="text1"/>
              <w:right w:val="single" w:sz="6" w:space="0" w:color="1F1F5F" w:themeColor="text1"/>
            </w:tcBorders>
          </w:tcPr>
          <w:p w14:paraId="73192186" w14:textId="77777777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</w:p>
        </w:tc>
        <w:tc>
          <w:tcPr>
            <w:tcW w:w="1213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4" w:space="0" w:color="1F1F5F" w:themeColor="text1"/>
              <w:right w:val="single" w:sz="6" w:space="0" w:color="1F1F5F" w:themeColor="text1"/>
            </w:tcBorders>
            <w:shd w:val="clear" w:color="auto" w:fill="auto"/>
          </w:tcPr>
          <w:p w14:paraId="2627FA95" w14:textId="312D44FF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0%</w:t>
            </w:r>
          </w:p>
        </w:tc>
        <w:tc>
          <w:tcPr>
            <w:tcW w:w="987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4" w:space="0" w:color="1F1F5F" w:themeColor="text1"/>
              <w:right w:val="single" w:sz="6" w:space="0" w:color="1F1F5F" w:themeColor="text1"/>
            </w:tcBorders>
            <w:shd w:val="clear" w:color="auto" w:fill="auto"/>
          </w:tcPr>
          <w:p w14:paraId="66C4E4FE" w14:textId="5893E87B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  <w:tc>
          <w:tcPr>
            <w:tcW w:w="3738" w:type="dxa"/>
            <w:tcBorders>
              <w:top w:val="single" w:sz="6" w:space="0" w:color="1F1F5F" w:themeColor="text1"/>
              <w:left w:val="single" w:sz="6" w:space="0" w:color="1F1F5F" w:themeColor="text1"/>
              <w:bottom w:val="single" w:sz="4" w:space="0" w:color="1F1F5F" w:themeColor="text1"/>
            </w:tcBorders>
            <w:shd w:val="clear" w:color="auto" w:fill="auto"/>
          </w:tcPr>
          <w:p w14:paraId="2A91CD53" w14:textId="3B53F6F5" w:rsidR="007A5417" w:rsidRDefault="007A5417" w:rsidP="00694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No local employment</w:t>
            </w:r>
          </w:p>
        </w:tc>
      </w:tr>
    </w:tbl>
    <w:p w14:paraId="1BDF1877" w14:textId="3E08ACB9" w:rsidR="00180313" w:rsidRDefault="00180313" w:rsidP="00180313">
      <w:pPr>
        <w:pStyle w:val="Caption"/>
      </w:pPr>
      <w:bookmarkStart w:id="11" w:name="_Ref77324578"/>
      <w:r>
        <w:t xml:space="preserve">Figure </w:t>
      </w:r>
      <w:fldSimple w:instr=" SEQ Figure \* ARABIC ">
        <w:r w:rsidR="0042758F">
          <w:rPr>
            <w:noProof/>
          </w:rPr>
          <w:t>2</w:t>
        </w:r>
      </w:fldSimple>
      <w:r>
        <w:t xml:space="preserve"> – Objective assessment example</w:t>
      </w:r>
      <w:bookmarkEnd w:id="11"/>
    </w:p>
    <w:p w14:paraId="30FDF56C" w14:textId="313920EC" w:rsidR="00694E54" w:rsidRDefault="00694E54" w:rsidP="00534073">
      <w:pPr>
        <w:pStyle w:val="Heading3"/>
        <w:rPr>
          <w:lang w:bidi="en-US"/>
        </w:rPr>
      </w:pPr>
      <w:bookmarkStart w:id="12" w:name="_Toc77328037"/>
      <w:r>
        <w:rPr>
          <w:lang w:bidi="en-US"/>
        </w:rPr>
        <w:lastRenderedPageBreak/>
        <w:t xml:space="preserve">Assessing </w:t>
      </w:r>
      <w:r w:rsidR="00FD4B59" w:rsidRPr="00FD4B59">
        <w:rPr>
          <w:lang w:bidi="en-US"/>
        </w:rPr>
        <w:t xml:space="preserve">Commitment </w:t>
      </w:r>
      <w:proofErr w:type="gramStart"/>
      <w:r w:rsidR="00FD4B59" w:rsidRPr="00FD4B59">
        <w:rPr>
          <w:lang w:bidi="en-US"/>
        </w:rPr>
        <w:t>To</w:t>
      </w:r>
      <w:proofErr w:type="gramEnd"/>
      <w:r w:rsidR="00FD4B59" w:rsidRPr="00FD4B59">
        <w:rPr>
          <w:lang w:bidi="en-US"/>
        </w:rPr>
        <w:t xml:space="preserve"> Advancing The Territory</w:t>
      </w:r>
      <w:bookmarkEnd w:id="12"/>
    </w:p>
    <w:p w14:paraId="19BCF22D" w14:textId="6C8843CC" w:rsidR="00A75529" w:rsidRPr="00236D6E" w:rsidRDefault="00FD4B59" w:rsidP="00A75529">
      <w:pPr>
        <w:rPr>
          <w:rFonts w:cstheme="minorHAnsi"/>
        </w:rPr>
      </w:pPr>
      <w:r>
        <w:rPr>
          <w:lang w:bidi="en-US"/>
        </w:rPr>
        <w:t>C</w:t>
      </w:r>
      <w:r w:rsidRPr="00FD4B59">
        <w:rPr>
          <w:lang w:bidi="en-US"/>
        </w:rPr>
        <w:t xml:space="preserve">ommitment to advancing the </w:t>
      </w:r>
      <w:r w:rsidR="002E167F">
        <w:rPr>
          <w:lang w:bidi="en-US"/>
        </w:rPr>
        <w:t>T</w:t>
      </w:r>
      <w:r w:rsidRPr="00FD4B59">
        <w:rPr>
          <w:lang w:bidi="en-US"/>
        </w:rPr>
        <w:t>erritory</w:t>
      </w:r>
      <w:r>
        <w:rPr>
          <w:lang w:bidi="en-US"/>
        </w:rPr>
        <w:t xml:space="preserve"> (also referred to as Territory Benefit) is </w:t>
      </w:r>
      <w:r w:rsidR="00AF1158">
        <w:rPr>
          <w:lang w:bidi="en-US"/>
        </w:rPr>
        <w:t xml:space="preserve">generally </w:t>
      </w:r>
      <w:r>
        <w:rPr>
          <w:lang w:bidi="en-US"/>
        </w:rPr>
        <w:t>included in all assessment</w:t>
      </w:r>
      <w:r w:rsidR="002E167F">
        <w:rPr>
          <w:lang w:bidi="en-US"/>
        </w:rPr>
        <w:t>s</w:t>
      </w:r>
      <w:r w:rsidR="00A75529">
        <w:rPr>
          <w:lang w:bidi="en-US"/>
        </w:rPr>
        <w:t>.</w:t>
      </w:r>
      <w:r>
        <w:rPr>
          <w:lang w:bidi="en-US"/>
        </w:rPr>
        <w:t xml:space="preserve"> </w:t>
      </w:r>
      <w:r w:rsidR="00A75529" w:rsidRPr="00236D6E">
        <w:rPr>
          <w:rFonts w:cstheme="minorHAnsi"/>
        </w:rPr>
        <w:t xml:space="preserve">There are a number of ways that a </w:t>
      </w:r>
      <w:r w:rsidR="002E167F">
        <w:rPr>
          <w:rFonts w:cstheme="minorHAnsi"/>
        </w:rPr>
        <w:t>respondent</w:t>
      </w:r>
      <w:r w:rsidR="00A75529" w:rsidRPr="00236D6E">
        <w:rPr>
          <w:rFonts w:cstheme="minorHAnsi"/>
        </w:rPr>
        <w:t xml:space="preserve"> can demonstrate this commitment. This includes advancing the Northern Territory through focusing on:</w:t>
      </w:r>
    </w:p>
    <w:p w14:paraId="00A355D5" w14:textId="6555AE45" w:rsidR="00A75529" w:rsidRPr="00236D6E" w:rsidRDefault="008638FA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Increased </w:t>
      </w:r>
      <w:r w:rsidR="00A75529" w:rsidRPr="00236D6E">
        <w:rPr>
          <w:rFonts w:cstheme="minorHAnsi"/>
        </w:rPr>
        <w:t>Aboriginal participation</w:t>
      </w:r>
      <w:r>
        <w:rPr>
          <w:rFonts w:cstheme="minorHAnsi"/>
        </w:rPr>
        <w:t xml:space="preserve"> in employment and </w:t>
      </w:r>
      <w:proofErr w:type="gramStart"/>
      <w:r>
        <w:rPr>
          <w:rFonts w:cstheme="minorHAnsi"/>
        </w:rPr>
        <w:t>business</w:t>
      </w:r>
      <w:proofErr w:type="gramEnd"/>
    </w:p>
    <w:p w14:paraId="152089AC" w14:textId="77777777" w:rsidR="00A75529" w:rsidRPr="00236D6E" w:rsidRDefault="00A75529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>Regional development</w:t>
      </w:r>
    </w:p>
    <w:p w14:paraId="1C4E554B" w14:textId="3CFD6F3B" w:rsidR="00A75529" w:rsidRPr="00236D6E" w:rsidRDefault="008638FA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Development of </w:t>
      </w:r>
      <w:r w:rsidR="00575F57">
        <w:rPr>
          <w:rFonts w:cstheme="minorHAnsi"/>
        </w:rPr>
        <w:t>territory c</w:t>
      </w:r>
      <w:r w:rsidR="00A75529" w:rsidRPr="00236D6E">
        <w:rPr>
          <w:rFonts w:cstheme="minorHAnsi"/>
        </w:rPr>
        <w:t>ulture</w:t>
      </w:r>
    </w:p>
    <w:p w14:paraId="042ADA01" w14:textId="77777777" w:rsidR="00A75529" w:rsidRPr="00236D6E" w:rsidRDefault="00A75529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>Support for disadvantaged people or groups</w:t>
      </w:r>
    </w:p>
    <w:p w14:paraId="7AFA1996" w14:textId="69FFBF59" w:rsidR="00A75529" w:rsidRPr="00236D6E" w:rsidRDefault="00A75529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 xml:space="preserve">Environmental </w:t>
      </w:r>
      <w:r w:rsidR="00575F57">
        <w:rPr>
          <w:rFonts w:cstheme="minorHAnsi"/>
        </w:rPr>
        <w:t>p</w:t>
      </w:r>
      <w:r w:rsidRPr="00236D6E">
        <w:rPr>
          <w:rFonts w:cstheme="minorHAnsi"/>
        </w:rPr>
        <w:t>rotection</w:t>
      </w:r>
    </w:p>
    <w:p w14:paraId="67B4810B" w14:textId="7CD0738F" w:rsidR="00A75529" w:rsidRPr="00236D6E" w:rsidRDefault="00A75529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 xml:space="preserve">Gender </w:t>
      </w:r>
      <w:r w:rsidR="00575F57">
        <w:rPr>
          <w:rFonts w:cstheme="minorHAnsi"/>
        </w:rPr>
        <w:t>e</w:t>
      </w:r>
      <w:r w:rsidRPr="00236D6E">
        <w:rPr>
          <w:rFonts w:cstheme="minorHAnsi"/>
        </w:rPr>
        <w:t>quality</w:t>
      </w:r>
    </w:p>
    <w:p w14:paraId="12C77AA9" w14:textId="52EBD13B" w:rsidR="00A75529" w:rsidRDefault="00A75529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>Research and innovation</w:t>
      </w:r>
      <w:r w:rsidR="00A0675A">
        <w:rPr>
          <w:rFonts w:cstheme="minorHAnsi"/>
        </w:rPr>
        <w:t>.</w:t>
      </w:r>
    </w:p>
    <w:p w14:paraId="4B4E5EFA" w14:textId="7B815BC3" w:rsidR="00D339B1" w:rsidRDefault="00D339B1" w:rsidP="00FD4B59">
      <w:pPr>
        <w:rPr>
          <w:lang w:bidi="en-US"/>
        </w:rPr>
      </w:pPr>
      <w:r>
        <w:rPr>
          <w:lang w:bidi="en-US"/>
        </w:rPr>
        <w:t>Further information on the focus areas</w:t>
      </w:r>
      <w:r w:rsidR="00A75529">
        <w:rPr>
          <w:lang w:bidi="en-US"/>
        </w:rPr>
        <w:t xml:space="preserve"> is included at Appendix A. </w:t>
      </w:r>
    </w:p>
    <w:p w14:paraId="09B95BF2" w14:textId="0169C784" w:rsidR="00694E54" w:rsidRDefault="00A75529" w:rsidP="00FD4B59">
      <w:pPr>
        <w:rPr>
          <w:lang w:bidi="en-US"/>
        </w:rPr>
      </w:pPr>
      <w:r>
        <w:rPr>
          <w:lang w:bidi="en-US"/>
        </w:rPr>
        <w:t xml:space="preserve">Depending on the value of the procurement activity, </w:t>
      </w:r>
      <w:r w:rsidR="0023707B">
        <w:rPr>
          <w:lang w:bidi="en-US"/>
        </w:rPr>
        <w:t>tenderers</w:t>
      </w:r>
      <w:r>
        <w:rPr>
          <w:lang w:bidi="en-US"/>
        </w:rPr>
        <w:t xml:space="preserve"> may be required to respond to up to three of these areas, however on lower value procurements </w:t>
      </w:r>
      <w:r w:rsidR="0023707B">
        <w:rPr>
          <w:lang w:bidi="en-US"/>
        </w:rPr>
        <w:t>tenderers</w:t>
      </w:r>
      <w:r>
        <w:rPr>
          <w:lang w:bidi="en-US"/>
        </w:rPr>
        <w:t xml:space="preserve"> will only be required to respond to one. </w:t>
      </w:r>
    </w:p>
    <w:p w14:paraId="27090F62" w14:textId="564BC1FB" w:rsidR="00A75529" w:rsidRDefault="00A75529" w:rsidP="00FD4B59">
      <w:pPr>
        <w:rPr>
          <w:lang w:bidi="en-US"/>
        </w:rPr>
      </w:pPr>
      <w:r>
        <w:rPr>
          <w:lang w:bidi="en-US"/>
        </w:rPr>
        <w:t>Assessing c</w:t>
      </w:r>
      <w:r w:rsidRPr="00FD4B59">
        <w:rPr>
          <w:lang w:bidi="en-US"/>
        </w:rPr>
        <w:t xml:space="preserve">ommitment to advancing the </w:t>
      </w:r>
      <w:r w:rsidR="00B7143D">
        <w:rPr>
          <w:lang w:bidi="en-US"/>
        </w:rPr>
        <w:t>T</w:t>
      </w:r>
      <w:r w:rsidRPr="00FD4B59">
        <w:rPr>
          <w:lang w:bidi="en-US"/>
        </w:rPr>
        <w:t>erritory</w:t>
      </w:r>
      <w:r>
        <w:rPr>
          <w:lang w:bidi="en-US"/>
        </w:rPr>
        <w:t xml:space="preserve"> is </w:t>
      </w:r>
      <w:r w:rsidR="008638FA">
        <w:rPr>
          <w:lang w:bidi="en-US"/>
        </w:rPr>
        <w:t xml:space="preserve">a </w:t>
      </w:r>
      <w:r>
        <w:rPr>
          <w:lang w:bidi="en-US"/>
        </w:rPr>
        <w:t xml:space="preserve">subjective assessment (as shown in </w:t>
      </w:r>
      <w:r>
        <w:rPr>
          <w:lang w:bidi="en-US"/>
        </w:rPr>
        <w:fldChar w:fldCharType="begin"/>
      </w:r>
      <w:r>
        <w:rPr>
          <w:lang w:bidi="en-US"/>
        </w:rPr>
        <w:instrText xml:space="preserve"> REF _Ref65590987 \h </w:instrText>
      </w:r>
      <w:r>
        <w:rPr>
          <w:lang w:bidi="en-US"/>
        </w:rPr>
      </w:r>
      <w:r>
        <w:rPr>
          <w:lang w:bidi="en-US"/>
        </w:rPr>
        <w:fldChar w:fldCharType="separate"/>
      </w:r>
      <w:r w:rsidR="0042758F">
        <w:t xml:space="preserve">Figure </w:t>
      </w:r>
      <w:r w:rsidR="0042758F">
        <w:rPr>
          <w:noProof/>
        </w:rPr>
        <w:t>3</w:t>
      </w:r>
      <w:r w:rsidR="0042758F">
        <w:t xml:space="preserve"> – Territory Benefit assessment example</w:t>
      </w:r>
      <w:r>
        <w:rPr>
          <w:lang w:bidi="en-US"/>
        </w:rPr>
        <w:fldChar w:fldCharType="end"/>
      </w:r>
      <w:r>
        <w:rPr>
          <w:lang w:bidi="en-US"/>
        </w:rPr>
        <w:t>).</w:t>
      </w:r>
    </w:p>
    <w:tbl>
      <w:tblPr>
        <w:tblStyle w:val="NTGtable11"/>
        <w:tblW w:w="0" w:type="auto"/>
        <w:tblLook w:val="04A0" w:firstRow="1" w:lastRow="0" w:firstColumn="1" w:lastColumn="0" w:noHBand="0" w:noVBand="1"/>
      </w:tblPr>
      <w:tblGrid>
        <w:gridCol w:w="1239"/>
        <w:gridCol w:w="3131"/>
        <w:gridCol w:w="1213"/>
        <w:gridCol w:w="987"/>
        <w:gridCol w:w="3738"/>
      </w:tblGrid>
      <w:tr w:rsidR="0053251B" w:rsidRPr="0053251B" w14:paraId="32A3A359" w14:textId="77777777" w:rsidTr="0053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dxa"/>
            <w:tcBorders>
              <w:bottom w:val="single" w:sz="4" w:space="0" w:color="1F1F5F" w:themeColor="text1"/>
            </w:tcBorders>
          </w:tcPr>
          <w:p w14:paraId="75BF09B8" w14:textId="77777777" w:rsidR="0053251B" w:rsidRPr="0053251B" w:rsidRDefault="0053251B" w:rsidP="0053251B">
            <w:pPr>
              <w:spacing w:before="0" w:after="200"/>
              <w:jc w:val="center"/>
              <w:rPr>
                <w:color w:val="auto"/>
                <w:lang w:bidi="en-US"/>
              </w:rPr>
            </w:pPr>
            <w:r w:rsidRPr="0053251B">
              <w:rPr>
                <w:color w:val="auto"/>
                <w:lang w:bidi="en-US"/>
              </w:rPr>
              <w:t>Weighting</w:t>
            </w:r>
          </w:p>
        </w:tc>
        <w:tc>
          <w:tcPr>
            <w:tcW w:w="3131" w:type="dxa"/>
            <w:tcBorders>
              <w:bottom w:val="single" w:sz="4" w:space="0" w:color="1F1F5F" w:themeColor="text1"/>
            </w:tcBorders>
          </w:tcPr>
          <w:p w14:paraId="3CE4CCCF" w14:textId="77777777" w:rsidR="0053251B" w:rsidRPr="0053251B" w:rsidRDefault="0053251B" w:rsidP="0053251B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en-US"/>
              </w:rPr>
            </w:pPr>
            <w:r w:rsidRPr="0053251B">
              <w:rPr>
                <w:color w:val="auto"/>
                <w:lang w:bidi="en-US"/>
              </w:rPr>
              <w:t>Criteria</w:t>
            </w:r>
          </w:p>
        </w:tc>
        <w:tc>
          <w:tcPr>
            <w:tcW w:w="1213" w:type="dxa"/>
            <w:tcBorders>
              <w:bottom w:val="single" w:sz="4" w:space="0" w:color="1F1F5F" w:themeColor="text1"/>
            </w:tcBorders>
          </w:tcPr>
          <w:p w14:paraId="3091E982" w14:textId="77777777" w:rsidR="0053251B" w:rsidRPr="0053251B" w:rsidRDefault="0053251B" w:rsidP="0053251B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en-US"/>
              </w:rPr>
            </w:pPr>
            <w:r w:rsidRPr="0053251B">
              <w:rPr>
                <w:color w:val="auto"/>
                <w:lang w:bidi="en-US"/>
              </w:rPr>
              <w:t>% Score</w:t>
            </w:r>
          </w:p>
        </w:tc>
        <w:tc>
          <w:tcPr>
            <w:tcW w:w="987" w:type="dxa"/>
            <w:tcBorders>
              <w:bottom w:val="single" w:sz="4" w:space="0" w:color="1F1F5F" w:themeColor="text1"/>
            </w:tcBorders>
          </w:tcPr>
          <w:p w14:paraId="68B7DE91" w14:textId="77777777" w:rsidR="0053251B" w:rsidRPr="0053251B" w:rsidRDefault="0053251B" w:rsidP="0053251B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en-US"/>
              </w:rPr>
            </w:pPr>
            <w:r w:rsidRPr="0053251B">
              <w:rPr>
                <w:color w:val="auto"/>
                <w:lang w:bidi="en-US"/>
              </w:rPr>
              <w:t>Raw score</w:t>
            </w:r>
          </w:p>
        </w:tc>
        <w:tc>
          <w:tcPr>
            <w:tcW w:w="3738" w:type="dxa"/>
            <w:tcBorders>
              <w:bottom w:val="single" w:sz="4" w:space="0" w:color="1F1F5F" w:themeColor="text1"/>
            </w:tcBorders>
          </w:tcPr>
          <w:p w14:paraId="70E23F4F" w14:textId="77777777" w:rsidR="0053251B" w:rsidRPr="0053251B" w:rsidRDefault="0053251B" w:rsidP="0053251B">
            <w:pPr>
              <w:spacing w:before="0"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en-US"/>
              </w:rPr>
            </w:pPr>
            <w:r w:rsidRPr="0053251B">
              <w:rPr>
                <w:color w:val="auto"/>
                <w:lang w:bidi="en-US"/>
              </w:rPr>
              <w:t>Benchmark description</w:t>
            </w:r>
          </w:p>
        </w:tc>
      </w:tr>
      <w:tr w:rsidR="0053251B" w:rsidRPr="0053251B" w14:paraId="27457734" w14:textId="77777777" w:rsidTr="0053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 w:val="restart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ABE6BAB" w14:textId="77777777" w:rsidR="0053251B" w:rsidRPr="0053251B" w:rsidRDefault="0053251B" w:rsidP="0053251B">
            <w:pPr>
              <w:spacing w:before="0" w:after="200"/>
              <w:jc w:val="center"/>
              <w:rPr>
                <w:lang w:bidi="en-US"/>
              </w:rPr>
            </w:pPr>
            <w:r w:rsidRPr="0053251B">
              <w:rPr>
                <w:lang w:bidi="en-US"/>
              </w:rPr>
              <w:t>3</w:t>
            </w:r>
          </w:p>
        </w:tc>
        <w:tc>
          <w:tcPr>
            <w:tcW w:w="3131" w:type="dxa"/>
            <w:vMerge w:val="restart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6354CE7" w14:textId="12D71E8A" w:rsidR="0053251B" w:rsidRPr="0053251B" w:rsidRDefault="0053251B" w:rsidP="0053251B">
            <w:pPr>
              <w:spacing w:before="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Contribute to the NT</w:t>
            </w:r>
          </w:p>
        </w:tc>
        <w:tc>
          <w:tcPr>
            <w:tcW w:w="121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5D3DBDC" w14:textId="77777777" w:rsidR="0053251B" w:rsidRPr="0053251B" w:rsidRDefault="0053251B" w:rsidP="0053251B">
            <w:pPr>
              <w:spacing w:before="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 w:rsidRPr="0053251B">
              <w:rPr>
                <w:lang w:bidi="en-US"/>
              </w:rPr>
              <w:t>100%</w:t>
            </w:r>
          </w:p>
        </w:tc>
        <w:tc>
          <w:tcPr>
            <w:tcW w:w="987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BA66BA0" w14:textId="77777777" w:rsidR="0053251B" w:rsidRPr="0053251B" w:rsidRDefault="0053251B" w:rsidP="0053251B">
            <w:pPr>
              <w:spacing w:before="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 w:rsidRPr="0053251B">
              <w:rPr>
                <w:lang w:bidi="en-US"/>
              </w:rPr>
              <w:t>3</w:t>
            </w:r>
          </w:p>
        </w:tc>
        <w:tc>
          <w:tcPr>
            <w:tcW w:w="3738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A7BB7C2" w14:textId="27FB6E2D" w:rsidR="0053251B" w:rsidRPr="0053251B" w:rsidRDefault="0053251B" w:rsidP="0053251B">
            <w:pPr>
              <w:spacing w:before="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Significant contribution in 3 areas</w:t>
            </w:r>
          </w:p>
        </w:tc>
      </w:tr>
      <w:tr w:rsidR="0053251B" w:rsidRPr="0053251B" w14:paraId="0BD026E8" w14:textId="77777777" w:rsidTr="00532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EFAC4AF" w14:textId="77777777" w:rsidR="0053251B" w:rsidRPr="0053251B" w:rsidRDefault="0053251B" w:rsidP="0053251B">
            <w:pPr>
              <w:spacing w:before="0" w:after="200"/>
              <w:rPr>
                <w:lang w:bidi="en-US"/>
              </w:rPr>
            </w:pPr>
          </w:p>
        </w:tc>
        <w:tc>
          <w:tcPr>
            <w:tcW w:w="3131" w:type="dxa"/>
            <w:vMerge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558294A" w14:textId="77777777" w:rsidR="0053251B" w:rsidRPr="0053251B" w:rsidRDefault="0053251B" w:rsidP="0053251B">
            <w:pPr>
              <w:spacing w:before="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</w:p>
        </w:tc>
        <w:tc>
          <w:tcPr>
            <w:tcW w:w="1213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</w:tcPr>
          <w:p w14:paraId="0234F32C" w14:textId="77777777" w:rsidR="0053251B" w:rsidRPr="0053251B" w:rsidRDefault="0053251B" w:rsidP="0053251B">
            <w:pPr>
              <w:spacing w:before="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 w:rsidRPr="0053251B">
              <w:rPr>
                <w:lang w:bidi="en-US"/>
              </w:rPr>
              <w:t>67%</w:t>
            </w:r>
          </w:p>
        </w:tc>
        <w:tc>
          <w:tcPr>
            <w:tcW w:w="987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</w:tcPr>
          <w:p w14:paraId="4461990E" w14:textId="77777777" w:rsidR="0053251B" w:rsidRPr="0053251B" w:rsidRDefault="0053251B" w:rsidP="0053251B">
            <w:pPr>
              <w:spacing w:before="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 w:rsidRPr="0053251B">
              <w:rPr>
                <w:lang w:bidi="en-US"/>
              </w:rPr>
              <w:t>2</w:t>
            </w:r>
          </w:p>
        </w:tc>
        <w:tc>
          <w:tcPr>
            <w:tcW w:w="3738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</w:tcPr>
          <w:p w14:paraId="6F397F28" w14:textId="0FF5CA3F" w:rsidR="0053251B" w:rsidRPr="0053251B" w:rsidRDefault="0053251B" w:rsidP="0053251B">
            <w:pPr>
              <w:spacing w:before="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Significant contribution in 2 areas</w:t>
            </w:r>
          </w:p>
        </w:tc>
      </w:tr>
      <w:tr w:rsidR="0053251B" w:rsidRPr="0053251B" w14:paraId="71D2DE43" w14:textId="77777777" w:rsidTr="0053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B71520B" w14:textId="77777777" w:rsidR="0053251B" w:rsidRPr="0053251B" w:rsidRDefault="0053251B" w:rsidP="0053251B">
            <w:pPr>
              <w:spacing w:before="0" w:after="200"/>
              <w:rPr>
                <w:lang w:bidi="en-US"/>
              </w:rPr>
            </w:pPr>
          </w:p>
        </w:tc>
        <w:tc>
          <w:tcPr>
            <w:tcW w:w="3131" w:type="dxa"/>
            <w:vMerge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5655FF0" w14:textId="77777777" w:rsidR="0053251B" w:rsidRPr="0053251B" w:rsidRDefault="0053251B" w:rsidP="0053251B">
            <w:pPr>
              <w:spacing w:before="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</w:p>
        </w:tc>
        <w:tc>
          <w:tcPr>
            <w:tcW w:w="121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D1E6244" w14:textId="77777777" w:rsidR="0053251B" w:rsidRPr="0053251B" w:rsidRDefault="0053251B" w:rsidP="0053251B">
            <w:pPr>
              <w:spacing w:before="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 w:rsidRPr="0053251B">
              <w:rPr>
                <w:lang w:bidi="en-US"/>
              </w:rPr>
              <w:t>33%</w:t>
            </w:r>
          </w:p>
        </w:tc>
        <w:tc>
          <w:tcPr>
            <w:tcW w:w="987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1AC89A6" w14:textId="77777777" w:rsidR="0053251B" w:rsidRPr="0053251B" w:rsidRDefault="0053251B" w:rsidP="0053251B">
            <w:pPr>
              <w:spacing w:before="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 w:rsidRPr="0053251B">
              <w:rPr>
                <w:lang w:bidi="en-US"/>
              </w:rPr>
              <w:t>1</w:t>
            </w:r>
          </w:p>
        </w:tc>
        <w:tc>
          <w:tcPr>
            <w:tcW w:w="3738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3294898" w14:textId="44E2A5F1" w:rsidR="0053251B" w:rsidRPr="0053251B" w:rsidRDefault="00592447" w:rsidP="0053251B">
            <w:pPr>
              <w:spacing w:before="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Significant contribution in 1 area</w:t>
            </w:r>
          </w:p>
        </w:tc>
      </w:tr>
      <w:tr w:rsidR="0053251B" w:rsidRPr="0053251B" w14:paraId="348AEB1F" w14:textId="77777777" w:rsidTr="00532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BFFAD97" w14:textId="77777777" w:rsidR="0053251B" w:rsidRPr="0053251B" w:rsidRDefault="0053251B" w:rsidP="0053251B">
            <w:pPr>
              <w:rPr>
                <w:lang w:bidi="en-US"/>
              </w:rPr>
            </w:pPr>
          </w:p>
        </w:tc>
        <w:tc>
          <w:tcPr>
            <w:tcW w:w="3131" w:type="dxa"/>
            <w:vMerge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AB386B9" w14:textId="77777777" w:rsidR="0053251B" w:rsidRPr="0053251B" w:rsidRDefault="0053251B" w:rsidP="005325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</w:p>
        </w:tc>
        <w:tc>
          <w:tcPr>
            <w:tcW w:w="1213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</w:tcPr>
          <w:p w14:paraId="74442D43" w14:textId="7B2705C0" w:rsidR="0053251B" w:rsidRPr="0053251B" w:rsidRDefault="0053251B" w:rsidP="005325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0%</w:t>
            </w:r>
          </w:p>
        </w:tc>
        <w:tc>
          <w:tcPr>
            <w:tcW w:w="987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</w:tcPr>
          <w:p w14:paraId="76895D2C" w14:textId="50FF7687" w:rsidR="0053251B" w:rsidRPr="0053251B" w:rsidRDefault="0053251B" w:rsidP="005325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  <w:tc>
          <w:tcPr>
            <w:tcW w:w="3738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</w:tcPr>
          <w:p w14:paraId="0EC84850" w14:textId="7E573846" w:rsidR="0053251B" w:rsidRPr="0053251B" w:rsidRDefault="0053251B" w:rsidP="005325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No significant c</w:t>
            </w:r>
            <w:r w:rsidRPr="0053251B">
              <w:rPr>
                <w:lang w:bidi="en-US"/>
              </w:rPr>
              <w:t>ontribution</w:t>
            </w:r>
          </w:p>
        </w:tc>
      </w:tr>
    </w:tbl>
    <w:p w14:paraId="2C507C2D" w14:textId="674B0F88" w:rsidR="00694E54" w:rsidRDefault="00694E54" w:rsidP="00694E54">
      <w:pPr>
        <w:pStyle w:val="Caption"/>
      </w:pPr>
      <w:bookmarkStart w:id="13" w:name="_Ref65590987"/>
      <w:r>
        <w:t xml:space="preserve">Figure </w:t>
      </w:r>
      <w:fldSimple w:instr=" SEQ Figure \* ARABIC ">
        <w:r w:rsidR="0042758F">
          <w:rPr>
            <w:noProof/>
          </w:rPr>
          <w:t>3</w:t>
        </w:r>
      </w:fldSimple>
      <w:r>
        <w:t xml:space="preserve"> – Territory Benefit assessment example</w:t>
      </w:r>
      <w:bookmarkEnd w:id="13"/>
    </w:p>
    <w:p w14:paraId="26B89F18" w14:textId="39368EA3" w:rsidR="00694E54" w:rsidRDefault="00694E54" w:rsidP="00694E54">
      <w:r>
        <w:t>In determining if a contribution</w:t>
      </w:r>
      <w:r w:rsidR="00B7143D">
        <w:t>/</w:t>
      </w:r>
      <w:r>
        <w:t xml:space="preserve">s is significant, </w:t>
      </w:r>
      <w:r w:rsidR="00FD4B59">
        <w:t>the following is</w:t>
      </w:r>
      <w:r>
        <w:t xml:space="preserve"> consider</w:t>
      </w:r>
      <w:r w:rsidR="00FD4B59">
        <w:t>ed</w:t>
      </w:r>
      <w:r>
        <w:t>.</w:t>
      </w:r>
    </w:p>
    <w:p w14:paraId="13BC1FE8" w14:textId="533DC85F" w:rsidR="0045014F" w:rsidRDefault="00694E54" w:rsidP="00694E54">
      <w:r w:rsidRPr="00A41836">
        <w:rPr>
          <w:b/>
        </w:rPr>
        <w:t>Scale</w:t>
      </w:r>
      <w:r>
        <w:t xml:space="preserve"> – </w:t>
      </w:r>
      <w:r w:rsidR="00B7143D">
        <w:t>S</w:t>
      </w:r>
      <w:r>
        <w:t>ize of the business</w:t>
      </w:r>
      <w:r w:rsidR="00B7143D">
        <w:t xml:space="preserve"> in relation to the </w:t>
      </w:r>
      <w:r>
        <w:t>significan</w:t>
      </w:r>
      <w:r w:rsidR="00B7143D">
        <w:t>ce</w:t>
      </w:r>
      <w:r>
        <w:t xml:space="preserve"> </w:t>
      </w:r>
      <w:r w:rsidR="00B7143D">
        <w:t>of</w:t>
      </w:r>
      <w:r>
        <w:t xml:space="preserve"> the commitment? </w:t>
      </w:r>
    </w:p>
    <w:p w14:paraId="3320C5FF" w14:textId="0A979625" w:rsidR="00694E54" w:rsidRDefault="00B7143D" w:rsidP="00694E54">
      <w:r>
        <w:t xml:space="preserve">For </w:t>
      </w:r>
      <w:proofErr w:type="gramStart"/>
      <w:r>
        <w:t>example</w:t>
      </w:r>
      <w:proofErr w:type="gramEnd"/>
      <w:r>
        <w:t xml:space="preserve"> a</w:t>
      </w:r>
      <w:r w:rsidR="00694E54">
        <w:t xml:space="preserve"> few hours of pro bono work performed by small business (1 or 2 employees) could be viewed as a significant commitment. A similar commitment from a medium or large size business would not be viewed as significant.  </w:t>
      </w:r>
    </w:p>
    <w:p w14:paraId="0B58A2C1" w14:textId="7467BDAA" w:rsidR="0045014F" w:rsidRDefault="00694E54" w:rsidP="00694E54">
      <w:r w:rsidRPr="00A41836">
        <w:rPr>
          <w:b/>
        </w:rPr>
        <w:t>Relevance</w:t>
      </w:r>
      <w:r>
        <w:t xml:space="preserve"> – How relevant is the contribution to the development of the Territory? </w:t>
      </w:r>
    </w:p>
    <w:p w14:paraId="626874CB" w14:textId="5F92EE9B" w:rsidR="00694E54" w:rsidRDefault="00694E54" w:rsidP="00694E54">
      <w:r>
        <w:t xml:space="preserve">Consideration </w:t>
      </w:r>
      <w:r w:rsidR="00B7143D">
        <w:t>will</w:t>
      </w:r>
      <w:r>
        <w:t xml:space="preserve"> be limited to contributions that directly benefit the </w:t>
      </w:r>
      <w:r w:rsidR="00B7143D">
        <w:t>Territory</w:t>
      </w:r>
      <w:r>
        <w:t xml:space="preserve"> above and beyond what would be considered normal industry practice. For </w:t>
      </w:r>
      <w:proofErr w:type="gramStart"/>
      <w:r>
        <w:t>example</w:t>
      </w:r>
      <w:proofErr w:type="gramEnd"/>
      <w:r>
        <w:t xml:space="preserve"> complying with environmental protection legislation </w:t>
      </w:r>
      <w:r w:rsidR="00B7143D">
        <w:t>would</w:t>
      </w:r>
      <w:r>
        <w:t xml:space="preserve"> not be considered as a relevant contribution as it represents the minimum expected behaviour; however introduction of environmental management practices that significantly exceed minimum expectations and</w:t>
      </w:r>
      <w:r w:rsidR="008638FA">
        <w:t xml:space="preserve"> normal</w:t>
      </w:r>
      <w:r>
        <w:t xml:space="preserve"> industry practice </w:t>
      </w:r>
      <w:r w:rsidR="00B7143D">
        <w:t>would</w:t>
      </w:r>
      <w:r>
        <w:t xml:space="preserve"> be.  </w:t>
      </w:r>
    </w:p>
    <w:p w14:paraId="5C556FCE" w14:textId="0C5A03BF" w:rsidR="0045014F" w:rsidRDefault="00694E54" w:rsidP="007A5417">
      <w:pPr>
        <w:keepNext/>
      </w:pPr>
      <w:r w:rsidRPr="00A41836">
        <w:rPr>
          <w:b/>
        </w:rPr>
        <w:lastRenderedPageBreak/>
        <w:t>Timely</w:t>
      </w:r>
      <w:r>
        <w:t xml:space="preserve"> – How re</w:t>
      </w:r>
      <w:r w:rsidR="00B7143D">
        <w:t>cent</w:t>
      </w:r>
      <w:r>
        <w:t xml:space="preserve"> were the benefits delivered to the </w:t>
      </w:r>
      <w:r w:rsidR="00B7143D">
        <w:t>T</w:t>
      </w:r>
      <w:r>
        <w:t xml:space="preserve">erritory? </w:t>
      </w:r>
    </w:p>
    <w:p w14:paraId="54AF066E" w14:textId="74F911F4" w:rsidR="00694E54" w:rsidRPr="00150762" w:rsidRDefault="00694E54" w:rsidP="007A5417">
      <w:pPr>
        <w:keepNext/>
      </w:pPr>
      <w:r>
        <w:t xml:space="preserve">As a guide, contributions to the </w:t>
      </w:r>
      <w:r w:rsidR="00B7143D">
        <w:t>T</w:t>
      </w:r>
      <w:r>
        <w:t xml:space="preserve">erritory should have been made within </w:t>
      </w:r>
      <w:r w:rsidR="008738F2">
        <w:t xml:space="preserve">the last </w:t>
      </w:r>
      <w:r>
        <w:t>24 months</w:t>
      </w:r>
      <w:r w:rsidR="009C05F4">
        <w:t>,</w:t>
      </w:r>
      <w:r>
        <w:t xml:space="preserve"> however assessors have discretion to consider older contributions where </w:t>
      </w:r>
      <w:r w:rsidR="00B7143D">
        <w:t xml:space="preserve">the </w:t>
      </w:r>
      <w:r>
        <w:t xml:space="preserve">scale and relevance are considered justifiable.   </w:t>
      </w:r>
    </w:p>
    <w:p w14:paraId="1864545D" w14:textId="3D27041E" w:rsidR="002366D0" w:rsidRPr="00592447" w:rsidRDefault="00694E54">
      <w:r w:rsidRPr="00A41836">
        <w:rPr>
          <w:b/>
        </w:rPr>
        <w:t>Verifiable</w:t>
      </w:r>
      <w:r>
        <w:t xml:space="preserve"> – Ha</w:t>
      </w:r>
      <w:r w:rsidR="000D5993">
        <w:t>s</w:t>
      </w:r>
      <w:r>
        <w:t xml:space="preserve"> the respondent provided evidence or a means to verify the contributions made? </w:t>
      </w:r>
    </w:p>
    <w:p w14:paraId="7EB57C5B" w14:textId="1A76EFB3" w:rsidR="00694E54" w:rsidRPr="00694E54" w:rsidRDefault="00463C16" w:rsidP="00950DD2">
      <w:pPr>
        <w:pStyle w:val="Heading2"/>
        <w:rPr>
          <w:lang w:eastAsia="en-AU"/>
        </w:rPr>
      </w:pPr>
      <w:bookmarkStart w:id="14" w:name="_Toc77328038"/>
      <w:r>
        <w:rPr>
          <w:lang w:eastAsia="en-AU"/>
        </w:rPr>
        <w:t>Subjective Scoring Scale</w:t>
      </w:r>
      <w:bookmarkEnd w:id="14"/>
    </w:p>
    <w:p w14:paraId="1370AFCA" w14:textId="511C7893" w:rsidR="00694E54" w:rsidRPr="000D397E" w:rsidRDefault="00463C16" w:rsidP="00694E54">
      <w:pPr>
        <w:rPr>
          <w:lang w:eastAsia="en-AU"/>
        </w:rPr>
      </w:pPr>
      <w:r>
        <w:rPr>
          <w:lang w:eastAsia="en-AU"/>
        </w:rPr>
        <w:t>Criteria which are assessed subjectively</w:t>
      </w:r>
      <w:r w:rsidR="00394F75">
        <w:rPr>
          <w:lang w:eastAsia="en-AU"/>
        </w:rPr>
        <w:t xml:space="preserve"> </w:t>
      </w:r>
      <w:r w:rsidR="00642649">
        <w:rPr>
          <w:lang w:eastAsia="en-AU"/>
        </w:rPr>
        <w:t xml:space="preserve">will </w:t>
      </w:r>
      <w:r w:rsidR="00394F75">
        <w:rPr>
          <w:lang w:eastAsia="en-AU"/>
        </w:rPr>
        <w:t xml:space="preserve">be assessed </w:t>
      </w:r>
      <w:r w:rsidR="00642649">
        <w:rPr>
          <w:lang w:eastAsia="en-AU"/>
        </w:rPr>
        <w:t>using a</w:t>
      </w:r>
      <w:r w:rsidR="00394F75" w:rsidRPr="000D397E">
        <w:rPr>
          <w:lang w:eastAsia="en-AU"/>
        </w:rPr>
        <w:t xml:space="preserve"> </w:t>
      </w:r>
      <w:r>
        <w:rPr>
          <w:lang w:eastAsia="en-AU"/>
        </w:rPr>
        <w:t>scoring</w:t>
      </w:r>
      <w:r w:rsidRPr="000D397E">
        <w:rPr>
          <w:lang w:eastAsia="en-AU"/>
        </w:rPr>
        <w:t xml:space="preserve"> </w:t>
      </w:r>
      <w:r w:rsidR="00394F75" w:rsidRPr="000D397E">
        <w:rPr>
          <w:lang w:eastAsia="en-AU"/>
        </w:rPr>
        <w:t xml:space="preserve">scale with </w:t>
      </w:r>
      <w:r w:rsidR="00642649">
        <w:rPr>
          <w:lang w:eastAsia="en-AU"/>
        </w:rPr>
        <w:t xml:space="preserve">scores and </w:t>
      </w:r>
      <w:r w:rsidR="000D5993" w:rsidRPr="000D397E">
        <w:rPr>
          <w:lang w:eastAsia="en-AU"/>
        </w:rPr>
        <w:t xml:space="preserve">descriptors. </w:t>
      </w:r>
    </w:p>
    <w:p w14:paraId="65148E41" w14:textId="76A9452C" w:rsidR="000D5993" w:rsidRDefault="006B34B0" w:rsidP="00950DD2">
      <w:r>
        <w:t xml:space="preserve">Figure 5 </w:t>
      </w:r>
      <w:r w:rsidRPr="00EF4073">
        <w:t>is an example of a</w:t>
      </w:r>
      <w:r w:rsidR="000D5993" w:rsidRPr="000D397E">
        <w:t xml:space="preserve"> subjective scoring scale</w:t>
      </w:r>
      <w:r w:rsidRPr="00EF4073">
        <w:t>.</w:t>
      </w:r>
    </w:p>
    <w:tbl>
      <w:tblPr>
        <w:tblStyle w:val="NTGtable1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592447" w14:paraId="2F12C45D" w14:textId="77777777" w:rsidTr="00592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633354C3" w14:textId="2EB7AC9B" w:rsidR="00592447" w:rsidRDefault="00592447" w:rsidP="00592447">
            <w:pPr>
              <w:jc w:val="center"/>
            </w:pPr>
            <w:r>
              <w:t>Score</w:t>
            </w:r>
          </w:p>
        </w:tc>
        <w:tc>
          <w:tcPr>
            <w:tcW w:w="9179" w:type="dxa"/>
          </w:tcPr>
          <w:p w14:paraId="4347A85D" w14:textId="6814892B" w:rsidR="00592447" w:rsidRDefault="00592447" w:rsidP="00592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592447" w14:paraId="746CDFD5" w14:textId="77777777" w:rsidTr="0059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03EFAF" w14:textId="46E76A61" w:rsidR="00592447" w:rsidRDefault="00592447" w:rsidP="00950DD2">
            <w:r>
              <w:t>10</w:t>
            </w:r>
          </w:p>
        </w:tc>
        <w:tc>
          <w:tcPr>
            <w:tcW w:w="9179" w:type="dxa"/>
          </w:tcPr>
          <w:p w14:paraId="658CFE42" w14:textId="77777777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Requirements are exceeded all areas.</w:t>
            </w:r>
          </w:p>
          <w:p w14:paraId="780F0CD9" w14:textId="4C4A88D3" w:rsidR="00592447" w:rsidRDefault="00592447" w:rsidP="00873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demonstrates superior capability, capacity and experience relevant to, or understanding of the requirements of the evaluation criterion. Completely convincing and credible - comprehensively documented with all claims fully substantiated. Low or no risk.</w:t>
            </w:r>
          </w:p>
        </w:tc>
      </w:tr>
      <w:tr w:rsidR="00592447" w14:paraId="4C0BEF4B" w14:textId="77777777" w:rsidTr="00592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D3EA17" w14:textId="1265D896" w:rsidR="00592447" w:rsidRDefault="00592447" w:rsidP="00950DD2">
            <w:r>
              <w:t>9</w:t>
            </w:r>
          </w:p>
        </w:tc>
        <w:tc>
          <w:tcPr>
            <w:tcW w:w="9179" w:type="dxa"/>
          </w:tcPr>
          <w:p w14:paraId="195F2EFF" w14:textId="2AA92D10" w:rsidR="00592447" w:rsidRPr="00EF4073" w:rsidRDefault="00592447" w:rsidP="005924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Requirements are exceeded in most key areas </w:t>
            </w:r>
            <w:r w:rsidR="008E72FE">
              <w:rPr>
                <w:rFonts w:ascii="Calibri" w:eastAsia="Times New Roman" w:hAnsi="Calibri" w:cs="Calibri"/>
                <w:color w:val="000000"/>
                <w:lang w:eastAsia="en-AU"/>
              </w:rPr>
              <w:t>and</w:t>
            </w: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addressed to a very high standard in all others.</w:t>
            </w:r>
          </w:p>
          <w:p w14:paraId="4FC823A2" w14:textId="739ABBD5" w:rsidR="00592447" w:rsidRDefault="00592447" w:rsidP="00592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demonstrates outstanding capability, capacity and experience relevant to, or understanding of, the requirements of the evaluation criterion. Most claims are fully substantiated with others very well substantiated. Low risk.</w:t>
            </w:r>
          </w:p>
        </w:tc>
      </w:tr>
      <w:tr w:rsidR="00592447" w14:paraId="34B469EE" w14:textId="77777777" w:rsidTr="0059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E7EA3D" w14:textId="6E933DFB" w:rsidR="00592447" w:rsidRDefault="00592447" w:rsidP="00950DD2">
            <w:r>
              <w:t>8</w:t>
            </w:r>
          </w:p>
        </w:tc>
        <w:tc>
          <w:tcPr>
            <w:tcW w:w="9179" w:type="dxa"/>
          </w:tcPr>
          <w:p w14:paraId="48D795B7" w14:textId="77777777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Requirements met to a very high standard in all areas.</w:t>
            </w:r>
          </w:p>
          <w:p w14:paraId="5C11DF67" w14:textId="119762AD" w:rsidR="00592447" w:rsidRDefault="00592447" w:rsidP="00592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demonstrates very good capability, capacity and experience relevant to, or understanding of, the requirements of the evaluation criterion. All claims are well substantiated. Low risk.</w:t>
            </w:r>
          </w:p>
        </w:tc>
      </w:tr>
      <w:tr w:rsidR="00592447" w14:paraId="2DCDA275" w14:textId="77777777" w:rsidTr="00592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50A9E7" w14:textId="1E5FE693" w:rsidR="00592447" w:rsidRDefault="00592447" w:rsidP="00950DD2">
            <w:r>
              <w:t>7</w:t>
            </w:r>
          </w:p>
        </w:tc>
        <w:tc>
          <w:tcPr>
            <w:tcW w:w="9179" w:type="dxa"/>
          </w:tcPr>
          <w:p w14:paraId="4F6BC4C7" w14:textId="626FF64B" w:rsidR="00592447" w:rsidRPr="00EF4073" w:rsidRDefault="00463C16" w:rsidP="005924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  <w:r w:rsidR="00592447"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equirements met to a high standard in all areas.</w:t>
            </w:r>
          </w:p>
          <w:p w14:paraId="1992BF9D" w14:textId="7468D63D" w:rsidR="00592447" w:rsidRDefault="00592447" w:rsidP="00592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demonstrates good capability, capacity and experience, relevant to, or understanding of, the requirements of the evaluation criterion. Claims are well substantiated in key areas. Low to medium risk.</w:t>
            </w:r>
          </w:p>
        </w:tc>
      </w:tr>
      <w:tr w:rsidR="00592447" w14:paraId="2EE5548B" w14:textId="77777777" w:rsidTr="0059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DE33BA" w14:textId="7BF02AF0" w:rsidR="00592447" w:rsidRDefault="00592447" w:rsidP="00950DD2">
            <w:r>
              <w:t>6</w:t>
            </w:r>
          </w:p>
        </w:tc>
        <w:tc>
          <w:tcPr>
            <w:tcW w:w="9179" w:type="dxa"/>
          </w:tcPr>
          <w:p w14:paraId="6E0D3B11" w14:textId="77777777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Requirements are addressed well in all areas.</w:t>
            </w:r>
          </w:p>
          <w:p w14:paraId="0C9FEEDE" w14:textId="77777777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demonstrates fair capability, capacity and experience, relevant to, or understanding of, the requirements of the evaluation criterion. Some minor shortcomings.</w:t>
            </w:r>
          </w:p>
          <w:p w14:paraId="1B733C84" w14:textId="7C488DCF" w:rsidR="00592447" w:rsidRDefault="00592447" w:rsidP="00463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Claims are well substantiated in most areas.  Credible strategies that address all minimum requirements and exceed requirements in some areas.  Most key risks are covered well. Medium risk.</w:t>
            </w:r>
          </w:p>
        </w:tc>
      </w:tr>
      <w:tr w:rsidR="00592447" w14:paraId="294A643C" w14:textId="77777777" w:rsidTr="00592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E92201" w14:textId="64AC2C32" w:rsidR="00592447" w:rsidRDefault="00592447" w:rsidP="00950DD2">
            <w:r>
              <w:t>5</w:t>
            </w:r>
          </w:p>
        </w:tc>
        <w:tc>
          <w:tcPr>
            <w:tcW w:w="9179" w:type="dxa"/>
          </w:tcPr>
          <w:p w14:paraId="4A47FC40" w14:textId="067533FE" w:rsidR="00592447" w:rsidRPr="009C05F4" w:rsidRDefault="00592447" w:rsidP="00592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C05F4">
              <w:rPr>
                <w:rFonts w:ascii="Calibri" w:hAnsi="Calibri" w:cs="Calibri"/>
              </w:rPr>
              <w:t xml:space="preserve">Requirements addressed to </w:t>
            </w:r>
            <w:r w:rsidR="00463C16">
              <w:rPr>
                <w:rFonts w:ascii="Calibri" w:hAnsi="Calibri" w:cs="Calibri"/>
              </w:rPr>
              <w:t>an</w:t>
            </w:r>
            <w:r w:rsidRPr="009C05F4">
              <w:rPr>
                <w:rFonts w:ascii="Calibri" w:hAnsi="Calibri" w:cs="Calibri"/>
              </w:rPr>
              <w:t xml:space="preserve"> acceptable standard with no major shortcomings.</w:t>
            </w:r>
          </w:p>
          <w:p w14:paraId="40CA3B1B" w14:textId="46A509D4" w:rsidR="00592447" w:rsidRPr="009C05F4" w:rsidRDefault="00592447" w:rsidP="00592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C05F4">
              <w:rPr>
                <w:rFonts w:ascii="Calibri" w:hAnsi="Calibri" w:cs="Calibri"/>
              </w:rPr>
              <w:t>Response demonstrates acceptable capability, capacity and experience, relevant to, or understanding of, the requirements of the evaluation criterion.  Some gaps identified.  All claims are adequately substantiated.  Medium risk.</w:t>
            </w:r>
          </w:p>
        </w:tc>
      </w:tr>
      <w:tr w:rsidR="00592447" w14:paraId="7195BD04" w14:textId="77777777" w:rsidTr="0059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F41B14" w14:textId="2A48B13E" w:rsidR="00592447" w:rsidRDefault="00592447" w:rsidP="00950DD2">
            <w:r>
              <w:t>4</w:t>
            </w:r>
          </w:p>
        </w:tc>
        <w:tc>
          <w:tcPr>
            <w:tcW w:w="9179" w:type="dxa"/>
          </w:tcPr>
          <w:p w14:paraId="2D461146" w14:textId="77777777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Requirements not fully met.</w:t>
            </w:r>
          </w:p>
          <w:p w14:paraId="20BF9A78" w14:textId="741175CE" w:rsidR="00592447" w:rsidRDefault="00592447" w:rsidP="00592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demonstrates marginal capability, capacity and experience, relevant to, or understanding of, the requirements of the evaluation criterion. Some claims unsubstantiated; others only adequate. Some proposals unworkable. Medium to high risk.</w:t>
            </w:r>
          </w:p>
        </w:tc>
      </w:tr>
      <w:tr w:rsidR="00592447" w14:paraId="7A8F89FD" w14:textId="77777777" w:rsidTr="007A5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B7E14F" w14:textId="715E0AE7" w:rsidR="00592447" w:rsidRDefault="00592447" w:rsidP="00950DD2">
            <w:r>
              <w:t>3</w:t>
            </w:r>
          </w:p>
        </w:tc>
        <w:tc>
          <w:tcPr>
            <w:tcW w:w="9179" w:type="dxa"/>
          </w:tcPr>
          <w:p w14:paraId="7154B095" w14:textId="77777777" w:rsidR="00592447" w:rsidRPr="00EF4073" w:rsidRDefault="00592447" w:rsidP="005924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Requirements poorly addressed in some areas or not at all.</w:t>
            </w:r>
          </w:p>
          <w:p w14:paraId="074B9B40" w14:textId="590745E7" w:rsidR="00592447" w:rsidRDefault="00592447" w:rsidP="00592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demonstrates poor capability, capacity and experience, relevant to, or understanding of, the requirements of the evaluation criterion. Claims largely unsubstantiated.   A number of proposals unworkable. High risk.</w:t>
            </w:r>
          </w:p>
        </w:tc>
      </w:tr>
      <w:tr w:rsidR="00592447" w14:paraId="4B44F323" w14:textId="77777777" w:rsidTr="0059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A508D6" w14:textId="353F9660" w:rsidR="00592447" w:rsidRDefault="00592447" w:rsidP="00950DD2">
            <w:r>
              <w:lastRenderedPageBreak/>
              <w:t>2</w:t>
            </w:r>
          </w:p>
        </w:tc>
        <w:tc>
          <w:tcPr>
            <w:tcW w:w="9179" w:type="dxa"/>
          </w:tcPr>
          <w:p w14:paraId="189A1699" w14:textId="77777777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Requirements inadequately dealt with in most or all areas.</w:t>
            </w:r>
          </w:p>
          <w:p w14:paraId="2450CFE9" w14:textId="59583911" w:rsidR="00592447" w:rsidRDefault="00592447" w:rsidP="00463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Response demonstrates very poor capability, capacity and experience, relevant to, or understanding of, the requirements of the evaluation criterion. Claims almost totally unsubstantiated. A number of proposals unworkable with a high probability of failure. </w:t>
            </w:r>
            <w:r w:rsidR="00463C16">
              <w:rPr>
                <w:rFonts w:ascii="Calibri" w:eastAsia="Times New Roman" w:hAnsi="Calibri" w:cs="Calibri"/>
                <w:color w:val="000000"/>
                <w:lang w:eastAsia="en-AU"/>
              </w:rPr>
              <w:t>Very high</w:t>
            </w: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risk.</w:t>
            </w:r>
          </w:p>
        </w:tc>
      </w:tr>
      <w:tr w:rsidR="00592447" w14:paraId="7F89F3A7" w14:textId="77777777" w:rsidTr="00592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862E87" w14:textId="16AF0AE1" w:rsidR="00592447" w:rsidRDefault="00592447" w:rsidP="00950DD2">
            <w:r>
              <w:t>1</w:t>
            </w:r>
          </w:p>
        </w:tc>
        <w:tc>
          <w:tcPr>
            <w:tcW w:w="9179" w:type="dxa"/>
          </w:tcPr>
          <w:p w14:paraId="470D536C" w14:textId="77777777" w:rsidR="00592447" w:rsidRPr="00EF4073" w:rsidRDefault="00592447" w:rsidP="0059244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Requirements not met.</w:t>
            </w:r>
          </w:p>
          <w:p w14:paraId="6EB3B740" w14:textId="65462AAD" w:rsidR="00592447" w:rsidRDefault="00592447" w:rsidP="00592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Response does not demonstrate capability, capacity and experience, relevant to, or understanding of, the requirements of the evaluation criterion. Claims unsubstantiated and unworkable. Extreme risk.</w:t>
            </w:r>
          </w:p>
        </w:tc>
      </w:tr>
      <w:tr w:rsidR="00592447" w14:paraId="31A4EB5B" w14:textId="77777777" w:rsidTr="0059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5AF728" w14:textId="101F2E3B" w:rsidR="00592447" w:rsidRDefault="00592447" w:rsidP="00950DD2">
            <w:r>
              <w:t>0</w:t>
            </w:r>
          </w:p>
        </w:tc>
        <w:tc>
          <w:tcPr>
            <w:tcW w:w="9179" w:type="dxa"/>
          </w:tcPr>
          <w:p w14:paraId="589C5112" w14:textId="77777777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Non-compliance either stated or demonstrated by the Respondent or there is insufficient information to assess compliance.</w:t>
            </w:r>
          </w:p>
          <w:p w14:paraId="33C89911" w14:textId="5147814D" w:rsidR="00592447" w:rsidRPr="00EF4073" w:rsidRDefault="00592447" w:rsidP="005924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F4073">
              <w:rPr>
                <w:rFonts w:ascii="Calibri" w:eastAsia="Times New Roman" w:hAnsi="Calibri" w:cs="Calibri"/>
                <w:color w:val="000000"/>
                <w:lang w:eastAsia="en-AU"/>
              </w:rPr>
              <w:t>Respondent was not evaluated as it did not provide minimum level of requested information and/or did not comply with the stated requirement.</w:t>
            </w:r>
          </w:p>
        </w:tc>
      </w:tr>
    </w:tbl>
    <w:p w14:paraId="3427590A" w14:textId="5EAAB879" w:rsidR="00592447" w:rsidRPr="00592447" w:rsidRDefault="006B34B0" w:rsidP="00592447">
      <w:pPr>
        <w:pStyle w:val="Caption"/>
        <w:sectPr w:rsidR="00592447" w:rsidRPr="00592447" w:rsidSect="00C95D30">
          <w:footerReference w:type="default" r:id="rId18"/>
          <w:headerReference w:type="first" r:id="rId19"/>
          <w:pgSz w:w="11906" w:h="16838" w:code="9"/>
          <w:pgMar w:top="794" w:right="794" w:bottom="794" w:left="794" w:header="794" w:footer="794" w:gutter="0"/>
          <w:cols w:space="708"/>
          <w:docGrid w:linePitch="360"/>
        </w:sectPr>
      </w:pPr>
      <w:r>
        <w:t xml:space="preserve">Figure </w:t>
      </w:r>
      <w:fldSimple w:instr=" SEQ Figure \* ARABIC ">
        <w:r w:rsidR="0042758F">
          <w:rPr>
            <w:noProof/>
          </w:rPr>
          <w:t>4</w:t>
        </w:r>
      </w:fldSimple>
      <w:r>
        <w:t xml:space="preserve"> – Subjective scoring scale</w:t>
      </w:r>
      <w:r w:rsidRPr="006B34B0">
        <w:t xml:space="preserve"> </w:t>
      </w:r>
      <w:r>
        <w:t>example</w:t>
      </w:r>
    </w:p>
    <w:p w14:paraId="7561175F" w14:textId="44A54AFC" w:rsidR="002B4538" w:rsidRDefault="00B570DE" w:rsidP="00B570DE">
      <w:pPr>
        <w:pStyle w:val="Heading1"/>
        <w:numPr>
          <w:ilvl w:val="0"/>
          <w:numId w:val="0"/>
        </w:numPr>
      </w:pPr>
      <w:bookmarkStart w:id="15" w:name="_Toc77328039"/>
      <w:r>
        <w:lastRenderedPageBreak/>
        <w:t xml:space="preserve">Appendix A </w:t>
      </w:r>
      <w:r w:rsidR="00E96014">
        <w:t>–</w:t>
      </w:r>
      <w:r>
        <w:t xml:space="preserve"> </w:t>
      </w:r>
      <w:r w:rsidR="00E96014">
        <w:t xml:space="preserve">Focus Areas for </w:t>
      </w:r>
      <w:r w:rsidR="002B4538">
        <w:t xml:space="preserve">Commitment </w:t>
      </w:r>
      <w:r w:rsidR="00A75529">
        <w:t xml:space="preserve">to Advancing </w:t>
      </w:r>
      <w:r w:rsidR="00E96014">
        <w:t>t</w:t>
      </w:r>
      <w:r w:rsidR="00A75529">
        <w:t>he Territory</w:t>
      </w:r>
      <w:bookmarkEnd w:id="15"/>
    </w:p>
    <w:p w14:paraId="28CA82F6" w14:textId="04C014EB" w:rsidR="002B4538" w:rsidRPr="00236D6E" w:rsidRDefault="002B4538" w:rsidP="002B4538">
      <w:pPr>
        <w:rPr>
          <w:rFonts w:cstheme="minorHAnsi"/>
        </w:rPr>
      </w:pPr>
      <w:r w:rsidRPr="00236D6E">
        <w:rPr>
          <w:rFonts w:cstheme="minorHAnsi"/>
        </w:rPr>
        <w:t>The Northern Territory Government recognises and supports</w:t>
      </w:r>
      <w:r w:rsidR="00034ACD">
        <w:rPr>
          <w:rFonts w:cstheme="minorHAnsi"/>
        </w:rPr>
        <w:t xml:space="preserve"> </w:t>
      </w:r>
      <w:r w:rsidR="0023707B">
        <w:rPr>
          <w:rFonts w:cstheme="minorHAnsi"/>
        </w:rPr>
        <w:t>tenderers</w:t>
      </w:r>
      <w:r w:rsidRPr="00236D6E">
        <w:rPr>
          <w:rFonts w:cstheme="minorHAnsi"/>
        </w:rPr>
        <w:t xml:space="preserve"> that are committed to the economic, social, environmental and cultural development of the Northern Territory. There are a number of ways that </w:t>
      </w:r>
      <w:r w:rsidR="0023707B">
        <w:rPr>
          <w:rFonts w:cstheme="minorHAnsi"/>
        </w:rPr>
        <w:t>tenderers</w:t>
      </w:r>
      <w:r w:rsidRPr="00236D6E">
        <w:rPr>
          <w:rFonts w:cstheme="minorHAnsi"/>
        </w:rPr>
        <w:t xml:space="preserve"> can demonstrate this commitment. This includes advancing the Northern Territory through focusing on:</w:t>
      </w:r>
    </w:p>
    <w:p w14:paraId="7C0EDD1F" w14:textId="3FDE0A76" w:rsidR="002B4538" w:rsidRPr="00236D6E" w:rsidRDefault="00463C16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Increased </w:t>
      </w:r>
      <w:r w:rsidR="002B4538" w:rsidRPr="00236D6E">
        <w:rPr>
          <w:rFonts w:cstheme="minorHAnsi"/>
        </w:rPr>
        <w:t>Aboriginal participation</w:t>
      </w:r>
      <w:r>
        <w:rPr>
          <w:rFonts w:cstheme="minorHAnsi"/>
        </w:rPr>
        <w:t xml:space="preserve"> in employment and </w:t>
      </w:r>
      <w:proofErr w:type="gramStart"/>
      <w:r>
        <w:rPr>
          <w:rFonts w:cstheme="minorHAnsi"/>
        </w:rPr>
        <w:t>business</w:t>
      </w:r>
      <w:proofErr w:type="gramEnd"/>
    </w:p>
    <w:p w14:paraId="6145F295" w14:textId="77777777" w:rsidR="002B4538" w:rsidRPr="00236D6E" w:rsidRDefault="002B4538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>Regional development</w:t>
      </w:r>
    </w:p>
    <w:p w14:paraId="537835F0" w14:textId="38B7BA9B" w:rsidR="002B4538" w:rsidRPr="00236D6E" w:rsidRDefault="00463C16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Development of </w:t>
      </w:r>
      <w:r w:rsidR="00575F57">
        <w:rPr>
          <w:rFonts w:cstheme="minorHAnsi"/>
        </w:rPr>
        <w:t>te</w:t>
      </w:r>
      <w:r w:rsidR="002B4538" w:rsidRPr="00236D6E">
        <w:rPr>
          <w:rFonts w:cstheme="minorHAnsi"/>
        </w:rPr>
        <w:t xml:space="preserve">rritory </w:t>
      </w:r>
      <w:r w:rsidR="00575F57">
        <w:rPr>
          <w:rFonts w:cstheme="minorHAnsi"/>
        </w:rPr>
        <w:t>c</w:t>
      </w:r>
      <w:r w:rsidR="002B4538" w:rsidRPr="00236D6E">
        <w:rPr>
          <w:rFonts w:cstheme="minorHAnsi"/>
        </w:rPr>
        <w:t>ulture</w:t>
      </w:r>
    </w:p>
    <w:p w14:paraId="45BA2309" w14:textId="77777777" w:rsidR="002B4538" w:rsidRPr="00236D6E" w:rsidRDefault="002B4538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>Support for disadvantaged people or groups</w:t>
      </w:r>
    </w:p>
    <w:p w14:paraId="10DEEADC" w14:textId="1D50D3DA" w:rsidR="002B4538" w:rsidRPr="00236D6E" w:rsidRDefault="002B4538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 xml:space="preserve">Environmental </w:t>
      </w:r>
      <w:r w:rsidR="00575F57">
        <w:rPr>
          <w:rFonts w:cstheme="minorHAnsi"/>
        </w:rPr>
        <w:t>p</w:t>
      </w:r>
      <w:r w:rsidRPr="00236D6E">
        <w:rPr>
          <w:rFonts w:cstheme="minorHAnsi"/>
        </w:rPr>
        <w:t>rotection</w:t>
      </w:r>
    </w:p>
    <w:p w14:paraId="52E4C48D" w14:textId="75B488EF" w:rsidR="002B4538" w:rsidRPr="00236D6E" w:rsidRDefault="002B4538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 xml:space="preserve">Gender </w:t>
      </w:r>
      <w:r w:rsidR="00575F57">
        <w:rPr>
          <w:rFonts w:cstheme="minorHAnsi"/>
        </w:rPr>
        <w:t>e</w:t>
      </w:r>
      <w:r w:rsidRPr="00236D6E">
        <w:rPr>
          <w:rFonts w:cstheme="minorHAnsi"/>
        </w:rPr>
        <w:t>quality</w:t>
      </w:r>
    </w:p>
    <w:p w14:paraId="2D552BC4" w14:textId="29DDA563" w:rsidR="002B4538" w:rsidRDefault="002B4538" w:rsidP="00B010B0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cstheme="minorHAnsi"/>
        </w:rPr>
      </w:pPr>
      <w:r w:rsidRPr="00236D6E">
        <w:rPr>
          <w:rFonts w:cstheme="minorHAnsi"/>
        </w:rPr>
        <w:t>Research and innovation</w:t>
      </w:r>
      <w:r w:rsidR="00A0675A">
        <w:rPr>
          <w:rFonts w:cstheme="minorHAnsi"/>
        </w:rPr>
        <w:t>.</w:t>
      </w:r>
    </w:p>
    <w:p w14:paraId="377CD02D" w14:textId="289217F2" w:rsidR="002B4538" w:rsidRDefault="00A75529" w:rsidP="002B4538">
      <w:p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Each of these</w:t>
      </w:r>
      <w:r w:rsidR="004B46A1">
        <w:rPr>
          <w:rFonts w:cstheme="minorHAnsi"/>
        </w:rPr>
        <w:t xml:space="preserve"> focus</w:t>
      </w:r>
      <w:r>
        <w:rPr>
          <w:rFonts w:cstheme="minorHAnsi"/>
        </w:rPr>
        <w:t xml:space="preserve"> areas are recognised as providing benefit to the Territory. </w:t>
      </w:r>
    </w:p>
    <w:p w14:paraId="7F14C6EE" w14:textId="2DB71656" w:rsidR="002B4538" w:rsidRPr="00B570DE" w:rsidRDefault="00463C16" w:rsidP="0060731D">
      <w:pPr>
        <w:pStyle w:val="Heading2"/>
        <w:numPr>
          <w:ilvl w:val="0"/>
          <w:numId w:val="0"/>
        </w:numPr>
      </w:pPr>
      <w:bookmarkStart w:id="16" w:name="_Toc77328040"/>
      <w:r>
        <w:t xml:space="preserve">Increased </w:t>
      </w:r>
      <w:r w:rsidR="002B4538" w:rsidRPr="00B570DE">
        <w:t>Aboriginal participation</w:t>
      </w:r>
      <w:r w:rsidR="008661CA">
        <w:t xml:space="preserve"> in employment and </w:t>
      </w:r>
      <w:proofErr w:type="gramStart"/>
      <w:r w:rsidR="008661CA">
        <w:t>business</w:t>
      </w:r>
      <w:bookmarkEnd w:id="16"/>
      <w:proofErr w:type="gramEnd"/>
    </w:p>
    <w:p w14:paraId="5B209A03" w14:textId="7A9EC066" w:rsidR="002B4538" w:rsidRDefault="009354B8" w:rsidP="00A3597A">
      <w:pPr>
        <w:rPr>
          <w:rFonts w:cstheme="minorHAnsi"/>
        </w:rPr>
      </w:pPr>
      <w:r>
        <w:rPr>
          <w:rFonts w:cstheme="minorHAnsi"/>
        </w:rPr>
        <w:t xml:space="preserve">For the purposes of this </w:t>
      </w:r>
      <w:r w:rsidR="00891CAA">
        <w:rPr>
          <w:rFonts w:cstheme="minorHAnsi"/>
        </w:rPr>
        <w:t>focus area</w:t>
      </w:r>
      <w:r>
        <w:rPr>
          <w:rFonts w:cstheme="minorHAnsi"/>
        </w:rPr>
        <w:t xml:space="preserve"> Aboriginal Territorian</w:t>
      </w:r>
      <w:r w:rsidR="00891CAA">
        <w:rPr>
          <w:rFonts w:cstheme="minorHAnsi"/>
        </w:rPr>
        <w:t>s</w:t>
      </w:r>
      <w:r>
        <w:rPr>
          <w:rFonts w:cstheme="minorHAnsi"/>
        </w:rPr>
        <w:t xml:space="preserve"> includes both </w:t>
      </w:r>
      <w:r w:rsidRPr="009354B8">
        <w:rPr>
          <w:rFonts w:cstheme="minorHAnsi"/>
        </w:rPr>
        <w:t>Aboriginal and Torres Strait Islander people who reside in the Norther</w:t>
      </w:r>
      <w:r w:rsidR="00CB5997">
        <w:rPr>
          <w:rFonts w:cstheme="minorHAnsi"/>
        </w:rPr>
        <w:t>n</w:t>
      </w:r>
      <w:r w:rsidRPr="009354B8">
        <w:rPr>
          <w:rFonts w:cstheme="minorHAnsi"/>
        </w:rPr>
        <w:t xml:space="preserve"> Territory on an ongoing permanent basis.</w:t>
      </w:r>
    </w:p>
    <w:p w14:paraId="0CC1412E" w14:textId="29C39638" w:rsidR="003123A6" w:rsidRDefault="0023707B" w:rsidP="003123A6">
      <w:pPr>
        <w:rPr>
          <w:rFonts w:cstheme="minorHAnsi"/>
        </w:rPr>
      </w:pPr>
      <w:r>
        <w:rPr>
          <w:rFonts w:cstheme="minorHAnsi"/>
        </w:rPr>
        <w:t>Tenderers</w:t>
      </w:r>
      <w:r w:rsidR="003123A6">
        <w:rPr>
          <w:rFonts w:cstheme="minorHAnsi"/>
        </w:rPr>
        <w:t xml:space="preserve"> can contribute to </w:t>
      </w:r>
      <w:r w:rsidR="0052289A">
        <w:rPr>
          <w:rFonts w:cstheme="minorHAnsi"/>
        </w:rPr>
        <w:t>Aboriginal participation</w:t>
      </w:r>
      <w:r w:rsidR="003123A6">
        <w:rPr>
          <w:rFonts w:cstheme="minorHAnsi"/>
        </w:rPr>
        <w:t xml:space="preserve"> in many ways such as:</w:t>
      </w:r>
    </w:p>
    <w:p w14:paraId="6CEE3E40" w14:textId="0B5385F4" w:rsidR="003123A6" w:rsidRDefault="003123A6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Employing Aboriginal people as part of your permanent workforce </w:t>
      </w:r>
    </w:p>
    <w:p w14:paraId="0AD71477" w14:textId="77777777" w:rsidR="003123A6" w:rsidRDefault="003123A6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Supporting high levels of Aboriginal Business Enterprise utilisation in your supply chain</w:t>
      </w:r>
    </w:p>
    <w:p w14:paraId="7838CC67" w14:textId="2AA32740" w:rsidR="0052289A" w:rsidRDefault="0052289A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Mentoring or coaching Aboriginal people</w:t>
      </w:r>
      <w:r w:rsidR="00CB5997">
        <w:rPr>
          <w:rFonts w:cstheme="minorHAnsi"/>
        </w:rPr>
        <w:t xml:space="preserve"> in and out of the immediate workforce</w:t>
      </w:r>
      <w:r>
        <w:rPr>
          <w:rFonts w:cstheme="minorHAnsi"/>
        </w:rPr>
        <w:t xml:space="preserve"> and business enterprises</w:t>
      </w:r>
    </w:p>
    <w:p w14:paraId="36068DF2" w14:textId="77777777" w:rsidR="009354B8" w:rsidRDefault="0052289A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Establishing and supporting targeted recruitment programs aimed at increasing Aboriginal employment in specific professions or trades (including trainees and apprentices)</w:t>
      </w:r>
    </w:p>
    <w:p w14:paraId="34804093" w14:textId="0B1973E2" w:rsidR="009A37C6" w:rsidRDefault="009A37C6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Establishing and actioning a reconciliation action plan</w:t>
      </w:r>
      <w:r w:rsidR="00A0675A">
        <w:rPr>
          <w:rFonts w:cstheme="minorHAnsi"/>
        </w:rPr>
        <w:t>.</w:t>
      </w:r>
    </w:p>
    <w:p w14:paraId="5D4BF959" w14:textId="77777777" w:rsidR="002B4538" w:rsidRPr="00B570DE" w:rsidRDefault="002B4538" w:rsidP="0060731D">
      <w:pPr>
        <w:pStyle w:val="Heading2"/>
        <w:numPr>
          <w:ilvl w:val="0"/>
          <w:numId w:val="0"/>
        </w:numPr>
      </w:pPr>
      <w:bookmarkStart w:id="17" w:name="_Toc77328041"/>
      <w:r w:rsidRPr="00B570DE">
        <w:t>Regional development</w:t>
      </w:r>
      <w:bookmarkEnd w:id="17"/>
    </w:p>
    <w:p w14:paraId="6A87F390" w14:textId="0EAC38DE" w:rsidR="00452202" w:rsidRDefault="009354B8" w:rsidP="009354B8">
      <w:pPr>
        <w:rPr>
          <w:rFonts w:cstheme="minorHAnsi"/>
        </w:rPr>
      </w:pPr>
      <w:r>
        <w:rPr>
          <w:rFonts w:cstheme="minorHAnsi"/>
        </w:rPr>
        <w:t xml:space="preserve">Regional development activities </w:t>
      </w:r>
      <w:proofErr w:type="gramStart"/>
      <w:r w:rsidR="00891CAA">
        <w:rPr>
          <w:rFonts w:cstheme="minorHAnsi"/>
        </w:rPr>
        <w:t>that  contribute</w:t>
      </w:r>
      <w:proofErr w:type="gramEnd"/>
      <w:r>
        <w:rPr>
          <w:rFonts w:cstheme="minorHAnsi"/>
        </w:rPr>
        <w:t xml:space="preserve"> to maintain</w:t>
      </w:r>
      <w:r w:rsidR="00891CAA">
        <w:rPr>
          <w:rFonts w:cstheme="minorHAnsi"/>
        </w:rPr>
        <w:t>ing</w:t>
      </w:r>
      <w:r>
        <w:rPr>
          <w:rFonts w:cstheme="minorHAnsi"/>
        </w:rPr>
        <w:t xml:space="preserve"> a strong and competitive industry environment across the Territory, and contribute significantly to </w:t>
      </w:r>
      <w:r w:rsidR="008661CA">
        <w:rPr>
          <w:rFonts w:cstheme="minorHAnsi"/>
        </w:rPr>
        <w:t xml:space="preserve">community </w:t>
      </w:r>
      <w:r>
        <w:rPr>
          <w:rFonts w:cstheme="minorHAnsi"/>
        </w:rPr>
        <w:t xml:space="preserve">employment and business opportunities for Territorians residing in regional and remote locations. </w:t>
      </w:r>
    </w:p>
    <w:p w14:paraId="79D2A55F" w14:textId="2A184C6B" w:rsidR="009354B8" w:rsidRDefault="0023707B" w:rsidP="009354B8">
      <w:pPr>
        <w:rPr>
          <w:rFonts w:cstheme="minorHAnsi"/>
        </w:rPr>
      </w:pPr>
      <w:r>
        <w:rPr>
          <w:rFonts w:cstheme="minorHAnsi"/>
        </w:rPr>
        <w:t>Tenderers</w:t>
      </w:r>
      <w:r w:rsidR="009354B8">
        <w:rPr>
          <w:rFonts w:cstheme="minorHAnsi"/>
        </w:rPr>
        <w:t xml:space="preserve"> contribute to regional development in many ways such as:</w:t>
      </w:r>
    </w:p>
    <w:p w14:paraId="211F2360" w14:textId="77777777" w:rsidR="009354B8" w:rsidRDefault="009354B8" w:rsidP="009354B8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Investing in </w:t>
      </w:r>
      <w:r w:rsidR="003123A6">
        <w:rPr>
          <w:rFonts w:cstheme="minorHAnsi"/>
        </w:rPr>
        <w:t xml:space="preserve">permanent infrastructure that builds or establishes regional industry </w:t>
      </w:r>
      <w:proofErr w:type="gramStart"/>
      <w:r w:rsidR="003123A6">
        <w:rPr>
          <w:rFonts w:cstheme="minorHAnsi"/>
        </w:rPr>
        <w:t>capability</w:t>
      </w:r>
      <w:proofErr w:type="gramEnd"/>
    </w:p>
    <w:p w14:paraId="429CE913" w14:textId="4D09C778" w:rsidR="003123A6" w:rsidRDefault="003123A6" w:rsidP="009354B8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Mentoring </w:t>
      </w:r>
      <w:r w:rsidR="008661CA">
        <w:rPr>
          <w:rFonts w:cstheme="minorHAnsi"/>
        </w:rPr>
        <w:t xml:space="preserve">and </w:t>
      </w:r>
      <w:r>
        <w:rPr>
          <w:rFonts w:cstheme="minorHAnsi"/>
        </w:rPr>
        <w:t xml:space="preserve">coaching other industry members in regional location </w:t>
      </w:r>
    </w:p>
    <w:p w14:paraId="18A65785" w14:textId="4F666486" w:rsidR="003123A6" w:rsidRDefault="003123A6" w:rsidP="003123A6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Undertaking research and development activities </w:t>
      </w:r>
      <w:r w:rsidR="008661CA">
        <w:rPr>
          <w:rFonts w:cstheme="minorHAnsi"/>
        </w:rPr>
        <w:t xml:space="preserve">which provide benefits to </w:t>
      </w:r>
      <w:r>
        <w:rPr>
          <w:rFonts w:cstheme="minorHAnsi"/>
        </w:rPr>
        <w:t xml:space="preserve">regional </w:t>
      </w:r>
      <w:proofErr w:type="gramStart"/>
      <w:r>
        <w:rPr>
          <w:rFonts w:cstheme="minorHAnsi"/>
        </w:rPr>
        <w:t>areas</w:t>
      </w:r>
      <w:proofErr w:type="gramEnd"/>
    </w:p>
    <w:p w14:paraId="07245EB2" w14:textId="77777777" w:rsidR="008661CA" w:rsidRDefault="003123A6" w:rsidP="003123A6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Joint venturing or partnering with regional </w:t>
      </w:r>
      <w:proofErr w:type="gramStart"/>
      <w:r>
        <w:rPr>
          <w:rFonts w:cstheme="minorHAnsi"/>
        </w:rPr>
        <w:t>business</w:t>
      </w:r>
      <w:proofErr w:type="gramEnd"/>
    </w:p>
    <w:p w14:paraId="40784615" w14:textId="262B40A6" w:rsidR="003123A6" w:rsidRDefault="008661CA" w:rsidP="003123A6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Supporting regional community and social outcomes.</w:t>
      </w:r>
    </w:p>
    <w:p w14:paraId="26610960" w14:textId="77777777" w:rsidR="0060731D" w:rsidRDefault="0060731D">
      <w:pPr>
        <w:rPr>
          <w:rFonts w:asciiTheme="majorHAnsi" w:eastAsiaTheme="majorEastAsia" w:hAnsiTheme="majorHAnsi" w:cstheme="majorBidi"/>
          <w:bCs/>
          <w:iCs/>
          <w:color w:val="454347"/>
          <w:sz w:val="32"/>
          <w:szCs w:val="32"/>
        </w:rPr>
      </w:pPr>
      <w:r>
        <w:br w:type="page"/>
      </w:r>
    </w:p>
    <w:p w14:paraId="404CDCB5" w14:textId="06463842" w:rsidR="002B4538" w:rsidRPr="00B570DE" w:rsidRDefault="00575F57" w:rsidP="0060731D">
      <w:pPr>
        <w:pStyle w:val="Heading2"/>
        <w:numPr>
          <w:ilvl w:val="0"/>
          <w:numId w:val="0"/>
        </w:numPr>
      </w:pPr>
      <w:bookmarkStart w:id="18" w:name="_Toc77328042"/>
      <w:r>
        <w:lastRenderedPageBreak/>
        <w:t>Territory c</w:t>
      </w:r>
      <w:r w:rsidR="002B4538" w:rsidRPr="00B570DE">
        <w:t>ulture</w:t>
      </w:r>
      <w:bookmarkEnd w:id="18"/>
    </w:p>
    <w:p w14:paraId="5FBBEF2F" w14:textId="498CFAB7" w:rsidR="002B4538" w:rsidRDefault="00575F57" w:rsidP="00A3597A">
      <w:pPr>
        <w:rPr>
          <w:rFonts w:cstheme="minorHAnsi"/>
        </w:rPr>
      </w:pPr>
      <w:r>
        <w:rPr>
          <w:rFonts w:cstheme="minorHAnsi"/>
        </w:rPr>
        <w:t>Territory c</w:t>
      </w:r>
      <w:r w:rsidR="0052289A" w:rsidRPr="0052289A">
        <w:rPr>
          <w:rFonts w:cstheme="minorHAnsi"/>
        </w:rPr>
        <w:t>ul</w:t>
      </w:r>
      <w:r w:rsidR="0052289A">
        <w:rPr>
          <w:rFonts w:cstheme="minorHAnsi"/>
        </w:rPr>
        <w:t xml:space="preserve">ture refers to activity that supports the social environment in the Northern Territory. </w:t>
      </w:r>
    </w:p>
    <w:p w14:paraId="47D3B956" w14:textId="36A19CDE" w:rsidR="0052289A" w:rsidRDefault="0023707B" w:rsidP="0052289A">
      <w:pPr>
        <w:rPr>
          <w:rFonts w:cstheme="minorHAnsi"/>
        </w:rPr>
      </w:pPr>
      <w:r>
        <w:rPr>
          <w:rFonts w:cstheme="minorHAnsi"/>
        </w:rPr>
        <w:t>Tenderers</w:t>
      </w:r>
      <w:r w:rsidR="0052289A">
        <w:rPr>
          <w:rFonts w:cstheme="minorHAnsi"/>
        </w:rPr>
        <w:t xml:space="preserve"> contribute to </w:t>
      </w:r>
      <w:r w:rsidR="00575F57">
        <w:rPr>
          <w:rFonts w:cstheme="minorHAnsi"/>
        </w:rPr>
        <w:t>t</w:t>
      </w:r>
      <w:r w:rsidR="0052289A" w:rsidRPr="0052289A">
        <w:rPr>
          <w:rFonts w:cstheme="minorHAnsi"/>
        </w:rPr>
        <w:t xml:space="preserve">erritory </w:t>
      </w:r>
      <w:r w:rsidR="00575F57">
        <w:rPr>
          <w:rFonts w:cstheme="minorHAnsi"/>
        </w:rPr>
        <w:t>c</w:t>
      </w:r>
      <w:r w:rsidR="0052289A" w:rsidRPr="0052289A">
        <w:rPr>
          <w:rFonts w:cstheme="minorHAnsi"/>
        </w:rPr>
        <w:t>ul</w:t>
      </w:r>
      <w:r w:rsidR="0052289A">
        <w:rPr>
          <w:rFonts w:cstheme="minorHAnsi"/>
        </w:rPr>
        <w:t>ture in many ways such as:</w:t>
      </w:r>
    </w:p>
    <w:p w14:paraId="2079FB3A" w14:textId="1FD17E22" w:rsidR="0052289A" w:rsidRDefault="0052289A" w:rsidP="00A3597A">
      <w:pPr>
        <w:pStyle w:val="ListParagraph"/>
        <w:numPr>
          <w:ilvl w:val="0"/>
          <w:numId w:val="24"/>
        </w:numPr>
        <w:rPr>
          <w:rFonts w:cstheme="minorHAnsi"/>
        </w:rPr>
      </w:pPr>
      <w:r w:rsidRPr="0052289A">
        <w:rPr>
          <w:rFonts w:cstheme="minorHAnsi"/>
        </w:rPr>
        <w:t>Sponsoring or supporting</w:t>
      </w:r>
      <w:r w:rsidR="00891CAA">
        <w:rPr>
          <w:rFonts w:cstheme="minorHAnsi"/>
        </w:rPr>
        <w:t xml:space="preserve"> </w:t>
      </w:r>
      <w:r w:rsidR="00575F57">
        <w:rPr>
          <w:rFonts w:cstheme="minorHAnsi"/>
        </w:rPr>
        <w:t>Northern T</w:t>
      </w:r>
      <w:r>
        <w:rPr>
          <w:rFonts w:cstheme="minorHAnsi"/>
        </w:rPr>
        <w:t xml:space="preserve">erritory: </w:t>
      </w:r>
    </w:p>
    <w:p w14:paraId="02A79187" w14:textId="77777777" w:rsidR="0052289A" w:rsidRDefault="0052289A" w:rsidP="00A3597A">
      <w:pPr>
        <w:pStyle w:val="ListParagraph"/>
        <w:numPr>
          <w:ilvl w:val="1"/>
          <w:numId w:val="24"/>
        </w:numPr>
        <w:rPr>
          <w:rFonts w:cstheme="minorHAnsi"/>
        </w:rPr>
      </w:pPr>
      <w:r>
        <w:rPr>
          <w:rFonts w:cstheme="minorHAnsi"/>
        </w:rPr>
        <w:t>sporting teams, associations or events</w:t>
      </w:r>
    </w:p>
    <w:p w14:paraId="71869705" w14:textId="77777777" w:rsidR="0052289A" w:rsidRPr="0052289A" w:rsidRDefault="0052289A" w:rsidP="00A3597A">
      <w:pPr>
        <w:pStyle w:val="ListParagraph"/>
        <w:numPr>
          <w:ilvl w:val="1"/>
          <w:numId w:val="24"/>
        </w:numPr>
        <w:rPr>
          <w:rFonts w:cstheme="minorHAnsi"/>
        </w:rPr>
      </w:pPr>
      <w:r w:rsidRPr="0052289A">
        <w:rPr>
          <w:rFonts w:cstheme="minorHAnsi"/>
        </w:rPr>
        <w:t>arts and cultural events</w:t>
      </w:r>
      <w:r>
        <w:rPr>
          <w:rFonts w:cstheme="minorHAnsi"/>
        </w:rPr>
        <w:t xml:space="preserve"> or programs</w:t>
      </w:r>
    </w:p>
    <w:p w14:paraId="535C96C0" w14:textId="7DD4D546" w:rsidR="009A37C6" w:rsidRPr="00AA0DD0" w:rsidRDefault="009A37C6" w:rsidP="00A3597A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Im</w:t>
      </w:r>
      <w:r w:rsidR="00575F57">
        <w:rPr>
          <w:rFonts w:cstheme="minorHAnsi"/>
        </w:rPr>
        <w:t>proving the liveability of the Northern T</w:t>
      </w:r>
      <w:r>
        <w:rPr>
          <w:rFonts w:cstheme="minorHAnsi"/>
        </w:rPr>
        <w:t>erritory through support for public infrastructure or events</w:t>
      </w:r>
      <w:r w:rsidR="00A0675A">
        <w:rPr>
          <w:rFonts w:cstheme="minorHAnsi"/>
        </w:rPr>
        <w:t>.</w:t>
      </w:r>
    </w:p>
    <w:p w14:paraId="5F7FB933" w14:textId="77777777" w:rsidR="002B4538" w:rsidRPr="00B570DE" w:rsidRDefault="002B4538" w:rsidP="0060731D">
      <w:pPr>
        <w:pStyle w:val="Heading2"/>
        <w:numPr>
          <w:ilvl w:val="0"/>
          <w:numId w:val="0"/>
        </w:numPr>
      </w:pPr>
      <w:bookmarkStart w:id="19" w:name="_Toc77328043"/>
      <w:r w:rsidRPr="00B570DE">
        <w:t>Support for disadvantaged people or groups</w:t>
      </w:r>
      <w:bookmarkEnd w:id="19"/>
    </w:p>
    <w:p w14:paraId="41F0B577" w14:textId="187EA1E8" w:rsidR="00D56AC0" w:rsidRDefault="0023707B" w:rsidP="00D56AC0">
      <w:pPr>
        <w:rPr>
          <w:rFonts w:cstheme="minorHAnsi"/>
        </w:rPr>
      </w:pPr>
      <w:r>
        <w:rPr>
          <w:rFonts w:cstheme="minorHAnsi"/>
        </w:rPr>
        <w:t xml:space="preserve">Tenderers </w:t>
      </w:r>
      <w:r w:rsidR="00D56AC0">
        <w:rPr>
          <w:rFonts w:cstheme="minorHAnsi"/>
        </w:rPr>
        <w:t xml:space="preserve">contribute to </w:t>
      </w:r>
      <w:r w:rsidR="00891CAA">
        <w:rPr>
          <w:rFonts w:cstheme="minorHAnsi"/>
        </w:rPr>
        <w:t xml:space="preserve">the </w:t>
      </w:r>
      <w:r w:rsidR="00D56AC0">
        <w:rPr>
          <w:rFonts w:cstheme="minorHAnsi"/>
        </w:rPr>
        <w:t>support for disadvantaged people or groups in many ways such as:</w:t>
      </w:r>
    </w:p>
    <w:p w14:paraId="4A6E6B33" w14:textId="77777777" w:rsidR="002B4538" w:rsidRDefault="00D56AC0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Supporting Australian Disability Enterprise</w:t>
      </w:r>
      <w:r w:rsidR="00924E94">
        <w:t>’s</w:t>
      </w:r>
    </w:p>
    <w:p w14:paraId="09135C9F" w14:textId="77777777" w:rsidR="00D56AC0" w:rsidRDefault="00924E94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Employing people with disabilities</w:t>
      </w:r>
    </w:p>
    <w:p w14:paraId="46D4F21D" w14:textId="645BDD38" w:rsidR="00924E94" w:rsidRDefault="00924E94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 xml:space="preserve">Establishing or supporting programs aimed at benefiting disadvantaged people or </w:t>
      </w:r>
      <w:r w:rsidR="000243B1">
        <w:t xml:space="preserve">minority and </w:t>
      </w:r>
      <w:r w:rsidR="009C05F4">
        <w:t xml:space="preserve">culturally and linguistically diverse (CALD) </w:t>
      </w:r>
      <w:r>
        <w:t>groups</w:t>
      </w:r>
      <w:r w:rsidR="00A0675A">
        <w:t>.</w:t>
      </w:r>
    </w:p>
    <w:p w14:paraId="5FFE5C68" w14:textId="32A1EAED" w:rsidR="002B4538" w:rsidRPr="00B570DE" w:rsidRDefault="002B4538" w:rsidP="0060731D">
      <w:pPr>
        <w:pStyle w:val="Heading2"/>
        <w:numPr>
          <w:ilvl w:val="0"/>
          <w:numId w:val="0"/>
        </w:numPr>
      </w:pPr>
      <w:bookmarkStart w:id="20" w:name="_Toc77328044"/>
      <w:r w:rsidRPr="00B570DE">
        <w:t xml:space="preserve">Environmental </w:t>
      </w:r>
      <w:r w:rsidR="00575F57">
        <w:t>p</w:t>
      </w:r>
      <w:r w:rsidRPr="00B570DE">
        <w:t>rotection</w:t>
      </w:r>
      <w:bookmarkEnd w:id="20"/>
    </w:p>
    <w:p w14:paraId="3C2BF0E7" w14:textId="6D7DFD2E" w:rsidR="009A37C6" w:rsidRDefault="0023707B" w:rsidP="009A37C6">
      <w:pPr>
        <w:rPr>
          <w:rFonts w:cstheme="minorHAnsi"/>
        </w:rPr>
      </w:pPr>
      <w:r>
        <w:rPr>
          <w:rFonts w:cstheme="minorHAnsi"/>
        </w:rPr>
        <w:t>Tenderers</w:t>
      </w:r>
      <w:r w:rsidR="00575F57">
        <w:rPr>
          <w:rFonts w:cstheme="minorHAnsi"/>
        </w:rPr>
        <w:t xml:space="preserve"> contribute to Environmental p</w:t>
      </w:r>
      <w:r w:rsidR="009A37C6">
        <w:rPr>
          <w:rFonts w:cstheme="minorHAnsi"/>
        </w:rPr>
        <w:t>rotection in many ways such as:</w:t>
      </w:r>
    </w:p>
    <w:p w14:paraId="7CC58FB4" w14:textId="3342A109" w:rsidR="002B4538" w:rsidRPr="00AA0DD0" w:rsidRDefault="009A37C6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 w:rsidRPr="00AA0DD0">
        <w:rPr>
          <w:rFonts w:cstheme="minorHAnsi"/>
        </w:rPr>
        <w:t xml:space="preserve">Implementing sustainable business practices beyond industry standard </w:t>
      </w:r>
    </w:p>
    <w:p w14:paraId="4226D8AA" w14:textId="77777777" w:rsidR="009A37C6" w:rsidRPr="00AA0DD0" w:rsidRDefault="009A37C6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 w:rsidRPr="00AA0DD0">
        <w:rPr>
          <w:rFonts w:cstheme="minorHAnsi"/>
        </w:rPr>
        <w:t xml:space="preserve">Research and development of new processes, practices or techniques that reduce the environmental impact of business </w:t>
      </w:r>
      <w:proofErr w:type="gramStart"/>
      <w:r w:rsidRPr="00AA0DD0">
        <w:rPr>
          <w:rFonts w:cstheme="minorHAnsi"/>
        </w:rPr>
        <w:t>activities</w:t>
      </w:r>
      <w:proofErr w:type="gramEnd"/>
    </w:p>
    <w:p w14:paraId="6752B75D" w14:textId="77777777" w:rsidR="009A37C6" w:rsidRPr="00AA0DD0" w:rsidRDefault="009A37C6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 w:rsidRPr="00AA0DD0">
        <w:rPr>
          <w:rFonts w:cstheme="minorHAnsi"/>
        </w:rPr>
        <w:t>Undertaking or supporting environmental rehabilitation activities (does not include activities that you are either contractually or legally obliged to undertake)</w:t>
      </w:r>
    </w:p>
    <w:p w14:paraId="6B51612B" w14:textId="677C0AAC" w:rsidR="009A37C6" w:rsidRDefault="009A37C6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 w:rsidRPr="00AA0DD0">
        <w:rPr>
          <w:rFonts w:cstheme="minorHAnsi"/>
        </w:rPr>
        <w:t>Establishing or supporting</w:t>
      </w:r>
      <w:r>
        <w:t xml:space="preserve"> community programs aimed at increasing awareness of and addressing environmental issues</w:t>
      </w:r>
      <w:r w:rsidR="00A0675A">
        <w:t>.</w:t>
      </w:r>
    </w:p>
    <w:p w14:paraId="0A7926EC" w14:textId="1BBA7C00" w:rsidR="002B4538" w:rsidRPr="00B570DE" w:rsidRDefault="002B4538" w:rsidP="0060731D">
      <w:pPr>
        <w:pStyle w:val="Heading2"/>
        <w:numPr>
          <w:ilvl w:val="0"/>
          <w:numId w:val="0"/>
        </w:numPr>
      </w:pPr>
      <w:bookmarkStart w:id="21" w:name="_Toc77328045"/>
      <w:r w:rsidRPr="00B570DE">
        <w:t xml:space="preserve">Gender </w:t>
      </w:r>
      <w:r w:rsidR="00575F57">
        <w:t>e</w:t>
      </w:r>
      <w:r w:rsidRPr="00B570DE">
        <w:t>quality</w:t>
      </w:r>
      <w:bookmarkEnd w:id="21"/>
    </w:p>
    <w:p w14:paraId="64D6CFD9" w14:textId="33FFC81C" w:rsidR="009A37C6" w:rsidRDefault="00F81584" w:rsidP="009A37C6">
      <w:pPr>
        <w:rPr>
          <w:rFonts w:cstheme="minorHAnsi"/>
        </w:rPr>
      </w:pPr>
      <w:r>
        <w:rPr>
          <w:rFonts w:cstheme="minorHAnsi"/>
        </w:rPr>
        <w:t>Tenderers</w:t>
      </w:r>
      <w:r w:rsidR="009A37C6">
        <w:rPr>
          <w:rFonts w:cstheme="minorHAnsi"/>
        </w:rPr>
        <w:t xml:space="preserve"> contribute </w:t>
      </w:r>
      <w:r w:rsidR="00575F57">
        <w:rPr>
          <w:rFonts w:cstheme="minorHAnsi"/>
        </w:rPr>
        <w:t>to Gender e</w:t>
      </w:r>
      <w:r w:rsidR="009A37C6">
        <w:rPr>
          <w:rFonts w:cstheme="minorHAnsi"/>
        </w:rPr>
        <w:t>quality in many ways such as:</w:t>
      </w:r>
    </w:p>
    <w:p w14:paraId="1FF0A6CE" w14:textId="41CF3148" w:rsidR="002B4538" w:rsidRDefault="00AA0DD0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ensuring fair representation of genders on board</w:t>
      </w:r>
      <w:r w:rsidR="009C05F4">
        <w:t>s</w:t>
      </w:r>
      <w:r>
        <w:t xml:space="preserve"> and committees (</w:t>
      </w:r>
      <w:r w:rsidR="00D56AC0">
        <w:t>including board of directors where relevant</w:t>
      </w:r>
      <w:r>
        <w:t>)</w:t>
      </w:r>
    </w:p>
    <w:p w14:paraId="6E3BE0AF" w14:textId="4285F6E8" w:rsidR="00AA0DD0" w:rsidRDefault="00D56AC0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</w:pPr>
      <w:r>
        <w:t>implementing internal policies aimed at increasing gender equality and diversity through focusing on key areas such as pay, leadership, hiring and inclusion</w:t>
      </w:r>
      <w:r w:rsidR="00A0675A">
        <w:t>.</w:t>
      </w:r>
    </w:p>
    <w:p w14:paraId="77078E0B" w14:textId="5C4FBE3D" w:rsidR="002B4538" w:rsidRPr="00B570DE" w:rsidRDefault="002B4538" w:rsidP="0060731D">
      <w:pPr>
        <w:pStyle w:val="Heading2"/>
        <w:numPr>
          <w:ilvl w:val="0"/>
          <w:numId w:val="0"/>
        </w:numPr>
      </w:pPr>
      <w:bookmarkStart w:id="22" w:name="_Toc77328046"/>
      <w:r w:rsidRPr="00B570DE">
        <w:t xml:space="preserve">Research and </w:t>
      </w:r>
      <w:r w:rsidR="00575F57">
        <w:t>i</w:t>
      </w:r>
      <w:r w:rsidRPr="00B570DE">
        <w:t>nnovation</w:t>
      </w:r>
      <w:bookmarkEnd w:id="22"/>
    </w:p>
    <w:p w14:paraId="77E13EBE" w14:textId="3B9FAD06" w:rsidR="009A37C6" w:rsidRDefault="0023707B" w:rsidP="009A37C6">
      <w:pPr>
        <w:rPr>
          <w:rFonts w:cstheme="minorHAnsi"/>
        </w:rPr>
      </w:pPr>
      <w:r>
        <w:rPr>
          <w:rFonts w:cstheme="minorHAnsi"/>
        </w:rPr>
        <w:t>Tenderers</w:t>
      </w:r>
      <w:r w:rsidR="00EA3B19">
        <w:rPr>
          <w:rFonts w:cstheme="minorHAnsi"/>
        </w:rPr>
        <w:t xml:space="preserve"> </w:t>
      </w:r>
      <w:r w:rsidR="009A37C6">
        <w:rPr>
          <w:rFonts w:cstheme="minorHAnsi"/>
        </w:rPr>
        <w:t xml:space="preserve">contribute to </w:t>
      </w:r>
      <w:r w:rsidR="00394F75">
        <w:rPr>
          <w:rFonts w:cstheme="minorHAnsi"/>
        </w:rPr>
        <w:t xml:space="preserve">Research and </w:t>
      </w:r>
      <w:r w:rsidR="00575F57">
        <w:rPr>
          <w:rFonts w:cstheme="minorHAnsi"/>
        </w:rPr>
        <w:t>i</w:t>
      </w:r>
      <w:r w:rsidR="00394F75">
        <w:rPr>
          <w:rFonts w:cstheme="minorHAnsi"/>
        </w:rPr>
        <w:t>nnovation</w:t>
      </w:r>
      <w:r w:rsidR="009A37C6">
        <w:rPr>
          <w:rFonts w:cstheme="minorHAnsi"/>
        </w:rPr>
        <w:t xml:space="preserve"> in many ways such as:</w:t>
      </w:r>
    </w:p>
    <w:p w14:paraId="1730FDE1" w14:textId="77777777" w:rsidR="00394F75" w:rsidRDefault="0048445C" w:rsidP="00A3597A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Undertaking significant research and development activity within the Northern Territory</w:t>
      </w:r>
    </w:p>
    <w:p w14:paraId="4D886825" w14:textId="31BE620D" w:rsidR="0048445C" w:rsidRPr="00394F75" w:rsidRDefault="0048445C" w:rsidP="00A3597A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Developing, </w:t>
      </w:r>
      <w:r w:rsidRPr="0048445C">
        <w:t>implementing</w:t>
      </w:r>
      <w:r>
        <w:rPr>
          <w:rFonts w:cstheme="minorHAnsi"/>
        </w:rPr>
        <w:t xml:space="preserve"> or commercialising innovative practices, products and services</w:t>
      </w:r>
      <w:r w:rsidR="00A0675A">
        <w:rPr>
          <w:rFonts w:cstheme="minorHAnsi"/>
        </w:rPr>
        <w:t>.</w:t>
      </w:r>
      <w:r>
        <w:rPr>
          <w:rFonts w:cstheme="minorHAnsi"/>
        </w:rPr>
        <w:t xml:space="preserve"> </w:t>
      </w:r>
    </w:p>
    <w:sectPr w:rsidR="0048445C" w:rsidRPr="00394F75" w:rsidSect="00C95D30">
      <w:headerReference w:type="default" r:id="rId20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3905" w14:textId="77777777" w:rsidR="00C11451" w:rsidRDefault="00C11451">
      <w:r>
        <w:separator/>
      </w:r>
    </w:p>
  </w:endnote>
  <w:endnote w:type="continuationSeparator" w:id="0">
    <w:p w14:paraId="192B70B2" w14:textId="77777777" w:rsidR="00C11451" w:rsidRDefault="00C11451">
      <w:r>
        <w:continuationSeparator/>
      </w:r>
    </w:p>
  </w:endnote>
  <w:endnote w:type="continuationNotice" w:id="1">
    <w:p w14:paraId="3933BB2B" w14:textId="77777777" w:rsidR="00C11451" w:rsidRDefault="00C114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325129"/>
      <w:docPartObj>
        <w:docPartGallery w:val="Page Numbers (Bottom of Page)"/>
        <w:docPartUnique/>
      </w:docPartObj>
    </w:sdtPr>
    <w:sdtContent>
      <w:sdt>
        <w:sdtPr>
          <w:id w:val="34003993"/>
          <w:docPartObj>
            <w:docPartGallery w:val="Page Numbers (Top of Page)"/>
            <w:docPartUnique/>
          </w:docPartObj>
        </w:sdtPr>
        <w:sdtContent>
          <w:p w14:paraId="09AB8DAC" w14:textId="4285D94F" w:rsidR="008E72FE" w:rsidRDefault="008E72FE" w:rsidP="004E7885">
            <w:r w:rsidRPr="004E7885">
              <w:rPr>
                <w:rStyle w:val="PageNumber"/>
              </w:rPr>
              <w:t xml:space="preserve">Page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PAGE </w:instrText>
            </w:r>
            <w:r w:rsidRPr="004E7885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3</w:t>
            </w:r>
            <w:r w:rsidRPr="004E7885">
              <w:rPr>
                <w:rStyle w:val="PageNumber"/>
              </w:rPr>
              <w:fldChar w:fldCharType="end"/>
            </w:r>
            <w:r w:rsidRPr="004E7885">
              <w:rPr>
                <w:rStyle w:val="PageNumber"/>
              </w:rPr>
              <w:t xml:space="preserve"> of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NUMPAGES  </w:instrText>
            </w:r>
            <w:r w:rsidRPr="004E7885">
              <w:rPr>
                <w:rStyle w:val="PageNumber"/>
              </w:rPr>
              <w:fldChar w:fldCharType="separate"/>
            </w:r>
            <w:r w:rsidR="0042758F">
              <w:rPr>
                <w:rStyle w:val="PageNumber"/>
                <w:noProof/>
              </w:rPr>
              <w:t>12</w:t>
            </w:r>
            <w:r w:rsidRPr="004E7885">
              <w:rPr>
                <w:rStyle w:val="PageNumbe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95F" w14:textId="77777777" w:rsidR="008E72FE" w:rsidRPr="00F538BD" w:rsidRDefault="008E72FE" w:rsidP="004E7885">
    <w:pPr>
      <w:spacing w:after="0"/>
      <w:jc w:val="right"/>
      <w:rPr>
        <w:sz w:val="6"/>
        <w:szCs w:val="6"/>
      </w:rPr>
    </w:pPr>
    <w:r w:rsidRPr="001852AF">
      <w:rPr>
        <w:noProof/>
        <w:lang w:eastAsia="en-AU"/>
      </w:rPr>
      <w:drawing>
        <wp:inline distT="0" distB="0" distL="0" distR="0" wp14:anchorId="3089A4D3" wp14:editId="2B84ED66">
          <wp:extent cx="1572479" cy="561600"/>
          <wp:effectExtent l="0" t="0" r="8890" b="0"/>
          <wp:docPr id="3" name="Picture 3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7215" w14:textId="77777777" w:rsidR="008E72FE" w:rsidRDefault="008E72FE" w:rsidP="004E7885">
    <w:pPr>
      <w:pStyle w:val="Hidden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26EE" w14:textId="77777777" w:rsidR="008E72FE" w:rsidRPr="00F538BD" w:rsidRDefault="008E72FE" w:rsidP="004E7885">
    <w:pPr>
      <w:spacing w:after="0"/>
      <w:rPr>
        <w:sz w:val="6"/>
        <w:szCs w:val="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1823" w14:textId="77777777" w:rsidR="008E72FE" w:rsidRPr="00A50829" w:rsidRDefault="008E72FE" w:rsidP="00A50829">
    <w:pPr>
      <w:pStyle w:val="Hidden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8E72FE" w:rsidRPr="00132658" w14:paraId="46652673" w14:textId="77777777" w:rsidTr="00D2230A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5AAADDF7" w14:textId="281E10FE" w:rsidR="008E72FE" w:rsidRDefault="008E72FE" w:rsidP="00A50829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Trade</w:t>
          </w:r>
          <w:r w:rsidR="009761AD">
            <w:rPr>
              <w:rStyle w:val="PageNumber"/>
              <w:b/>
            </w:rPr>
            <w:t>, Business and Asian Relations</w:t>
          </w:r>
        </w:p>
        <w:p w14:paraId="68123242" w14:textId="7A019CFE" w:rsidR="008E72FE" w:rsidRPr="00CE6614" w:rsidRDefault="002301F7" w:rsidP="00A50829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31 January 2025</w:t>
          </w:r>
          <w:r w:rsidR="008E72FE" w:rsidRPr="00CE6614">
            <w:rPr>
              <w:rStyle w:val="PageNumber"/>
            </w:rPr>
            <w:t xml:space="preserve"> | Version </w:t>
          </w:r>
          <w:r w:rsidR="008E72FE">
            <w:rPr>
              <w:rStyle w:val="PageNumber"/>
            </w:rPr>
            <w:t>1</w:t>
          </w:r>
          <w:r w:rsidR="00AA475D">
            <w:rPr>
              <w:rStyle w:val="PageNumber"/>
            </w:rPr>
            <w:t>.</w:t>
          </w:r>
          <w:r w:rsidR="009761AD">
            <w:rPr>
              <w:rStyle w:val="PageNumber"/>
            </w:rPr>
            <w:t>2</w:t>
          </w:r>
        </w:p>
        <w:p w14:paraId="1D1EEC8A" w14:textId="6E2FEFF0" w:rsidR="008E72FE" w:rsidRPr="00AC4488" w:rsidRDefault="008E72FE" w:rsidP="00A50829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55C13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55C13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180EC16" w14:textId="77777777" w:rsidR="008E72FE" w:rsidRDefault="008E72FE" w:rsidP="00AD1B26">
    <w:pPr>
      <w:pStyle w:val="Hidden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1FA2" w14:textId="77777777" w:rsidR="00C11451" w:rsidRDefault="00C11451">
      <w:r>
        <w:separator/>
      </w:r>
    </w:p>
  </w:footnote>
  <w:footnote w:type="continuationSeparator" w:id="0">
    <w:p w14:paraId="0CD331F3" w14:textId="77777777" w:rsidR="00C11451" w:rsidRDefault="00C11451">
      <w:r>
        <w:continuationSeparator/>
      </w:r>
    </w:p>
  </w:footnote>
  <w:footnote w:type="continuationNotice" w:id="1">
    <w:p w14:paraId="54F14165" w14:textId="77777777" w:rsidR="00C11451" w:rsidRDefault="00C11451">
      <w:pPr>
        <w:spacing w:after="0"/>
      </w:pPr>
    </w:p>
  </w:footnote>
  <w:footnote w:id="2">
    <w:p w14:paraId="72734E58" w14:textId="03F4FD47" w:rsidR="008E72FE" w:rsidRDefault="008E72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24324">
          <w:rPr>
            <w:rStyle w:val="Hyperlink"/>
          </w:rPr>
          <w:t>https://nt.gov.au/industry/procurement/how-to-tender/tendering-with-government</w:t>
        </w:r>
      </w:hyperlink>
    </w:p>
    <w:p w14:paraId="3F5E758F" w14:textId="77777777" w:rsidR="008E72FE" w:rsidRDefault="008E72F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BFBD" w14:textId="6A98CFFB" w:rsidR="008E72FE" w:rsidRPr="008E0345" w:rsidRDefault="008E72FE" w:rsidP="005A5A44">
    <w:pPr>
      <w:pStyle w:val="Header"/>
    </w:pPr>
    <w:r>
      <w:t>Value For Territory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E3E8" w14:textId="77777777" w:rsidR="008E72FE" w:rsidRPr="00BD0F38" w:rsidRDefault="008E72FE" w:rsidP="00A32EFF">
    <w:pPr>
      <w:tabs>
        <w:tab w:val="right" w:pos="10318"/>
      </w:tabs>
    </w:pPr>
    <w:r w:rsidRPr="00BD0F38">
      <w:rPr>
        <w:noProof/>
        <w:lang w:eastAsia="en-AU"/>
      </w:rPr>
      <w:drawing>
        <wp:anchor distT="0" distB="0" distL="0" distR="0" simplePos="0" relativeHeight="251659264" behindDoc="0" locked="0" layoutInCell="1" allowOverlap="1" wp14:anchorId="603EA9C5" wp14:editId="5F03D184">
          <wp:simplePos x="0" y="0"/>
          <wp:positionH relativeFrom="page">
            <wp:align>left</wp:align>
          </wp:positionH>
          <wp:positionV relativeFrom="page">
            <wp:posOffset>3393830</wp:posOffset>
          </wp:positionV>
          <wp:extent cx="7553130" cy="5448285"/>
          <wp:effectExtent l="0" t="0" r="0" b="635"/>
          <wp:wrapTopAndBottom/>
          <wp:docPr id="1" name="image4.png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30" cy="54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56AE" w14:textId="71A04E65" w:rsidR="008E72FE" w:rsidRPr="004E7885" w:rsidRDefault="008E72FE" w:rsidP="004E7885">
    <w:pPr>
      <w:pStyle w:val="Header"/>
    </w:pPr>
    <w:r>
      <w:t>Value For Territory Assessment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5A28" w14:textId="77777777" w:rsidR="008E72FE" w:rsidRPr="00274F1C" w:rsidRDefault="008E72FE" w:rsidP="004E7885">
    <w:pPr>
      <w:pStyle w:val="Header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A792" w14:textId="634B81EC" w:rsidR="008E72FE" w:rsidRPr="00964B22" w:rsidRDefault="008E72FE" w:rsidP="008E0345">
    <w:pPr>
      <w:pStyle w:val="Header"/>
      <w:rPr>
        <w:b/>
      </w:rPr>
    </w:pPr>
    <w:r>
      <w:t>Value For Territory Assessment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C576" w14:textId="172AFF04" w:rsidR="008E72FE" w:rsidRPr="004E7885" w:rsidRDefault="008E72FE" w:rsidP="004E7885">
    <w:pPr>
      <w:pStyle w:val="Header"/>
    </w:pPr>
    <w:r>
      <w:t>Value For Territory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806"/>
    <w:multiLevelType w:val="hybridMultilevel"/>
    <w:tmpl w:val="2AB840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5FD38E7"/>
    <w:multiLevelType w:val="hybridMultilevel"/>
    <w:tmpl w:val="532C1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24569FD"/>
    <w:multiLevelType w:val="hybridMultilevel"/>
    <w:tmpl w:val="DF7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E2BC7"/>
    <w:multiLevelType w:val="hybridMultilevel"/>
    <w:tmpl w:val="4F50381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8267F5"/>
    <w:multiLevelType w:val="hybridMultilevel"/>
    <w:tmpl w:val="EACAD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48A4376"/>
    <w:multiLevelType w:val="hybridMultilevel"/>
    <w:tmpl w:val="8E2EF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8" w15:restartNumberingAfterBreak="0">
    <w:nsid w:val="432C4093"/>
    <w:multiLevelType w:val="hybridMultilevel"/>
    <w:tmpl w:val="F20C5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0" w15:restartNumberingAfterBreak="0">
    <w:nsid w:val="4B1518A6"/>
    <w:multiLevelType w:val="hybridMultilevel"/>
    <w:tmpl w:val="A2D418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C6915F8"/>
    <w:multiLevelType w:val="hybridMultilevel"/>
    <w:tmpl w:val="07163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3842BC6"/>
    <w:multiLevelType w:val="multilevel"/>
    <w:tmpl w:val="0C78A7AC"/>
    <w:numStyleLink w:val="Tablebulletlist"/>
  </w:abstractNum>
  <w:abstractNum w:abstractNumId="35" w15:restartNumberingAfterBreak="0">
    <w:nsid w:val="54B61700"/>
    <w:multiLevelType w:val="hybridMultilevel"/>
    <w:tmpl w:val="3B14C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9" w15:restartNumberingAfterBreak="0">
    <w:nsid w:val="592367F5"/>
    <w:multiLevelType w:val="hybridMultilevel"/>
    <w:tmpl w:val="CD2A7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2" w15:restartNumberingAfterBreak="0">
    <w:nsid w:val="5DCC3601"/>
    <w:multiLevelType w:val="hybridMultilevel"/>
    <w:tmpl w:val="1ABC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190C44"/>
    <w:multiLevelType w:val="hybridMultilevel"/>
    <w:tmpl w:val="9012A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ACD04E3"/>
    <w:multiLevelType w:val="hybridMultilevel"/>
    <w:tmpl w:val="621EA2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8" w15:restartNumberingAfterBreak="0">
    <w:nsid w:val="78DD76B1"/>
    <w:multiLevelType w:val="hybridMultilevel"/>
    <w:tmpl w:val="7400A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84CD0"/>
    <w:multiLevelType w:val="hybridMultilevel"/>
    <w:tmpl w:val="19064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CC6470"/>
    <w:multiLevelType w:val="multilevel"/>
    <w:tmpl w:val="CB32F20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7A8E6F52"/>
    <w:multiLevelType w:val="hybridMultilevel"/>
    <w:tmpl w:val="6FEADB46"/>
    <w:lvl w:ilvl="0" w:tplc="50D4239C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09012139">
    <w:abstractNumId w:val="25"/>
  </w:num>
  <w:num w:numId="2" w16cid:durableId="357702314">
    <w:abstractNumId w:val="13"/>
  </w:num>
  <w:num w:numId="3" w16cid:durableId="1352999497">
    <w:abstractNumId w:val="50"/>
  </w:num>
  <w:num w:numId="4" w16cid:durableId="365302938">
    <w:abstractNumId w:val="31"/>
  </w:num>
  <w:num w:numId="5" w16cid:durableId="1561594830">
    <w:abstractNumId w:val="20"/>
  </w:num>
  <w:num w:numId="6" w16cid:durableId="854729824">
    <w:abstractNumId w:val="9"/>
  </w:num>
  <w:num w:numId="7" w16cid:durableId="1682853957">
    <w:abstractNumId w:val="34"/>
  </w:num>
  <w:num w:numId="8" w16cid:durableId="386301477">
    <w:abstractNumId w:val="19"/>
  </w:num>
  <w:num w:numId="9" w16cid:durableId="1538424053">
    <w:abstractNumId w:val="26"/>
  </w:num>
  <w:num w:numId="10" w16cid:durableId="1513446043">
    <w:abstractNumId w:val="35"/>
  </w:num>
  <w:num w:numId="11" w16cid:durableId="1197886665">
    <w:abstractNumId w:val="45"/>
  </w:num>
  <w:num w:numId="12" w16cid:durableId="1005547036">
    <w:abstractNumId w:val="0"/>
  </w:num>
  <w:num w:numId="13" w16cid:durableId="590510672">
    <w:abstractNumId w:val="39"/>
  </w:num>
  <w:num w:numId="14" w16cid:durableId="2083796765">
    <w:abstractNumId w:val="24"/>
  </w:num>
  <w:num w:numId="15" w16cid:durableId="140267759">
    <w:abstractNumId w:val="48"/>
  </w:num>
  <w:num w:numId="16" w16cid:durableId="726539334">
    <w:abstractNumId w:val="43"/>
  </w:num>
  <w:num w:numId="17" w16cid:durableId="2083987676">
    <w:abstractNumId w:val="6"/>
  </w:num>
  <w:num w:numId="18" w16cid:durableId="1550410385">
    <w:abstractNumId w:val="51"/>
  </w:num>
  <w:num w:numId="19" w16cid:durableId="1643465996">
    <w:abstractNumId w:val="15"/>
  </w:num>
  <w:num w:numId="20" w16cid:durableId="2138642380">
    <w:abstractNumId w:val="14"/>
  </w:num>
  <w:num w:numId="21" w16cid:durableId="135344955">
    <w:abstractNumId w:val="28"/>
  </w:num>
  <w:num w:numId="22" w16cid:durableId="2131704175">
    <w:abstractNumId w:val="17"/>
  </w:num>
  <w:num w:numId="23" w16cid:durableId="89356742">
    <w:abstractNumId w:val="49"/>
  </w:num>
  <w:num w:numId="24" w16cid:durableId="1583760740">
    <w:abstractNumId w:val="32"/>
  </w:num>
  <w:num w:numId="25" w16cid:durableId="443352640">
    <w:abstractNumId w:val="42"/>
  </w:num>
  <w:num w:numId="26" w16cid:durableId="770665197">
    <w:abstractNumId w:val="50"/>
  </w:num>
  <w:num w:numId="27" w16cid:durableId="52389805">
    <w:abstractNumId w:val="50"/>
  </w:num>
  <w:num w:numId="28" w16cid:durableId="733822630">
    <w:abstractNumId w:val="50"/>
  </w:num>
  <w:num w:numId="29" w16cid:durableId="1931429062">
    <w:abstractNumId w:val="50"/>
  </w:num>
  <w:num w:numId="30" w16cid:durableId="1895968617">
    <w:abstractNumId w:val="50"/>
  </w:num>
  <w:num w:numId="31" w16cid:durableId="948394935">
    <w:abstractNumId w:val="50"/>
  </w:num>
  <w:num w:numId="32" w16cid:durableId="1899322616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54"/>
    <w:rsid w:val="00001DDF"/>
    <w:rsid w:val="0000322D"/>
    <w:rsid w:val="0000679D"/>
    <w:rsid w:val="00007670"/>
    <w:rsid w:val="00010665"/>
    <w:rsid w:val="00011DCF"/>
    <w:rsid w:val="000238B4"/>
    <w:rsid w:val="0002393A"/>
    <w:rsid w:val="000243B1"/>
    <w:rsid w:val="00027DB8"/>
    <w:rsid w:val="000307A7"/>
    <w:rsid w:val="00031A96"/>
    <w:rsid w:val="00034ACD"/>
    <w:rsid w:val="00040BF3"/>
    <w:rsid w:val="00043541"/>
    <w:rsid w:val="0004562E"/>
    <w:rsid w:val="00046C59"/>
    <w:rsid w:val="00050103"/>
    <w:rsid w:val="00050358"/>
    <w:rsid w:val="00051362"/>
    <w:rsid w:val="00051F45"/>
    <w:rsid w:val="00052953"/>
    <w:rsid w:val="0005341A"/>
    <w:rsid w:val="0005385C"/>
    <w:rsid w:val="00056DEF"/>
    <w:rsid w:val="000627CB"/>
    <w:rsid w:val="00071A14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80D"/>
    <w:rsid w:val="000B2CA1"/>
    <w:rsid w:val="000B6E48"/>
    <w:rsid w:val="000C4088"/>
    <w:rsid w:val="000D1F29"/>
    <w:rsid w:val="000D397E"/>
    <w:rsid w:val="000D5993"/>
    <w:rsid w:val="000D633D"/>
    <w:rsid w:val="000E0962"/>
    <w:rsid w:val="000E342B"/>
    <w:rsid w:val="000E38FB"/>
    <w:rsid w:val="000E5DD2"/>
    <w:rsid w:val="000F2958"/>
    <w:rsid w:val="000F4805"/>
    <w:rsid w:val="00104E7F"/>
    <w:rsid w:val="001137EC"/>
    <w:rsid w:val="001152F5"/>
    <w:rsid w:val="00117743"/>
    <w:rsid w:val="00117F5B"/>
    <w:rsid w:val="00132658"/>
    <w:rsid w:val="00147DED"/>
    <w:rsid w:val="00150DC0"/>
    <w:rsid w:val="00155260"/>
    <w:rsid w:val="00155BB5"/>
    <w:rsid w:val="00156CD4"/>
    <w:rsid w:val="00161CC6"/>
    <w:rsid w:val="00164A3E"/>
    <w:rsid w:val="00166FF6"/>
    <w:rsid w:val="00171137"/>
    <w:rsid w:val="00172C77"/>
    <w:rsid w:val="00176123"/>
    <w:rsid w:val="00180313"/>
    <w:rsid w:val="00181620"/>
    <w:rsid w:val="001957AD"/>
    <w:rsid w:val="001A2B7F"/>
    <w:rsid w:val="001A3AFD"/>
    <w:rsid w:val="001A496C"/>
    <w:rsid w:val="001A6304"/>
    <w:rsid w:val="001B2B6C"/>
    <w:rsid w:val="001B2FB8"/>
    <w:rsid w:val="001B60EF"/>
    <w:rsid w:val="001C0230"/>
    <w:rsid w:val="001D01C4"/>
    <w:rsid w:val="001D52B0"/>
    <w:rsid w:val="001D5A18"/>
    <w:rsid w:val="001D7CA4"/>
    <w:rsid w:val="001E057F"/>
    <w:rsid w:val="001E14EB"/>
    <w:rsid w:val="001E1D4D"/>
    <w:rsid w:val="001F132C"/>
    <w:rsid w:val="001F1C7C"/>
    <w:rsid w:val="001F59E6"/>
    <w:rsid w:val="00202014"/>
    <w:rsid w:val="00206936"/>
    <w:rsid w:val="00206C6F"/>
    <w:rsid w:val="00206FBD"/>
    <w:rsid w:val="00207307"/>
    <w:rsid w:val="00207746"/>
    <w:rsid w:val="00221220"/>
    <w:rsid w:val="00230031"/>
    <w:rsid w:val="002301F7"/>
    <w:rsid w:val="00235C01"/>
    <w:rsid w:val="002366D0"/>
    <w:rsid w:val="00236878"/>
    <w:rsid w:val="0023707B"/>
    <w:rsid w:val="00240356"/>
    <w:rsid w:val="002419DD"/>
    <w:rsid w:val="00247343"/>
    <w:rsid w:val="00247538"/>
    <w:rsid w:val="00251444"/>
    <w:rsid w:val="00264C90"/>
    <w:rsid w:val="00265C56"/>
    <w:rsid w:val="002716CD"/>
    <w:rsid w:val="00272232"/>
    <w:rsid w:val="00274D4B"/>
    <w:rsid w:val="002775BD"/>
    <w:rsid w:val="002806F5"/>
    <w:rsid w:val="00281577"/>
    <w:rsid w:val="002926BC"/>
    <w:rsid w:val="00293A72"/>
    <w:rsid w:val="00295E3C"/>
    <w:rsid w:val="002A0160"/>
    <w:rsid w:val="002A30C3"/>
    <w:rsid w:val="002A6F6A"/>
    <w:rsid w:val="002A7712"/>
    <w:rsid w:val="002B38F7"/>
    <w:rsid w:val="002B4272"/>
    <w:rsid w:val="002B4538"/>
    <w:rsid w:val="002B4C0D"/>
    <w:rsid w:val="002B5591"/>
    <w:rsid w:val="002B6AA4"/>
    <w:rsid w:val="002C1FE9"/>
    <w:rsid w:val="002D0C6E"/>
    <w:rsid w:val="002D3A57"/>
    <w:rsid w:val="002D7D05"/>
    <w:rsid w:val="002E167F"/>
    <w:rsid w:val="002E20C8"/>
    <w:rsid w:val="002E4290"/>
    <w:rsid w:val="002E5B94"/>
    <w:rsid w:val="002E66A6"/>
    <w:rsid w:val="002F0DB1"/>
    <w:rsid w:val="002F2885"/>
    <w:rsid w:val="002F3CF1"/>
    <w:rsid w:val="002F45A1"/>
    <w:rsid w:val="003037F9"/>
    <w:rsid w:val="0030583E"/>
    <w:rsid w:val="0030587A"/>
    <w:rsid w:val="00307FE1"/>
    <w:rsid w:val="003123A6"/>
    <w:rsid w:val="003164BA"/>
    <w:rsid w:val="003216EA"/>
    <w:rsid w:val="003223FE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00BE"/>
    <w:rsid w:val="00363513"/>
    <w:rsid w:val="003657E5"/>
    <w:rsid w:val="0036589C"/>
    <w:rsid w:val="00371312"/>
    <w:rsid w:val="00371DC7"/>
    <w:rsid w:val="003763D0"/>
    <w:rsid w:val="003765C6"/>
    <w:rsid w:val="00376BF0"/>
    <w:rsid w:val="00377B21"/>
    <w:rsid w:val="00385C26"/>
    <w:rsid w:val="00390CE3"/>
    <w:rsid w:val="00394876"/>
    <w:rsid w:val="00394AAF"/>
    <w:rsid w:val="00394CE5"/>
    <w:rsid w:val="00394F75"/>
    <w:rsid w:val="003A44C8"/>
    <w:rsid w:val="003A5C34"/>
    <w:rsid w:val="003A6341"/>
    <w:rsid w:val="003B173F"/>
    <w:rsid w:val="003B67FD"/>
    <w:rsid w:val="003B6A61"/>
    <w:rsid w:val="003D3850"/>
    <w:rsid w:val="003D42C0"/>
    <w:rsid w:val="003D5B29"/>
    <w:rsid w:val="003D7818"/>
    <w:rsid w:val="003E139B"/>
    <w:rsid w:val="003E2445"/>
    <w:rsid w:val="003E3BB2"/>
    <w:rsid w:val="003F5B58"/>
    <w:rsid w:val="0040222A"/>
    <w:rsid w:val="00403E2A"/>
    <w:rsid w:val="004047BC"/>
    <w:rsid w:val="00406497"/>
    <w:rsid w:val="004100F7"/>
    <w:rsid w:val="00414CB3"/>
    <w:rsid w:val="0041563D"/>
    <w:rsid w:val="00417E19"/>
    <w:rsid w:val="00420CF5"/>
    <w:rsid w:val="00422874"/>
    <w:rsid w:val="004234DA"/>
    <w:rsid w:val="00426E25"/>
    <w:rsid w:val="0042758F"/>
    <w:rsid w:val="00427D9C"/>
    <w:rsid w:val="00427E7E"/>
    <w:rsid w:val="00430B55"/>
    <w:rsid w:val="004433AE"/>
    <w:rsid w:val="00443699"/>
    <w:rsid w:val="00443B6E"/>
    <w:rsid w:val="0045014F"/>
    <w:rsid w:val="004521CB"/>
    <w:rsid w:val="00452202"/>
    <w:rsid w:val="00453153"/>
    <w:rsid w:val="0045420A"/>
    <w:rsid w:val="004554D4"/>
    <w:rsid w:val="004602DF"/>
    <w:rsid w:val="00461744"/>
    <w:rsid w:val="00463C16"/>
    <w:rsid w:val="00466185"/>
    <w:rsid w:val="004668A7"/>
    <w:rsid w:val="00466D96"/>
    <w:rsid w:val="00467747"/>
    <w:rsid w:val="00473C98"/>
    <w:rsid w:val="00474965"/>
    <w:rsid w:val="00482DF8"/>
    <w:rsid w:val="0048445C"/>
    <w:rsid w:val="004864DE"/>
    <w:rsid w:val="00494BE5"/>
    <w:rsid w:val="00495501"/>
    <w:rsid w:val="004A0EBA"/>
    <w:rsid w:val="004A2538"/>
    <w:rsid w:val="004B0C15"/>
    <w:rsid w:val="004B35EA"/>
    <w:rsid w:val="004B46A1"/>
    <w:rsid w:val="004B69E4"/>
    <w:rsid w:val="004B7373"/>
    <w:rsid w:val="004C2BF4"/>
    <w:rsid w:val="004C6C39"/>
    <w:rsid w:val="004D075F"/>
    <w:rsid w:val="004D1B76"/>
    <w:rsid w:val="004D344E"/>
    <w:rsid w:val="004E008F"/>
    <w:rsid w:val="004E019E"/>
    <w:rsid w:val="004E06EC"/>
    <w:rsid w:val="004E0FD7"/>
    <w:rsid w:val="004E2CB7"/>
    <w:rsid w:val="004E31D1"/>
    <w:rsid w:val="004E7885"/>
    <w:rsid w:val="004E7C05"/>
    <w:rsid w:val="004F016A"/>
    <w:rsid w:val="004F2206"/>
    <w:rsid w:val="00500F94"/>
    <w:rsid w:val="00502FB3"/>
    <w:rsid w:val="00503DE9"/>
    <w:rsid w:val="0050530C"/>
    <w:rsid w:val="00505DEA"/>
    <w:rsid w:val="00507782"/>
    <w:rsid w:val="00512A04"/>
    <w:rsid w:val="0052289A"/>
    <w:rsid w:val="005249F5"/>
    <w:rsid w:val="005260F7"/>
    <w:rsid w:val="0053251B"/>
    <w:rsid w:val="00534073"/>
    <w:rsid w:val="00543BD1"/>
    <w:rsid w:val="00546D7E"/>
    <w:rsid w:val="00556113"/>
    <w:rsid w:val="00564C12"/>
    <w:rsid w:val="005654B8"/>
    <w:rsid w:val="0057377F"/>
    <w:rsid w:val="00575F57"/>
    <w:rsid w:val="005762CC"/>
    <w:rsid w:val="005779F3"/>
    <w:rsid w:val="00582D3D"/>
    <w:rsid w:val="00583889"/>
    <w:rsid w:val="00592447"/>
    <w:rsid w:val="00595386"/>
    <w:rsid w:val="005953B0"/>
    <w:rsid w:val="005A3621"/>
    <w:rsid w:val="005A4AC0"/>
    <w:rsid w:val="005A5A44"/>
    <w:rsid w:val="005A5FDF"/>
    <w:rsid w:val="005B0FB7"/>
    <w:rsid w:val="005B122A"/>
    <w:rsid w:val="005B5AC2"/>
    <w:rsid w:val="005B7035"/>
    <w:rsid w:val="005C2833"/>
    <w:rsid w:val="005D5031"/>
    <w:rsid w:val="005E144D"/>
    <w:rsid w:val="005E1500"/>
    <w:rsid w:val="005E3A43"/>
    <w:rsid w:val="005E51A4"/>
    <w:rsid w:val="005F46B9"/>
    <w:rsid w:val="005F77C7"/>
    <w:rsid w:val="0060731D"/>
    <w:rsid w:val="00620675"/>
    <w:rsid w:val="00622910"/>
    <w:rsid w:val="00622E24"/>
    <w:rsid w:val="00633C38"/>
    <w:rsid w:val="00642649"/>
    <w:rsid w:val="006433C3"/>
    <w:rsid w:val="00647A30"/>
    <w:rsid w:val="00650F5B"/>
    <w:rsid w:val="00652DC0"/>
    <w:rsid w:val="00660584"/>
    <w:rsid w:val="006670D7"/>
    <w:rsid w:val="00667797"/>
    <w:rsid w:val="006719EA"/>
    <w:rsid w:val="00671F13"/>
    <w:rsid w:val="0067400A"/>
    <w:rsid w:val="006747E0"/>
    <w:rsid w:val="006847AD"/>
    <w:rsid w:val="0069114B"/>
    <w:rsid w:val="00694E54"/>
    <w:rsid w:val="006A756A"/>
    <w:rsid w:val="006B34B0"/>
    <w:rsid w:val="006C396A"/>
    <w:rsid w:val="006D1ADA"/>
    <w:rsid w:val="006D66F7"/>
    <w:rsid w:val="006E3B5D"/>
    <w:rsid w:val="006F1F30"/>
    <w:rsid w:val="00702D61"/>
    <w:rsid w:val="00705C9D"/>
    <w:rsid w:val="00705F13"/>
    <w:rsid w:val="007136FF"/>
    <w:rsid w:val="00714F1D"/>
    <w:rsid w:val="00715225"/>
    <w:rsid w:val="00717C37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1E1"/>
    <w:rsid w:val="00755248"/>
    <w:rsid w:val="007557E0"/>
    <w:rsid w:val="0076190B"/>
    <w:rsid w:val="0076355D"/>
    <w:rsid w:val="00763A2D"/>
    <w:rsid w:val="007641C2"/>
    <w:rsid w:val="007761D8"/>
    <w:rsid w:val="00777795"/>
    <w:rsid w:val="00783A57"/>
    <w:rsid w:val="00784C92"/>
    <w:rsid w:val="007859CD"/>
    <w:rsid w:val="007866A5"/>
    <w:rsid w:val="00786FA3"/>
    <w:rsid w:val="007907E4"/>
    <w:rsid w:val="00796461"/>
    <w:rsid w:val="00797696"/>
    <w:rsid w:val="007A5417"/>
    <w:rsid w:val="007A6A4F"/>
    <w:rsid w:val="007A7B01"/>
    <w:rsid w:val="007B03F5"/>
    <w:rsid w:val="007B2C24"/>
    <w:rsid w:val="007B59D3"/>
    <w:rsid w:val="007B5C09"/>
    <w:rsid w:val="007B5DA2"/>
    <w:rsid w:val="007C0966"/>
    <w:rsid w:val="007C19E7"/>
    <w:rsid w:val="007C2D71"/>
    <w:rsid w:val="007C5CFD"/>
    <w:rsid w:val="007C6160"/>
    <w:rsid w:val="007C6D9F"/>
    <w:rsid w:val="007D4893"/>
    <w:rsid w:val="007D7310"/>
    <w:rsid w:val="007D7697"/>
    <w:rsid w:val="007E2B70"/>
    <w:rsid w:val="007E70CF"/>
    <w:rsid w:val="007E74A4"/>
    <w:rsid w:val="007F263F"/>
    <w:rsid w:val="007F46EA"/>
    <w:rsid w:val="007F5579"/>
    <w:rsid w:val="008002E8"/>
    <w:rsid w:val="00803232"/>
    <w:rsid w:val="0080766E"/>
    <w:rsid w:val="008105BE"/>
    <w:rsid w:val="00811169"/>
    <w:rsid w:val="00815297"/>
    <w:rsid w:val="00817BA1"/>
    <w:rsid w:val="00821D46"/>
    <w:rsid w:val="00823022"/>
    <w:rsid w:val="0082634E"/>
    <w:rsid w:val="008313C4"/>
    <w:rsid w:val="00832B35"/>
    <w:rsid w:val="00835434"/>
    <w:rsid w:val="008358C0"/>
    <w:rsid w:val="00842838"/>
    <w:rsid w:val="00852724"/>
    <w:rsid w:val="00854BE6"/>
    <w:rsid w:val="00854EC1"/>
    <w:rsid w:val="0085797F"/>
    <w:rsid w:val="00861DC3"/>
    <w:rsid w:val="008638FA"/>
    <w:rsid w:val="008661CA"/>
    <w:rsid w:val="00867019"/>
    <w:rsid w:val="008735A9"/>
    <w:rsid w:val="008738F2"/>
    <w:rsid w:val="00877D20"/>
    <w:rsid w:val="00881C48"/>
    <w:rsid w:val="00885590"/>
    <w:rsid w:val="00885B80"/>
    <w:rsid w:val="00885C30"/>
    <w:rsid w:val="00885E9B"/>
    <w:rsid w:val="00886C9D"/>
    <w:rsid w:val="00891CAA"/>
    <w:rsid w:val="00893C96"/>
    <w:rsid w:val="0089500A"/>
    <w:rsid w:val="00897C94"/>
    <w:rsid w:val="008A51A3"/>
    <w:rsid w:val="008A7C12"/>
    <w:rsid w:val="008B03CE"/>
    <w:rsid w:val="008B529E"/>
    <w:rsid w:val="008C17FB"/>
    <w:rsid w:val="008D1B00"/>
    <w:rsid w:val="008D57B8"/>
    <w:rsid w:val="008E0345"/>
    <w:rsid w:val="008E03FC"/>
    <w:rsid w:val="008E510B"/>
    <w:rsid w:val="008E72FE"/>
    <w:rsid w:val="008F0085"/>
    <w:rsid w:val="00902B13"/>
    <w:rsid w:val="00911941"/>
    <w:rsid w:val="009138A0"/>
    <w:rsid w:val="00917C6F"/>
    <w:rsid w:val="00924E94"/>
    <w:rsid w:val="00925F0F"/>
    <w:rsid w:val="00930C91"/>
    <w:rsid w:val="00932F6B"/>
    <w:rsid w:val="009354B8"/>
    <w:rsid w:val="009436FF"/>
    <w:rsid w:val="00944A27"/>
    <w:rsid w:val="009468BC"/>
    <w:rsid w:val="00950DD2"/>
    <w:rsid w:val="009616DF"/>
    <w:rsid w:val="00964B22"/>
    <w:rsid w:val="0096542F"/>
    <w:rsid w:val="00966B57"/>
    <w:rsid w:val="00967FA7"/>
    <w:rsid w:val="00971645"/>
    <w:rsid w:val="009761AD"/>
    <w:rsid w:val="00977919"/>
    <w:rsid w:val="00983000"/>
    <w:rsid w:val="00984D9B"/>
    <w:rsid w:val="009863A2"/>
    <w:rsid w:val="00986EDB"/>
    <w:rsid w:val="009870FA"/>
    <w:rsid w:val="00991602"/>
    <w:rsid w:val="009921C3"/>
    <w:rsid w:val="0099551D"/>
    <w:rsid w:val="00996AF0"/>
    <w:rsid w:val="009A37C6"/>
    <w:rsid w:val="009A5897"/>
    <w:rsid w:val="009A5F24"/>
    <w:rsid w:val="009B0B3E"/>
    <w:rsid w:val="009B1913"/>
    <w:rsid w:val="009B6657"/>
    <w:rsid w:val="009B7C35"/>
    <w:rsid w:val="009C05F4"/>
    <w:rsid w:val="009C21F1"/>
    <w:rsid w:val="009D0EB5"/>
    <w:rsid w:val="009D14F9"/>
    <w:rsid w:val="009D2B74"/>
    <w:rsid w:val="009D63FF"/>
    <w:rsid w:val="009E175D"/>
    <w:rsid w:val="009E2315"/>
    <w:rsid w:val="009E3CC2"/>
    <w:rsid w:val="009F06BD"/>
    <w:rsid w:val="009F2A4D"/>
    <w:rsid w:val="009F3302"/>
    <w:rsid w:val="00A00828"/>
    <w:rsid w:val="00A03290"/>
    <w:rsid w:val="00A0413A"/>
    <w:rsid w:val="00A0675A"/>
    <w:rsid w:val="00A07490"/>
    <w:rsid w:val="00A10655"/>
    <w:rsid w:val="00A1197C"/>
    <w:rsid w:val="00A12B64"/>
    <w:rsid w:val="00A22C38"/>
    <w:rsid w:val="00A25193"/>
    <w:rsid w:val="00A26E80"/>
    <w:rsid w:val="00A31AE8"/>
    <w:rsid w:val="00A32EFF"/>
    <w:rsid w:val="00A3597A"/>
    <w:rsid w:val="00A3739D"/>
    <w:rsid w:val="00A37DDA"/>
    <w:rsid w:val="00A37ED8"/>
    <w:rsid w:val="00A40DFB"/>
    <w:rsid w:val="00A50829"/>
    <w:rsid w:val="00A75529"/>
    <w:rsid w:val="00A80436"/>
    <w:rsid w:val="00A87355"/>
    <w:rsid w:val="00A902D1"/>
    <w:rsid w:val="00A92498"/>
    <w:rsid w:val="00A925EC"/>
    <w:rsid w:val="00A929AA"/>
    <w:rsid w:val="00A92B6B"/>
    <w:rsid w:val="00A955A9"/>
    <w:rsid w:val="00A97E9D"/>
    <w:rsid w:val="00AA0DD0"/>
    <w:rsid w:val="00AA475D"/>
    <w:rsid w:val="00AA4C49"/>
    <w:rsid w:val="00AA541E"/>
    <w:rsid w:val="00AB1FF9"/>
    <w:rsid w:val="00AD0DA4"/>
    <w:rsid w:val="00AD134E"/>
    <w:rsid w:val="00AD1B26"/>
    <w:rsid w:val="00AD23F7"/>
    <w:rsid w:val="00AD4169"/>
    <w:rsid w:val="00AD73F3"/>
    <w:rsid w:val="00AD7557"/>
    <w:rsid w:val="00AE25C6"/>
    <w:rsid w:val="00AE285E"/>
    <w:rsid w:val="00AE306C"/>
    <w:rsid w:val="00AF1158"/>
    <w:rsid w:val="00AF28C1"/>
    <w:rsid w:val="00B010B0"/>
    <w:rsid w:val="00B02EF1"/>
    <w:rsid w:val="00B070B3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5084A"/>
    <w:rsid w:val="00B5223A"/>
    <w:rsid w:val="00B570DE"/>
    <w:rsid w:val="00B606A1"/>
    <w:rsid w:val="00B614F7"/>
    <w:rsid w:val="00B61B26"/>
    <w:rsid w:val="00B675B2"/>
    <w:rsid w:val="00B7143D"/>
    <w:rsid w:val="00B7381A"/>
    <w:rsid w:val="00B81261"/>
    <w:rsid w:val="00B8223E"/>
    <w:rsid w:val="00B832AE"/>
    <w:rsid w:val="00B86678"/>
    <w:rsid w:val="00B92F9B"/>
    <w:rsid w:val="00B941B3"/>
    <w:rsid w:val="00B96513"/>
    <w:rsid w:val="00BA1D47"/>
    <w:rsid w:val="00BA3247"/>
    <w:rsid w:val="00BA5792"/>
    <w:rsid w:val="00BA66F0"/>
    <w:rsid w:val="00BB2239"/>
    <w:rsid w:val="00BB2AE7"/>
    <w:rsid w:val="00BB6464"/>
    <w:rsid w:val="00BC1BB8"/>
    <w:rsid w:val="00BD0F38"/>
    <w:rsid w:val="00BD7FE1"/>
    <w:rsid w:val="00BE37CA"/>
    <w:rsid w:val="00BE4B2A"/>
    <w:rsid w:val="00BE6144"/>
    <w:rsid w:val="00BE635A"/>
    <w:rsid w:val="00BF17E9"/>
    <w:rsid w:val="00BF2ABB"/>
    <w:rsid w:val="00BF5099"/>
    <w:rsid w:val="00C10F10"/>
    <w:rsid w:val="00C11451"/>
    <w:rsid w:val="00C15963"/>
    <w:rsid w:val="00C15D4D"/>
    <w:rsid w:val="00C175DC"/>
    <w:rsid w:val="00C20DF4"/>
    <w:rsid w:val="00C30171"/>
    <w:rsid w:val="00C309D8"/>
    <w:rsid w:val="00C31FB7"/>
    <w:rsid w:val="00C33998"/>
    <w:rsid w:val="00C34ECB"/>
    <w:rsid w:val="00C36EEA"/>
    <w:rsid w:val="00C43519"/>
    <w:rsid w:val="00C51537"/>
    <w:rsid w:val="00C526B1"/>
    <w:rsid w:val="00C52BC3"/>
    <w:rsid w:val="00C5469F"/>
    <w:rsid w:val="00C5584B"/>
    <w:rsid w:val="00C56AE0"/>
    <w:rsid w:val="00C61AFA"/>
    <w:rsid w:val="00C61D64"/>
    <w:rsid w:val="00C62099"/>
    <w:rsid w:val="00C64EA3"/>
    <w:rsid w:val="00C72867"/>
    <w:rsid w:val="00C75E81"/>
    <w:rsid w:val="00C75F52"/>
    <w:rsid w:val="00C86609"/>
    <w:rsid w:val="00C92B4C"/>
    <w:rsid w:val="00C940A1"/>
    <w:rsid w:val="00C954F6"/>
    <w:rsid w:val="00C95D30"/>
    <w:rsid w:val="00CA12EA"/>
    <w:rsid w:val="00CA6BC5"/>
    <w:rsid w:val="00CB22D9"/>
    <w:rsid w:val="00CB3E57"/>
    <w:rsid w:val="00CB4473"/>
    <w:rsid w:val="00CB5997"/>
    <w:rsid w:val="00CC1CCA"/>
    <w:rsid w:val="00CC32CE"/>
    <w:rsid w:val="00CC61CD"/>
    <w:rsid w:val="00CD5011"/>
    <w:rsid w:val="00CD7AE1"/>
    <w:rsid w:val="00CE640F"/>
    <w:rsid w:val="00CE76BC"/>
    <w:rsid w:val="00CF540E"/>
    <w:rsid w:val="00D02F07"/>
    <w:rsid w:val="00D06A58"/>
    <w:rsid w:val="00D17006"/>
    <w:rsid w:val="00D2230A"/>
    <w:rsid w:val="00D23346"/>
    <w:rsid w:val="00D23E98"/>
    <w:rsid w:val="00D27EBE"/>
    <w:rsid w:val="00D339B1"/>
    <w:rsid w:val="00D36A49"/>
    <w:rsid w:val="00D417B9"/>
    <w:rsid w:val="00D517C6"/>
    <w:rsid w:val="00D56AC0"/>
    <w:rsid w:val="00D64806"/>
    <w:rsid w:val="00D67CC2"/>
    <w:rsid w:val="00D71D84"/>
    <w:rsid w:val="00D72464"/>
    <w:rsid w:val="00D75D03"/>
    <w:rsid w:val="00D768EB"/>
    <w:rsid w:val="00D82D1E"/>
    <w:rsid w:val="00D832D9"/>
    <w:rsid w:val="00D85ADF"/>
    <w:rsid w:val="00D90F00"/>
    <w:rsid w:val="00D94F6B"/>
    <w:rsid w:val="00D95B15"/>
    <w:rsid w:val="00D975C0"/>
    <w:rsid w:val="00DA3D6F"/>
    <w:rsid w:val="00DA48A2"/>
    <w:rsid w:val="00DA5285"/>
    <w:rsid w:val="00DB191D"/>
    <w:rsid w:val="00DB4F91"/>
    <w:rsid w:val="00DC1EF7"/>
    <w:rsid w:val="00DC1F0F"/>
    <w:rsid w:val="00DC3117"/>
    <w:rsid w:val="00DC5DD9"/>
    <w:rsid w:val="00DC6D2D"/>
    <w:rsid w:val="00DD64C2"/>
    <w:rsid w:val="00DE33B5"/>
    <w:rsid w:val="00DE5E18"/>
    <w:rsid w:val="00DE6E01"/>
    <w:rsid w:val="00DF0487"/>
    <w:rsid w:val="00DF192F"/>
    <w:rsid w:val="00DF4F83"/>
    <w:rsid w:val="00DF5EA4"/>
    <w:rsid w:val="00E02681"/>
    <w:rsid w:val="00E02792"/>
    <w:rsid w:val="00E034D8"/>
    <w:rsid w:val="00E04CC0"/>
    <w:rsid w:val="00E14CA6"/>
    <w:rsid w:val="00E15816"/>
    <w:rsid w:val="00E160D5"/>
    <w:rsid w:val="00E239FF"/>
    <w:rsid w:val="00E27D7B"/>
    <w:rsid w:val="00E30556"/>
    <w:rsid w:val="00E30981"/>
    <w:rsid w:val="00E33136"/>
    <w:rsid w:val="00E34D7C"/>
    <w:rsid w:val="00E36C7E"/>
    <w:rsid w:val="00E3723D"/>
    <w:rsid w:val="00E4174A"/>
    <w:rsid w:val="00E44C89"/>
    <w:rsid w:val="00E45536"/>
    <w:rsid w:val="00E55C13"/>
    <w:rsid w:val="00E61BA2"/>
    <w:rsid w:val="00E63586"/>
    <w:rsid w:val="00E63864"/>
    <w:rsid w:val="00E6403F"/>
    <w:rsid w:val="00E64725"/>
    <w:rsid w:val="00E770C4"/>
    <w:rsid w:val="00E77ACA"/>
    <w:rsid w:val="00E84C5A"/>
    <w:rsid w:val="00E861DB"/>
    <w:rsid w:val="00E90FA2"/>
    <w:rsid w:val="00E93406"/>
    <w:rsid w:val="00E956C5"/>
    <w:rsid w:val="00E95C39"/>
    <w:rsid w:val="00E96014"/>
    <w:rsid w:val="00EA2C39"/>
    <w:rsid w:val="00EA3B19"/>
    <w:rsid w:val="00EB0A3C"/>
    <w:rsid w:val="00EB0A96"/>
    <w:rsid w:val="00EB1C1A"/>
    <w:rsid w:val="00EB3D43"/>
    <w:rsid w:val="00EB77F9"/>
    <w:rsid w:val="00EC5769"/>
    <w:rsid w:val="00EC7D00"/>
    <w:rsid w:val="00ED0304"/>
    <w:rsid w:val="00ED087C"/>
    <w:rsid w:val="00EE38FA"/>
    <w:rsid w:val="00EE3E2C"/>
    <w:rsid w:val="00EE466C"/>
    <w:rsid w:val="00EE5D23"/>
    <w:rsid w:val="00EE750D"/>
    <w:rsid w:val="00EF3CA4"/>
    <w:rsid w:val="00EF4073"/>
    <w:rsid w:val="00EF5E1F"/>
    <w:rsid w:val="00EF7859"/>
    <w:rsid w:val="00F003F3"/>
    <w:rsid w:val="00F014DA"/>
    <w:rsid w:val="00F02591"/>
    <w:rsid w:val="00F03808"/>
    <w:rsid w:val="00F13212"/>
    <w:rsid w:val="00F14273"/>
    <w:rsid w:val="00F15D8F"/>
    <w:rsid w:val="00F479D5"/>
    <w:rsid w:val="00F5696E"/>
    <w:rsid w:val="00F60EFF"/>
    <w:rsid w:val="00F67D2D"/>
    <w:rsid w:val="00F70155"/>
    <w:rsid w:val="00F81584"/>
    <w:rsid w:val="00F860CC"/>
    <w:rsid w:val="00F90858"/>
    <w:rsid w:val="00F94398"/>
    <w:rsid w:val="00F9799B"/>
    <w:rsid w:val="00FA228B"/>
    <w:rsid w:val="00FA3F42"/>
    <w:rsid w:val="00FA4629"/>
    <w:rsid w:val="00FA64B4"/>
    <w:rsid w:val="00FA6B6D"/>
    <w:rsid w:val="00FB0A2D"/>
    <w:rsid w:val="00FB2B56"/>
    <w:rsid w:val="00FB4E3A"/>
    <w:rsid w:val="00FC12BF"/>
    <w:rsid w:val="00FC16A5"/>
    <w:rsid w:val="00FC1A7C"/>
    <w:rsid w:val="00FC2C60"/>
    <w:rsid w:val="00FC64AB"/>
    <w:rsid w:val="00FD3E6F"/>
    <w:rsid w:val="00FD4B59"/>
    <w:rsid w:val="00FD51B9"/>
    <w:rsid w:val="00FE2A39"/>
    <w:rsid w:val="00FE2EF6"/>
    <w:rsid w:val="00FE6F0B"/>
    <w:rsid w:val="00FF39CF"/>
    <w:rsid w:val="00FF6BCB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0B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4B"/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E4553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45536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45536"/>
    <w:pPr>
      <w:numPr>
        <w:ilvl w:val="2"/>
        <w:numId w:val="3"/>
      </w:numPr>
      <w:spacing w:before="240"/>
      <w:ind w:left="720"/>
      <w:outlineLvl w:val="2"/>
    </w:pPr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5536"/>
    <w:pPr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584B"/>
    <w:pPr>
      <w:numPr>
        <w:ilvl w:val="4"/>
        <w:numId w:val="3"/>
      </w:numPr>
      <w:ind w:left="1009" w:hanging="1009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584B"/>
    <w:pPr>
      <w:numPr>
        <w:ilvl w:val="5"/>
        <w:numId w:val="3"/>
      </w:numPr>
      <w:ind w:left="1151" w:hanging="1151"/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584B"/>
    <w:pPr>
      <w:numPr>
        <w:ilvl w:val="6"/>
        <w:numId w:val="3"/>
      </w:numPr>
      <w:ind w:left="1298" w:hanging="1298"/>
      <w:outlineLvl w:val="6"/>
    </w:pPr>
    <w:rPr>
      <w:rFonts w:asciiTheme="majorHAnsi" w:hAnsiTheme="majorHAnsi"/>
      <w:color w:val="1F1F5F" w:themeColor="text1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584B"/>
    <w:pPr>
      <w:numPr>
        <w:ilvl w:val="7"/>
        <w:numId w:val="3"/>
      </w:numPr>
      <w:outlineLvl w:val="7"/>
    </w:pPr>
    <w:rPr>
      <w:rFonts w:asciiTheme="majorHAnsi" w:hAnsiTheme="majorHAnsi"/>
      <w:color w:val="60606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584B"/>
    <w:pPr>
      <w:numPr>
        <w:ilvl w:val="8"/>
        <w:numId w:val="3"/>
      </w:numPr>
      <w:ind w:left="1582" w:hanging="1582"/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E4553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45536"/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E45536"/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FC16A5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FC16A5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4E78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885"/>
    <w:rPr>
      <w:rFonts w:ascii="Lato" w:hAnsi="Lato"/>
    </w:rPr>
  </w:style>
  <w:style w:type="paragraph" w:customStyle="1" w:styleId="Subtitle0">
    <w:name w:val="Sub title"/>
    <w:basedOn w:val="Normal"/>
    <w:uiPriority w:val="1"/>
    <w:qFormat/>
    <w:rsid w:val="00E77ACA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E45536"/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C5584B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C5584B"/>
    <w:rPr>
      <w:rFonts w:asciiTheme="majorHAnsi" w:hAnsiTheme="majorHAnsi"/>
      <w:color w:val="60606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C5584B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AD7557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0B280D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B6E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4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69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696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5C34"/>
    <w:rPr>
      <w:rFonts w:ascii="Lato" w:eastAsiaTheme="minorEastAsia" w:hAnsi="Lato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A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C34"/>
    <w:rPr>
      <w:rFonts w:ascii="Lato" w:hAnsi="La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3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B5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5BB5"/>
    <w:pPr>
      <w:spacing w:after="0"/>
    </w:pPr>
    <w:rPr>
      <w:rFonts w:ascii="Lato" w:hAnsi="Lato"/>
    </w:rPr>
  </w:style>
  <w:style w:type="paragraph" w:styleId="TableofFigures">
    <w:name w:val="table of figures"/>
    <w:basedOn w:val="Normal"/>
    <w:next w:val="Normal"/>
    <w:uiPriority w:val="99"/>
    <w:unhideWhenUsed/>
    <w:rsid w:val="006B34B0"/>
    <w:pPr>
      <w:spacing w:after="0"/>
    </w:pPr>
  </w:style>
  <w:style w:type="table" w:customStyle="1" w:styleId="NTGtable11">
    <w:name w:val="NTG table 11"/>
    <w:basedOn w:val="TableNormal"/>
    <w:uiPriority w:val="99"/>
    <w:rsid w:val="0053251B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t.gov.au/industry/procurement/how-to-tender/tendering-with-govern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165F90-ED20-4151-96B9-C75C8552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2936</Words>
  <Characters>17675</Characters>
  <Application>Microsoft Office Word</Application>
  <DocSecurity>0</DocSecurity>
  <Lines>431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for Territory assessment guide</vt:lpstr>
    </vt:vector>
  </TitlesOfParts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for Territory assessment guide</dc:title>
  <dc:subject/>
  <dc:creator/>
  <cp:keywords/>
  <dc:description/>
  <cp:lastModifiedBy/>
  <cp:revision>1</cp:revision>
  <dcterms:created xsi:type="dcterms:W3CDTF">2025-02-10T02:17:00Z</dcterms:created>
  <dcterms:modified xsi:type="dcterms:W3CDTF">2025-02-10T02:18:00Z</dcterms:modified>
</cp:coreProperties>
</file>