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6B" w:rsidRDefault="00690559" w:rsidP="00CA663B">
      <w:pPr>
        <w:ind w:left="720"/>
        <w:jc w:val="center"/>
        <w:rPr>
          <w:rFonts w:ascii="Lato Semibold" w:hAnsi="Lato Semibold"/>
          <w:b/>
          <w:bCs/>
          <w:color w:val="000050"/>
          <w:sz w:val="36"/>
          <w:szCs w:val="36"/>
          <w:lang w:val="en-US"/>
        </w:rPr>
      </w:pPr>
      <w:bookmarkStart w:id="0" w:name="_GoBack"/>
      <w:bookmarkEnd w:id="0"/>
      <w:r>
        <w:rPr>
          <w:rFonts w:ascii="Lato Semibold" w:hAnsi="Lato Semibold"/>
          <w:b/>
          <w:bCs/>
          <w:color w:val="000050"/>
          <w:sz w:val="36"/>
          <w:szCs w:val="36"/>
          <w:lang w:val="en-US"/>
        </w:rPr>
        <w:t>Transfer to another entity structure</w:t>
      </w:r>
    </w:p>
    <w:p w:rsidR="00987F6B" w:rsidRPr="00614BF5" w:rsidRDefault="00987F6B" w:rsidP="00CA663B">
      <w:pPr>
        <w:ind w:left="720"/>
        <w:jc w:val="center"/>
        <w:rPr>
          <w:rFonts w:ascii="Lato Semibold" w:hAnsi="Lato Semibold"/>
          <w:b/>
          <w:bCs/>
          <w:i/>
          <w:iCs/>
          <w:color w:val="000050"/>
          <w:sz w:val="36"/>
          <w:szCs w:val="36"/>
          <w:lang w:val="en-US"/>
        </w:rPr>
      </w:pPr>
      <w:r w:rsidRPr="00614BF5">
        <w:rPr>
          <w:rFonts w:ascii="Lato Semibold" w:hAnsi="Lato Semibold"/>
          <w:b/>
          <w:bCs/>
          <w:i/>
          <w:iCs/>
          <w:color w:val="000050"/>
          <w:sz w:val="36"/>
          <w:szCs w:val="36"/>
          <w:lang w:val="en-US"/>
        </w:rPr>
        <w:t>Associations Act 2003</w:t>
      </w:r>
      <w:r>
        <w:rPr>
          <w:rFonts w:ascii="Lato Semibold" w:hAnsi="Lato Semibold"/>
          <w:b/>
          <w:bCs/>
          <w:i/>
          <w:iCs/>
          <w:color w:val="000050"/>
          <w:sz w:val="36"/>
          <w:szCs w:val="36"/>
          <w:lang w:val="en-US"/>
        </w:rPr>
        <w:t xml:space="preserve"> </w:t>
      </w:r>
      <w:r w:rsidRPr="00F837AE">
        <w:rPr>
          <w:rFonts w:ascii="Lato Semibold" w:hAnsi="Lato Semibold"/>
          <w:b/>
          <w:bCs/>
          <w:iCs/>
          <w:color w:val="000050"/>
          <w:sz w:val="36"/>
          <w:szCs w:val="36"/>
          <w:lang w:val="en-US"/>
        </w:rPr>
        <w:t>(the Act)</w:t>
      </w:r>
    </w:p>
    <w:p w:rsidR="00987F6B" w:rsidRDefault="00987F6B" w:rsidP="00CA663B">
      <w:pPr>
        <w:spacing w:after="120"/>
        <w:jc w:val="both"/>
        <w:rPr>
          <w:rFonts w:ascii="Lato Semibold" w:hAnsi="Lato Semibold"/>
          <w:b/>
          <w:bCs/>
          <w:i/>
          <w:iCs/>
          <w:color w:val="000050"/>
          <w:sz w:val="36"/>
          <w:szCs w:val="36"/>
          <w:lang w:val="en-US"/>
        </w:rPr>
      </w:pPr>
      <w:r>
        <w:rPr>
          <w:rFonts w:ascii="Lato Semibold" w:hAnsi="Lato Semibold"/>
          <w:b/>
          <w:bCs/>
          <w:i/>
          <w:iCs/>
          <w:color w:val="000050"/>
          <w:sz w:val="36"/>
          <w:szCs w:val="36"/>
          <w:lang w:val="en-US"/>
        </w:rPr>
        <w:t>Facts</w:t>
      </w:r>
    </w:p>
    <w:p w:rsidR="00987F6B" w:rsidRDefault="00690559" w:rsidP="00CA663B">
      <w:pPr>
        <w:pStyle w:val="ListParagraph"/>
        <w:numPr>
          <w:ilvl w:val="0"/>
          <w:numId w:val="3"/>
        </w:numPr>
        <w:spacing w:after="120"/>
        <w:ind w:left="714" w:hanging="357"/>
        <w:jc w:val="both"/>
        <w:rPr>
          <w:rFonts w:ascii="Lato" w:hAnsi="Lato"/>
          <w:bCs/>
          <w:iCs/>
          <w:lang w:val="en-US"/>
        </w:rPr>
      </w:pPr>
      <w:r>
        <w:rPr>
          <w:rFonts w:ascii="Lato" w:hAnsi="Lato"/>
          <w:bCs/>
          <w:iCs/>
          <w:lang w:val="en-US"/>
        </w:rPr>
        <w:t xml:space="preserve">An association can transfer to another structure, however </w:t>
      </w:r>
      <w:r w:rsidR="004C28F8">
        <w:rPr>
          <w:rFonts w:ascii="Lato" w:hAnsi="Lato"/>
          <w:bCs/>
          <w:iCs/>
          <w:lang w:val="en-US"/>
        </w:rPr>
        <w:t>cannot</w:t>
      </w:r>
      <w:r>
        <w:rPr>
          <w:rFonts w:ascii="Lato" w:hAnsi="Lato"/>
          <w:bCs/>
          <w:iCs/>
          <w:lang w:val="en-US"/>
        </w:rPr>
        <w:t xml:space="preserve"> transfer back to being incorporated in the Northern Territory.</w:t>
      </w:r>
    </w:p>
    <w:p w:rsidR="00690559" w:rsidRDefault="00690559" w:rsidP="00CA663B">
      <w:pPr>
        <w:pStyle w:val="ListParagraph"/>
        <w:numPr>
          <w:ilvl w:val="0"/>
          <w:numId w:val="3"/>
        </w:numPr>
        <w:spacing w:after="120"/>
        <w:ind w:left="714" w:hanging="357"/>
        <w:jc w:val="both"/>
        <w:rPr>
          <w:rFonts w:ascii="Lato" w:hAnsi="Lato"/>
          <w:bCs/>
          <w:iCs/>
          <w:lang w:val="en-US"/>
        </w:rPr>
      </w:pPr>
      <w:r>
        <w:rPr>
          <w:rFonts w:ascii="Lato" w:hAnsi="Lato"/>
          <w:bCs/>
          <w:iCs/>
          <w:lang w:val="en-US"/>
        </w:rPr>
        <w:t>Transfer is a continuation of the original entity, you take your assets, liabilities and any court action with you.</w:t>
      </w:r>
    </w:p>
    <w:p w:rsidR="003A6F4C" w:rsidRDefault="003A6F4C" w:rsidP="00CA663B">
      <w:pPr>
        <w:pStyle w:val="ListParagraph"/>
        <w:numPr>
          <w:ilvl w:val="0"/>
          <w:numId w:val="3"/>
        </w:numPr>
        <w:spacing w:after="120"/>
        <w:ind w:left="714" w:hanging="357"/>
        <w:jc w:val="both"/>
        <w:rPr>
          <w:rFonts w:ascii="Lato" w:hAnsi="Lato"/>
          <w:bCs/>
          <w:iCs/>
          <w:lang w:val="en-US"/>
        </w:rPr>
      </w:pPr>
      <w:r>
        <w:rPr>
          <w:rFonts w:ascii="Lato" w:hAnsi="Lato"/>
          <w:bCs/>
          <w:iCs/>
          <w:lang w:val="en-US"/>
        </w:rPr>
        <w:t>Consent to transfer to another structure is only required if the association has prescribed property.</w:t>
      </w:r>
    </w:p>
    <w:p w:rsidR="00987F6B" w:rsidRDefault="00987F6B" w:rsidP="00CA663B">
      <w:pPr>
        <w:spacing w:after="120"/>
        <w:jc w:val="both"/>
        <w:rPr>
          <w:rFonts w:ascii="Lato Semibold" w:hAnsi="Lato Semibold"/>
          <w:b/>
          <w:bCs/>
          <w:i/>
          <w:iCs/>
          <w:color w:val="000050"/>
          <w:sz w:val="36"/>
          <w:szCs w:val="36"/>
          <w:lang w:val="en-US"/>
        </w:rPr>
      </w:pPr>
      <w:r w:rsidRPr="00CF64C0">
        <w:rPr>
          <w:rFonts w:ascii="Lato Semibold" w:hAnsi="Lato Semibold"/>
          <w:b/>
          <w:bCs/>
          <w:i/>
          <w:iCs/>
          <w:color w:val="000050"/>
          <w:sz w:val="36"/>
          <w:szCs w:val="36"/>
          <w:lang w:val="en-US"/>
        </w:rPr>
        <w:t xml:space="preserve">Checklist to </w:t>
      </w:r>
      <w:r>
        <w:rPr>
          <w:rFonts w:ascii="Lato Semibold" w:hAnsi="Lato Semibold"/>
          <w:b/>
          <w:bCs/>
          <w:i/>
          <w:iCs/>
          <w:color w:val="000050"/>
          <w:sz w:val="36"/>
          <w:szCs w:val="36"/>
          <w:lang w:val="en-US"/>
        </w:rPr>
        <w:t>transfer to another entity structure</w:t>
      </w:r>
    </w:p>
    <w:p w:rsidR="003A6F4C" w:rsidRPr="003A6F4C" w:rsidRDefault="003A6F4C" w:rsidP="00CA663B">
      <w:pPr>
        <w:spacing w:after="120"/>
        <w:jc w:val="both"/>
        <w:rPr>
          <w:rFonts w:ascii="Lato Semibold" w:hAnsi="Lato Semibold"/>
          <w:b/>
          <w:bCs/>
          <w:i/>
          <w:iCs/>
          <w:color w:val="000050"/>
          <w:sz w:val="32"/>
          <w:szCs w:val="32"/>
          <w:lang w:val="en-US"/>
        </w:rPr>
      </w:pPr>
      <w:r w:rsidRPr="003A6F4C">
        <w:rPr>
          <w:rFonts w:ascii="Lato Semibold" w:hAnsi="Lato Semibold"/>
          <w:b/>
          <w:bCs/>
          <w:i/>
          <w:iCs/>
          <w:color w:val="000050"/>
          <w:sz w:val="32"/>
          <w:szCs w:val="32"/>
          <w:lang w:val="en-US"/>
        </w:rPr>
        <w:t xml:space="preserve">Transfer </w:t>
      </w:r>
      <w:r w:rsidRPr="003A6F4C">
        <w:rPr>
          <w:rFonts w:ascii="Lato Semibold" w:hAnsi="Lato Semibold"/>
          <w:b/>
          <w:bCs/>
          <w:i/>
          <w:iCs/>
          <w:color w:val="000050"/>
          <w:sz w:val="32"/>
          <w:szCs w:val="32"/>
          <w:u w:val="single"/>
          <w:lang w:val="en-US"/>
        </w:rPr>
        <w:t>without</w:t>
      </w:r>
      <w:r w:rsidRPr="003A6F4C">
        <w:rPr>
          <w:rFonts w:ascii="Lato Semibold" w:hAnsi="Lato Semibold"/>
          <w:b/>
          <w:bCs/>
          <w:i/>
          <w:iCs/>
          <w:color w:val="000050"/>
          <w:sz w:val="32"/>
          <w:szCs w:val="32"/>
          <w:lang w:val="en-US"/>
        </w:rPr>
        <w:t xml:space="preserve"> prescribed property</w:t>
      </w:r>
    </w:p>
    <w:p w:rsidR="003A6F4C" w:rsidRDefault="003A6F4C" w:rsidP="00CA663B">
      <w:pPr>
        <w:spacing w:after="120"/>
        <w:jc w:val="both"/>
        <w:rPr>
          <w:rFonts w:ascii="Lato" w:hAnsi="Lato"/>
          <w:b/>
          <w:lang w:val="en-US"/>
        </w:rPr>
      </w:pPr>
      <w:r w:rsidRPr="00BD0919">
        <w:rPr>
          <w:rFonts w:ascii="Lato" w:hAnsi="Lato"/>
          <w:b/>
        </w:rPr>
        <w:t xml:space="preserve">Step </w:t>
      </w:r>
      <w:r>
        <w:rPr>
          <w:rFonts w:ascii="Lato" w:hAnsi="Lato"/>
          <w:b/>
        </w:rPr>
        <w:t>1</w:t>
      </w:r>
      <w:r w:rsidRPr="00BD0919">
        <w:rPr>
          <w:rFonts w:ascii="Lato" w:hAnsi="Lato"/>
          <w:b/>
        </w:rPr>
        <w:t xml:space="preserve">. </w:t>
      </w:r>
      <w:r w:rsidRPr="00BD0919">
        <w:rPr>
          <w:rFonts w:ascii="Lato" w:hAnsi="Lato"/>
          <w:b/>
          <w:lang w:val="en-US"/>
        </w:rPr>
        <w:t xml:space="preserve"> </w:t>
      </w:r>
    </w:p>
    <w:p w:rsidR="003A6F4C" w:rsidRPr="00AF60AA" w:rsidRDefault="003A6F4C" w:rsidP="00CA663B">
      <w:pPr>
        <w:spacing w:after="120"/>
        <w:jc w:val="both"/>
        <w:rPr>
          <w:rFonts w:ascii="Lato" w:hAnsi="Lato"/>
          <w:lang w:val="en-US"/>
        </w:rPr>
      </w:pPr>
      <w:r w:rsidRPr="00AF60AA">
        <w:rPr>
          <w:rFonts w:ascii="Lato" w:hAnsi="Lato"/>
          <w:lang w:val="en-US"/>
        </w:rPr>
        <w:t>Hold a SGM to present the special resolution to dissolve. At this meeting the association will consider the following:</w:t>
      </w:r>
    </w:p>
    <w:p w:rsidR="003A6F4C" w:rsidRPr="0025254F" w:rsidRDefault="003A6F4C" w:rsidP="00CA663B">
      <w:pPr>
        <w:numPr>
          <w:ilvl w:val="0"/>
          <w:numId w:val="2"/>
        </w:numPr>
        <w:spacing w:after="120"/>
        <w:jc w:val="both"/>
        <w:rPr>
          <w:rFonts w:ascii="Lato" w:hAnsi="Lato"/>
        </w:rPr>
      </w:pPr>
      <w:r>
        <w:rPr>
          <w:rFonts w:ascii="Lato" w:hAnsi="Lato"/>
          <w:lang w:val="en-US"/>
        </w:rPr>
        <w:t>Resolve to transfer</w:t>
      </w:r>
    </w:p>
    <w:p w:rsidR="003A6F4C" w:rsidRPr="0025254F" w:rsidRDefault="003A6F4C" w:rsidP="00CA663B">
      <w:pPr>
        <w:numPr>
          <w:ilvl w:val="0"/>
          <w:numId w:val="2"/>
        </w:numPr>
        <w:spacing w:after="120"/>
        <w:jc w:val="both"/>
        <w:rPr>
          <w:rFonts w:ascii="Lato" w:hAnsi="Lato"/>
        </w:rPr>
      </w:pPr>
      <w:r>
        <w:rPr>
          <w:rFonts w:ascii="Lato" w:hAnsi="Lato"/>
          <w:lang w:val="en-US"/>
        </w:rPr>
        <w:t>New entity name</w:t>
      </w:r>
    </w:p>
    <w:p w:rsidR="003A6F4C" w:rsidRPr="00987F6B" w:rsidRDefault="003A6F4C" w:rsidP="00CA663B">
      <w:pPr>
        <w:numPr>
          <w:ilvl w:val="0"/>
          <w:numId w:val="2"/>
        </w:numPr>
        <w:spacing w:after="120"/>
        <w:jc w:val="both"/>
        <w:rPr>
          <w:rFonts w:ascii="Lato" w:hAnsi="Lato"/>
        </w:rPr>
      </w:pPr>
      <w:r>
        <w:rPr>
          <w:rFonts w:ascii="Lato" w:hAnsi="Lato"/>
          <w:lang w:val="en-US"/>
        </w:rPr>
        <w:t>Confirm the constitution</w:t>
      </w:r>
    </w:p>
    <w:p w:rsidR="003A6F4C" w:rsidRPr="0025254F" w:rsidRDefault="003A6F4C" w:rsidP="00CA663B">
      <w:pPr>
        <w:numPr>
          <w:ilvl w:val="0"/>
          <w:numId w:val="2"/>
        </w:numPr>
        <w:spacing w:after="120"/>
        <w:jc w:val="both"/>
        <w:rPr>
          <w:rFonts w:ascii="Lato" w:hAnsi="Lato"/>
        </w:rPr>
      </w:pPr>
      <w:r>
        <w:rPr>
          <w:rFonts w:ascii="Lato" w:hAnsi="Lato"/>
          <w:lang w:val="en-US"/>
        </w:rPr>
        <w:t>Any other decision required by the Regulator of the new entity structure.</w:t>
      </w:r>
    </w:p>
    <w:p w:rsidR="003A6F4C" w:rsidRPr="00AF60AA" w:rsidRDefault="003A6F4C" w:rsidP="00CA663B">
      <w:pPr>
        <w:spacing w:before="120" w:after="120"/>
        <w:jc w:val="both"/>
        <w:rPr>
          <w:rFonts w:ascii="Lato" w:hAnsi="Lato"/>
          <w:b/>
          <w:lang w:val="en-US"/>
        </w:rPr>
      </w:pPr>
      <w:r w:rsidRPr="00AF60AA">
        <w:rPr>
          <w:rFonts w:ascii="Lato" w:hAnsi="Lato"/>
          <w:b/>
          <w:lang w:val="en-US"/>
        </w:rPr>
        <w:t xml:space="preserve">Step </w:t>
      </w:r>
      <w:r>
        <w:rPr>
          <w:rFonts w:ascii="Lato" w:hAnsi="Lato"/>
          <w:b/>
          <w:lang w:val="en-US"/>
        </w:rPr>
        <w:t>2</w:t>
      </w:r>
      <w:r w:rsidRPr="00AF60AA">
        <w:rPr>
          <w:rFonts w:ascii="Lato" w:hAnsi="Lato"/>
          <w:b/>
          <w:lang w:val="en-US"/>
        </w:rPr>
        <w:t xml:space="preserve">. </w:t>
      </w:r>
    </w:p>
    <w:p w:rsidR="003A6F4C" w:rsidRDefault="003A6F4C" w:rsidP="00CA663B">
      <w:pPr>
        <w:spacing w:before="120" w:after="120"/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Provide the minutes of the SGM where the members determined to transfer to </w:t>
      </w:r>
      <w:hyperlink r:id="rId7" w:history="1">
        <w:r w:rsidRPr="00023F39">
          <w:rPr>
            <w:rStyle w:val="Hyperlink"/>
            <w:rFonts w:ascii="Lato" w:hAnsi="Lato"/>
          </w:rPr>
          <w:t>associations.compliance@nt.gov.au</w:t>
        </w:r>
      </w:hyperlink>
    </w:p>
    <w:p w:rsidR="003A6F4C" w:rsidRDefault="003A6F4C" w:rsidP="00CA663B">
      <w:pPr>
        <w:spacing w:before="120" w:after="120"/>
        <w:jc w:val="both"/>
        <w:rPr>
          <w:rFonts w:ascii="Lato" w:hAnsi="Lato"/>
          <w:b/>
          <w:lang w:val="en-US"/>
        </w:rPr>
      </w:pPr>
      <w:r>
        <w:rPr>
          <w:rFonts w:ascii="Lato" w:hAnsi="Lato"/>
          <w:b/>
          <w:lang w:val="en-US"/>
        </w:rPr>
        <w:t>Step 3.</w:t>
      </w:r>
    </w:p>
    <w:p w:rsidR="003A6F4C" w:rsidRDefault="003A6F4C" w:rsidP="00CA663B">
      <w:pPr>
        <w:spacing w:before="120" w:after="120"/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Provide evidence of completion of transfer to </w:t>
      </w:r>
      <w:hyperlink r:id="rId8" w:history="1">
        <w:r w:rsidRPr="00023F39">
          <w:rPr>
            <w:rStyle w:val="Hyperlink"/>
            <w:rFonts w:ascii="Lato" w:hAnsi="Lato"/>
          </w:rPr>
          <w:t>associations.compliance@nt.gov.au</w:t>
        </w:r>
      </w:hyperlink>
    </w:p>
    <w:p w:rsidR="003A6F4C" w:rsidRPr="00B501B3" w:rsidRDefault="003A6F4C" w:rsidP="00CA663B">
      <w:pPr>
        <w:spacing w:before="120" w:after="120"/>
        <w:jc w:val="both"/>
        <w:rPr>
          <w:rFonts w:ascii="Lato" w:hAnsi="Lato"/>
          <w:lang w:val="en-US"/>
        </w:rPr>
      </w:pPr>
      <w:r w:rsidRPr="00987F6B">
        <w:rPr>
          <w:rFonts w:ascii="Lato" w:hAnsi="Lato"/>
          <w:b/>
          <w:lang w:val="en-US"/>
        </w:rPr>
        <w:t>NOTE:</w:t>
      </w:r>
      <w:r>
        <w:rPr>
          <w:rFonts w:ascii="Lato" w:hAnsi="Lato"/>
          <w:lang w:val="en-US"/>
        </w:rPr>
        <w:t xml:space="preserve"> the incorporated association will not be ceased on the public register until all assets have been transferred.</w:t>
      </w:r>
    </w:p>
    <w:p w:rsidR="003A6F4C" w:rsidRPr="003A6F4C" w:rsidRDefault="003A6F4C" w:rsidP="00CA663B">
      <w:pPr>
        <w:spacing w:after="120"/>
        <w:jc w:val="both"/>
        <w:rPr>
          <w:rFonts w:ascii="Lato Semibold" w:hAnsi="Lato Semibold"/>
          <w:b/>
          <w:bCs/>
          <w:i/>
          <w:iCs/>
          <w:color w:val="000050"/>
          <w:sz w:val="32"/>
          <w:szCs w:val="32"/>
          <w:lang w:val="en-US"/>
        </w:rPr>
      </w:pPr>
      <w:r w:rsidRPr="003A6F4C">
        <w:rPr>
          <w:rFonts w:ascii="Lato Semibold" w:hAnsi="Lato Semibold"/>
          <w:b/>
          <w:bCs/>
          <w:i/>
          <w:iCs/>
          <w:color w:val="000050"/>
          <w:sz w:val="32"/>
          <w:szCs w:val="32"/>
          <w:lang w:val="en-US"/>
        </w:rPr>
        <w:t xml:space="preserve">Transfer </w:t>
      </w:r>
      <w:r w:rsidRPr="003A6F4C">
        <w:rPr>
          <w:rFonts w:ascii="Lato Semibold" w:hAnsi="Lato Semibold"/>
          <w:b/>
          <w:bCs/>
          <w:i/>
          <w:iCs/>
          <w:color w:val="000050"/>
          <w:sz w:val="32"/>
          <w:szCs w:val="32"/>
          <w:u w:val="single"/>
          <w:lang w:val="en-US"/>
        </w:rPr>
        <w:t>with</w:t>
      </w:r>
      <w:r w:rsidRPr="003A6F4C">
        <w:rPr>
          <w:rFonts w:ascii="Lato Semibold" w:hAnsi="Lato Semibold"/>
          <w:b/>
          <w:bCs/>
          <w:i/>
          <w:iCs/>
          <w:color w:val="000050"/>
          <w:sz w:val="32"/>
          <w:szCs w:val="32"/>
          <w:lang w:val="en-US"/>
        </w:rPr>
        <w:t xml:space="preserve"> prescribed property</w:t>
      </w:r>
    </w:p>
    <w:p w:rsidR="00987F6B" w:rsidRPr="00BD0919" w:rsidRDefault="00987F6B" w:rsidP="00CA663B">
      <w:pPr>
        <w:spacing w:after="120"/>
        <w:jc w:val="both"/>
        <w:rPr>
          <w:rFonts w:ascii="Lato" w:hAnsi="Lato"/>
          <w:b/>
        </w:rPr>
      </w:pPr>
      <w:r w:rsidRPr="00BD0919">
        <w:rPr>
          <w:rFonts w:ascii="Lato" w:hAnsi="Lato"/>
          <w:b/>
        </w:rPr>
        <w:t xml:space="preserve">Step 1. </w:t>
      </w:r>
      <w:r w:rsidR="003A6F4C">
        <w:rPr>
          <w:rFonts w:ascii="Lato" w:hAnsi="Lato"/>
          <w:b/>
        </w:rPr>
        <w:t xml:space="preserve"> </w:t>
      </w:r>
    </w:p>
    <w:p w:rsidR="00987F6B" w:rsidRDefault="00987F6B" w:rsidP="00CA663B">
      <w:pPr>
        <w:spacing w:after="120"/>
        <w:jc w:val="both"/>
        <w:rPr>
          <w:rFonts w:ascii="Lato" w:hAnsi="Lato"/>
        </w:rPr>
      </w:pPr>
      <w:r>
        <w:rPr>
          <w:rFonts w:ascii="Lato" w:hAnsi="Lato"/>
        </w:rPr>
        <w:t xml:space="preserve">Email </w:t>
      </w:r>
      <w:hyperlink r:id="rId9" w:history="1">
        <w:r w:rsidRPr="00023F39">
          <w:rPr>
            <w:rStyle w:val="Hyperlink"/>
            <w:rFonts w:ascii="Lato" w:hAnsi="Lato"/>
          </w:rPr>
          <w:t>associations.compliance@nt.gov.au</w:t>
        </w:r>
      </w:hyperlink>
      <w:r>
        <w:rPr>
          <w:rFonts w:ascii="Lato" w:hAnsi="Lato"/>
        </w:rPr>
        <w:t xml:space="preserve"> with your request for consent to the transfer to another entity structure. </w:t>
      </w:r>
    </w:p>
    <w:p w:rsidR="00987F6B" w:rsidRPr="00B06028" w:rsidRDefault="00987F6B" w:rsidP="00CA663B">
      <w:pPr>
        <w:spacing w:after="120"/>
        <w:jc w:val="both"/>
        <w:rPr>
          <w:rFonts w:ascii="Lato" w:hAnsi="Lato"/>
        </w:rPr>
      </w:pPr>
      <w:r>
        <w:rPr>
          <w:rFonts w:ascii="Lato" w:hAnsi="Lato"/>
        </w:rPr>
        <w:t>The request must include:</w:t>
      </w:r>
    </w:p>
    <w:p w:rsidR="00987F6B" w:rsidRDefault="00987F6B" w:rsidP="00CA663B">
      <w:pPr>
        <w:numPr>
          <w:ilvl w:val="0"/>
          <w:numId w:val="1"/>
        </w:numPr>
        <w:tabs>
          <w:tab w:val="clear" w:pos="1080"/>
        </w:tabs>
        <w:spacing w:after="120"/>
        <w:ind w:left="1134" w:hanging="708"/>
        <w:jc w:val="both"/>
        <w:rPr>
          <w:rFonts w:ascii="Lato" w:hAnsi="Lato"/>
        </w:rPr>
      </w:pPr>
      <w:r>
        <w:rPr>
          <w:rFonts w:ascii="Lato" w:hAnsi="Lato"/>
        </w:rPr>
        <w:t>The name of the association</w:t>
      </w:r>
    </w:p>
    <w:p w:rsidR="00987F6B" w:rsidRDefault="00987F6B" w:rsidP="00CA663B">
      <w:pPr>
        <w:numPr>
          <w:ilvl w:val="0"/>
          <w:numId w:val="1"/>
        </w:numPr>
        <w:tabs>
          <w:tab w:val="clear" w:pos="1080"/>
        </w:tabs>
        <w:spacing w:after="120"/>
        <w:ind w:left="1134" w:hanging="708"/>
        <w:jc w:val="both"/>
        <w:rPr>
          <w:rFonts w:ascii="Lato" w:hAnsi="Lato"/>
        </w:rPr>
      </w:pPr>
      <w:r>
        <w:rPr>
          <w:rFonts w:ascii="Lato" w:hAnsi="Lato"/>
        </w:rPr>
        <w:t>Where the association intends to transfer to (ORIC, ASIC)</w:t>
      </w:r>
    </w:p>
    <w:p w:rsidR="00987F6B" w:rsidRDefault="00987F6B" w:rsidP="00CA663B">
      <w:pPr>
        <w:numPr>
          <w:ilvl w:val="0"/>
          <w:numId w:val="1"/>
        </w:numPr>
        <w:tabs>
          <w:tab w:val="clear" w:pos="1080"/>
        </w:tabs>
        <w:spacing w:after="120"/>
        <w:ind w:left="1134" w:hanging="708"/>
        <w:jc w:val="both"/>
        <w:rPr>
          <w:rFonts w:ascii="Lato" w:hAnsi="Lato"/>
        </w:rPr>
      </w:pPr>
      <w:r>
        <w:rPr>
          <w:rFonts w:ascii="Lato" w:hAnsi="Lato"/>
        </w:rPr>
        <w:t>The intended name under the new structure</w:t>
      </w:r>
    </w:p>
    <w:p w:rsidR="00987F6B" w:rsidRDefault="00987F6B" w:rsidP="00CA663B">
      <w:pPr>
        <w:numPr>
          <w:ilvl w:val="0"/>
          <w:numId w:val="1"/>
        </w:numPr>
        <w:tabs>
          <w:tab w:val="clear" w:pos="1080"/>
        </w:tabs>
        <w:spacing w:after="120"/>
        <w:ind w:left="1134" w:hanging="708"/>
        <w:jc w:val="both"/>
        <w:rPr>
          <w:rFonts w:ascii="Lato" w:hAnsi="Lato"/>
        </w:rPr>
      </w:pPr>
      <w:r>
        <w:rPr>
          <w:rFonts w:ascii="Lato" w:hAnsi="Lato"/>
        </w:rPr>
        <w:lastRenderedPageBreak/>
        <w:t>Provide the constitution which will be used</w:t>
      </w:r>
    </w:p>
    <w:p w:rsidR="00987F6B" w:rsidRDefault="00987F6B" w:rsidP="00CA663B">
      <w:pPr>
        <w:numPr>
          <w:ilvl w:val="0"/>
          <w:numId w:val="1"/>
        </w:numPr>
        <w:tabs>
          <w:tab w:val="clear" w:pos="1080"/>
        </w:tabs>
        <w:spacing w:after="120"/>
        <w:ind w:left="1134" w:hanging="708"/>
        <w:jc w:val="both"/>
        <w:rPr>
          <w:rFonts w:ascii="Lato" w:hAnsi="Lato"/>
        </w:rPr>
      </w:pPr>
      <w:r>
        <w:rPr>
          <w:rFonts w:ascii="Lato" w:hAnsi="Lato"/>
        </w:rPr>
        <w:t>Request to transfer prescribed property (if applicable)</w:t>
      </w:r>
    </w:p>
    <w:p w:rsidR="00987F6B" w:rsidRDefault="00987F6B" w:rsidP="00CA663B">
      <w:pPr>
        <w:spacing w:after="120"/>
        <w:jc w:val="both"/>
        <w:rPr>
          <w:rFonts w:ascii="Lato" w:hAnsi="Lato"/>
        </w:rPr>
      </w:pPr>
      <w:r>
        <w:rPr>
          <w:rFonts w:ascii="Lato" w:hAnsi="Lato"/>
        </w:rPr>
        <w:t>If approval is given the committee may proceed with the SGM to transfer.</w:t>
      </w:r>
    </w:p>
    <w:p w:rsidR="00987F6B" w:rsidRDefault="00987F6B" w:rsidP="00CA663B">
      <w:pPr>
        <w:spacing w:after="120"/>
        <w:jc w:val="both"/>
        <w:rPr>
          <w:rFonts w:ascii="Lato" w:hAnsi="Lato"/>
          <w:b/>
          <w:lang w:val="en-US"/>
        </w:rPr>
      </w:pPr>
      <w:r w:rsidRPr="00BD0919">
        <w:rPr>
          <w:rFonts w:ascii="Lato" w:hAnsi="Lato"/>
          <w:b/>
        </w:rPr>
        <w:t xml:space="preserve">Step 2. </w:t>
      </w:r>
      <w:r w:rsidRPr="00BD0919">
        <w:rPr>
          <w:rFonts w:ascii="Lato" w:hAnsi="Lato"/>
          <w:b/>
          <w:lang w:val="en-US"/>
        </w:rPr>
        <w:t xml:space="preserve"> </w:t>
      </w:r>
    </w:p>
    <w:p w:rsidR="00987F6B" w:rsidRPr="00AF60AA" w:rsidRDefault="00987F6B" w:rsidP="00CA663B">
      <w:pPr>
        <w:spacing w:after="120"/>
        <w:jc w:val="both"/>
        <w:rPr>
          <w:rFonts w:ascii="Lato" w:hAnsi="Lato"/>
          <w:lang w:val="en-US"/>
        </w:rPr>
      </w:pPr>
      <w:r w:rsidRPr="00AF60AA">
        <w:rPr>
          <w:rFonts w:ascii="Lato" w:hAnsi="Lato"/>
          <w:lang w:val="en-US"/>
        </w:rPr>
        <w:t>Hold a SGM to present the special resolution to dissolve. At this meeting the association will consider the following:</w:t>
      </w:r>
    </w:p>
    <w:p w:rsidR="00987F6B" w:rsidRPr="0025254F" w:rsidRDefault="00987F6B" w:rsidP="00CA663B">
      <w:pPr>
        <w:numPr>
          <w:ilvl w:val="0"/>
          <w:numId w:val="2"/>
        </w:numPr>
        <w:spacing w:after="120"/>
        <w:jc w:val="both"/>
        <w:rPr>
          <w:rFonts w:ascii="Lato" w:hAnsi="Lato"/>
        </w:rPr>
      </w:pPr>
      <w:r>
        <w:rPr>
          <w:rFonts w:ascii="Lato" w:hAnsi="Lato"/>
          <w:lang w:val="en-US"/>
        </w:rPr>
        <w:t>Resolve to transfer</w:t>
      </w:r>
    </w:p>
    <w:p w:rsidR="00987F6B" w:rsidRPr="0025254F" w:rsidRDefault="00987F6B" w:rsidP="00CA663B">
      <w:pPr>
        <w:numPr>
          <w:ilvl w:val="0"/>
          <w:numId w:val="2"/>
        </w:numPr>
        <w:spacing w:after="120"/>
        <w:jc w:val="both"/>
        <w:rPr>
          <w:rFonts w:ascii="Lato" w:hAnsi="Lato"/>
        </w:rPr>
      </w:pPr>
      <w:r>
        <w:rPr>
          <w:rFonts w:ascii="Lato" w:hAnsi="Lato"/>
          <w:lang w:val="en-US"/>
        </w:rPr>
        <w:t>New entity name</w:t>
      </w:r>
    </w:p>
    <w:p w:rsidR="00987F6B" w:rsidRPr="00987F6B" w:rsidRDefault="00987F6B" w:rsidP="00CA663B">
      <w:pPr>
        <w:numPr>
          <w:ilvl w:val="0"/>
          <w:numId w:val="2"/>
        </w:numPr>
        <w:spacing w:after="120"/>
        <w:jc w:val="both"/>
        <w:rPr>
          <w:rFonts w:ascii="Lato" w:hAnsi="Lato"/>
        </w:rPr>
      </w:pPr>
      <w:r>
        <w:rPr>
          <w:rFonts w:ascii="Lato" w:hAnsi="Lato"/>
          <w:lang w:val="en-US"/>
        </w:rPr>
        <w:t>Confirm the constitution</w:t>
      </w:r>
    </w:p>
    <w:p w:rsidR="00987F6B" w:rsidRPr="0025254F" w:rsidRDefault="00987F6B" w:rsidP="00CA663B">
      <w:pPr>
        <w:numPr>
          <w:ilvl w:val="0"/>
          <w:numId w:val="2"/>
        </w:numPr>
        <w:spacing w:after="120"/>
        <w:jc w:val="both"/>
        <w:rPr>
          <w:rFonts w:ascii="Lato" w:hAnsi="Lato"/>
        </w:rPr>
      </w:pPr>
      <w:r>
        <w:rPr>
          <w:rFonts w:ascii="Lato" w:hAnsi="Lato"/>
          <w:lang w:val="en-US"/>
        </w:rPr>
        <w:t>Any other deci</w:t>
      </w:r>
      <w:r w:rsidR="004C28F8">
        <w:rPr>
          <w:rFonts w:ascii="Lato" w:hAnsi="Lato"/>
          <w:lang w:val="en-US"/>
        </w:rPr>
        <w:t>sion required by the Regulator of</w:t>
      </w:r>
      <w:r>
        <w:rPr>
          <w:rFonts w:ascii="Lato" w:hAnsi="Lato"/>
          <w:lang w:val="en-US"/>
        </w:rPr>
        <w:t xml:space="preserve"> the new entity structure</w:t>
      </w:r>
      <w:r w:rsidR="004C28F8">
        <w:rPr>
          <w:rFonts w:ascii="Lato" w:hAnsi="Lato"/>
          <w:lang w:val="en-US"/>
        </w:rPr>
        <w:t>.</w:t>
      </w:r>
    </w:p>
    <w:p w:rsidR="00987F6B" w:rsidRPr="00AF60AA" w:rsidRDefault="00987F6B" w:rsidP="00CA663B">
      <w:pPr>
        <w:spacing w:before="120" w:after="120"/>
        <w:jc w:val="both"/>
        <w:rPr>
          <w:rFonts w:ascii="Lato" w:hAnsi="Lato"/>
          <w:b/>
          <w:lang w:val="en-US"/>
        </w:rPr>
      </w:pPr>
      <w:r w:rsidRPr="00AF60AA">
        <w:rPr>
          <w:rFonts w:ascii="Lato" w:hAnsi="Lato"/>
          <w:b/>
          <w:lang w:val="en-US"/>
        </w:rPr>
        <w:t xml:space="preserve">Step 3. </w:t>
      </w:r>
    </w:p>
    <w:p w:rsidR="00987F6B" w:rsidRDefault="00987F6B" w:rsidP="00CA663B">
      <w:pPr>
        <w:spacing w:before="120" w:after="120"/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Provide the minutes of the SGM where the members determined to </w:t>
      </w:r>
      <w:r w:rsidR="00B501B3">
        <w:rPr>
          <w:rFonts w:ascii="Lato" w:hAnsi="Lato"/>
          <w:lang w:val="en-US"/>
        </w:rPr>
        <w:t xml:space="preserve">transfer to </w:t>
      </w:r>
      <w:hyperlink r:id="rId10" w:history="1">
        <w:r w:rsidR="00B501B3" w:rsidRPr="00023F39">
          <w:rPr>
            <w:rStyle w:val="Hyperlink"/>
            <w:rFonts w:ascii="Lato" w:hAnsi="Lato"/>
          </w:rPr>
          <w:t>associations.compliance@nt.gov.au</w:t>
        </w:r>
      </w:hyperlink>
    </w:p>
    <w:p w:rsidR="00987F6B" w:rsidRDefault="00987F6B" w:rsidP="00CA663B">
      <w:pPr>
        <w:spacing w:before="120" w:after="120"/>
        <w:jc w:val="both"/>
        <w:rPr>
          <w:rFonts w:ascii="Lato" w:hAnsi="Lato"/>
          <w:b/>
          <w:lang w:val="en-US"/>
        </w:rPr>
      </w:pPr>
      <w:r>
        <w:rPr>
          <w:rFonts w:ascii="Lato" w:hAnsi="Lato"/>
          <w:b/>
          <w:lang w:val="en-US"/>
        </w:rPr>
        <w:t>Step 4.</w:t>
      </w:r>
    </w:p>
    <w:p w:rsidR="00987F6B" w:rsidRDefault="00987F6B" w:rsidP="00CA663B">
      <w:pPr>
        <w:spacing w:before="120" w:after="120"/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Provide evidence </w:t>
      </w:r>
      <w:r w:rsidR="00B501B3">
        <w:rPr>
          <w:rFonts w:ascii="Lato" w:hAnsi="Lato"/>
          <w:lang w:val="en-US"/>
        </w:rPr>
        <w:t xml:space="preserve">of completion of transfer to </w:t>
      </w:r>
      <w:hyperlink r:id="rId11" w:history="1">
        <w:r w:rsidR="00B501B3" w:rsidRPr="00023F39">
          <w:rPr>
            <w:rStyle w:val="Hyperlink"/>
            <w:rFonts w:ascii="Lato" w:hAnsi="Lato"/>
          </w:rPr>
          <w:t>associations.compliance@nt.gov.au</w:t>
        </w:r>
      </w:hyperlink>
    </w:p>
    <w:p w:rsidR="00987F6B" w:rsidRPr="00B501B3" w:rsidRDefault="00987F6B" w:rsidP="00CA663B">
      <w:pPr>
        <w:spacing w:before="120" w:after="120"/>
        <w:jc w:val="both"/>
        <w:rPr>
          <w:rFonts w:ascii="Lato" w:hAnsi="Lato"/>
          <w:lang w:val="en-US"/>
        </w:rPr>
      </w:pPr>
      <w:r w:rsidRPr="00987F6B">
        <w:rPr>
          <w:rFonts w:ascii="Lato" w:hAnsi="Lato"/>
          <w:b/>
          <w:lang w:val="en-US"/>
        </w:rPr>
        <w:t>NOTE:</w:t>
      </w:r>
      <w:r>
        <w:rPr>
          <w:rFonts w:ascii="Lato" w:hAnsi="Lato"/>
          <w:lang w:val="en-US"/>
        </w:rPr>
        <w:t xml:space="preserve"> the incorporated </w:t>
      </w:r>
      <w:r w:rsidR="004C28F8">
        <w:rPr>
          <w:rFonts w:ascii="Lato" w:hAnsi="Lato"/>
          <w:lang w:val="en-US"/>
        </w:rPr>
        <w:t>association</w:t>
      </w:r>
      <w:r>
        <w:rPr>
          <w:rFonts w:ascii="Lato" w:hAnsi="Lato"/>
          <w:lang w:val="en-US"/>
        </w:rPr>
        <w:t xml:space="preserve"> will not be ceased</w:t>
      </w:r>
      <w:r w:rsidR="003A6F4C">
        <w:rPr>
          <w:rFonts w:ascii="Lato" w:hAnsi="Lato"/>
          <w:lang w:val="en-US"/>
        </w:rPr>
        <w:t xml:space="preserve"> on the public register</w:t>
      </w:r>
      <w:r>
        <w:rPr>
          <w:rFonts w:ascii="Lato" w:hAnsi="Lato"/>
          <w:lang w:val="en-US"/>
        </w:rPr>
        <w:t xml:space="preserve"> until </w:t>
      </w:r>
      <w:r w:rsidR="004C28F8">
        <w:rPr>
          <w:rFonts w:ascii="Lato" w:hAnsi="Lato"/>
          <w:lang w:val="en-US"/>
        </w:rPr>
        <w:t>a</w:t>
      </w:r>
      <w:r w:rsidR="00B501B3">
        <w:rPr>
          <w:rFonts w:ascii="Lato" w:hAnsi="Lato"/>
          <w:lang w:val="en-US"/>
        </w:rPr>
        <w:t>ll assets have been transferred.</w:t>
      </w:r>
    </w:p>
    <w:p w:rsidR="00987F6B" w:rsidRPr="00B86169" w:rsidRDefault="00987F6B" w:rsidP="00CA663B">
      <w:pPr>
        <w:spacing w:after="120"/>
        <w:jc w:val="both"/>
        <w:rPr>
          <w:rFonts w:ascii="Lato" w:hAnsi="Lato"/>
        </w:rPr>
      </w:pPr>
    </w:p>
    <w:p w:rsidR="009E17F9" w:rsidRDefault="009E17F9" w:rsidP="00CA663B">
      <w:pPr>
        <w:jc w:val="both"/>
      </w:pPr>
    </w:p>
    <w:sectPr w:rsidR="009E17F9" w:rsidSect="000D30C3">
      <w:headerReference w:type="default" r:id="rId12"/>
      <w:footerReference w:type="default" r:id="rId13"/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5F" w:rsidRDefault="005A365F">
      <w:r>
        <w:separator/>
      </w:r>
    </w:p>
  </w:endnote>
  <w:endnote w:type="continuationSeparator" w:id="0">
    <w:p w:rsidR="005A365F" w:rsidRDefault="005A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F5" w:rsidRDefault="005A365F" w:rsidP="00614BF5"/>
  <w:p w:rsidR="00614BF5" w:rsidRDefault="005A365F" w:rsidP="00614BF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614BF5" w:rsidRPr="00132658" w:rsidTr="008F327F">
      <w:trPr>
        <w:cantSplit/>
        <w:trHeight w:hRule="exact" w:val="1134"/>
      </w:trPr>
      <w:tc>
        <w:tcPr>
          <w:tcW w:w="7767" w:type="dxa"/>
          <w:vAlign w:val="bottom"/>
        </w:tcPr>
        <w:p w:rsidR="00614BF5" w:rsidRPr="00901430" w:rsidRDefault="00B501B3" w:rsidP="00614BF5">
          <w:pPr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r>
            <w:rPr>
              <w:b/>
              <w:sz w:val="19"/>
              <w:szCs w:val="19"/>
            </w:rPr>
            <w:t>Industry Tourism and Trade</w:t>
          </w:r>
        </w:p>
        <w:p w:rsidR="00614BF5" w:rsidRPr="00CE30CF" w:rsidRDefault="00B501B3" w:rsidP="00614BF5">
          <w:pPr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DE57A2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DE57A2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:rsidR="00614BF5" w:rsidRPr="001E14EB" w:rsidRDefault="00B501B3" w:rsidP="00614BF5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F416117" wp14:editId="5A3662C1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614BF5" w:rsidRDefault="005A365F">
    <w:pPr>
      <w:pStyle w:val="Footer"/>
    </w:pPr>
  </w:p>
  <w:p w:rsidR="00614BF5" w:rsidRDefault="005A3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5F" w:rsidRDefault="005A365F">
      <w:r>
        <w:separator/>
      </w:r>
    </w:p>
  </w:footnote>
  <w:footnote w:type="continuationSeparator" w:id="0">
    <w:p w:rsidR="005A365F" w:rsidRDefault="005A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F5" w:rsidRDefault="00B501B3" w:rsidP="00614BF5">
    <w:pPr>
      <w:pStyle w:val="Header"/>
      <w:jc w:val="right"/>
    </w:pPr>
    <w:r w:rsidRPr="00614BF5">
      <w:rPr>
        <w:rFonts w:ascii="Lato Semibold" w:hAnsi="Lato Semibold"/>
        <w:b/>
        <w:bCs/>
        <w:color w:val="000050"/>
        <w:sz w:val="36"/>
        <w:szCs w:val="36"/>
        <w:lang w:val="en-US"/>
      </w:rPr>
      <w:t>Checklist</w:t>
    </w:r>
  </w:p>
  <w:p w:rsidR="00614BF5" w:rsidRDefault="005A3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0C55"/>
    <w:multiLevelType w:val="hybridMultilevel"/>
    <w:tmpl w:val="885233A6"/>
    <w:lvl w:ilvl="0" w:tplc="0BF4F40E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sz w:val="24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F5AC8"/>
    <w:multiLevelType w:val="hybridMultilevel"/>
    <w:tmpl w:val="F93E83F8"/>
    <w:lvl w:ilvl="0" w:tplc="0C09000D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24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8604C"/>
    <w:multiLevelType w:val="hybridMultilevel"/>
    <w:tmpl w:val="42342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6B"/>
    <w:rsid w:val="003A6F4C"/>
    <w:rsid w:val="004C28F8"/>
    <w:rsid w:val="005A365F"/>
    <w:rsid w:val="00690559"/>
    <w:rsid w:val="00987F6B"/>
    <w:rsid w:val="009E17F9"/>
    <w:rsid w:val="00B501B3"/>
    <w:rsid w:val="00BD6703"/>
    <w:rsid w:val="00C93CE0"/>
    <w:rsid w:val="00CA663B"/>
    <w:rsid w:val="00DE57A2"/>
    <w:rsid w:val="00E33D1D"/>
    <w:rsid w:val="00E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F1E3A-B3D7-4B4C-BCC5-164B81B8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F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F6B"/>
  </w:style>
  <w:style w:type="paragraph" w:styleId="Footer">
    <w:name w:val="footer"/>
    <w:basedOn w:val="Normal"/>
    <w:link w:val="FooterChar"/>
    <w:uiPriority w:val="99"/>
    <w:unhideWhenUsed/>
    <w:rsid w:val="00987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F6B"/>
  </w:style>
  <w:style w:type="character" w:styleId="PageNumber">
    <w:name w:val="page number"/>
    <w:aliases w:val="Page number"/>
    <w:basedOn w:val="DefaultParagraphFont"/>
    <w:uiPriority w:val="8"/>
    <w:rsid w:val="00987F6B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987F6B"/>
    <w:rPr>
      <w:rFonts w:ascii="Lato" w:eastAsia="Calibri" w:hAnsi="Lato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987F6B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s.compliance@nt.gov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ociations.compliance@nt.gov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sociations.compliance@nt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sociations.compliance@n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ociations.compliance@nt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Chantale Hore</dc:creator>
  <cp:keywords/>
  <dc:description/>
  <cp:lastModifiedBy>Nicola Kalmar</cp:lastModifiedBy>
  <cp:revision>2</cp:revision>
  <cp:lastPrinted>2023-02-22T01:22:00Z</cp:lastPrinted>
  <dcterms:created xsi:type="dcterms:W3CDTF">2023-03-20T04:24:00Z</dcterms:created>
  <dcterms:modified xsi:type="dcterms:W3CDTF">2023-03-20T04:24:00Z</dcterms:modified>
</cp:coreProperties>
</file>