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1A" w:rsidRDefault="001B371A" w:rsidP="001B371A">
      <w:pPr>
        <w:tabs>
          <w:tab w:val="left" w:pos="7088"/>
        </w:tabs>
      </w:pPr>
      <w:bookmarkStart w:id="0" w:name="_GoBack"/>
      <w:bookmarkEnd w:id="0"/>
      <w:r w:rsidRPr="00087106">
        <w:rPr>
          <w:b/>
          <w:sz w:val="32"/>
          <w:szCs w:val="32"/>
        </w:rPr>
        <w:t>Guidance Note No:</w:t>
      </w:r>
      <w:r>
        <w:rPr>
          <w:b/>
          <w:sz w:val="32"/>
          <w:szCs w:val="32"/>
        </w:rPr>
        <w:t xml:space="preserve"> </w:t>
      </w:r>
      <w:r w:rsidRPr="00087106">
        <w:rPr>
          <w:b/>
          <w:sz w:val="32"/>
          <w:szCs w:val="32"/>
        </w:rPr>
        <w:t>102/2003</w:t>
      </w:r>
      <w:r w:rsidRPr="001B371A">
        <w:rPr>
          <w:b/>
          <w:sz w:val="32"/>
          <w:szCs w:val="32"/>
        </w:rPr>
        <w:t xml:space="preserve"> </w:t>
      </w:r>
      <w:r>
        <w:rPr>
          <w:b/>
          <w:sz w:val="32"/>
          <w:szCs w:val="32"/>
        </w:rPr>
        <w:tab/>
      </w:r>
      <w:r w:rsidRPr="00087106">
        <w:rPr>
          <w:b/>
          <w:sz w:val="32"/>
          <w:szCs w:val="32"/>
        </w:rPr>
        <w:t>Revision No:</w:t>
      </w:r>
      <w:r w:rsidRPr="001B371A">
        <w:rPr>
          <w:b/>
          <w:sz w:val="32"/>
          <w:szCs w:val="32"/>
        </w:rPr>
        <w:t xml:space="preserve"> </w:t>
      </w:r>
      <w:r w:rsidRPr="00087106">
        <w:rPr>
          <w:b/>
          <w:sz w:val="32"/>
          <w:szCs w:val="32"/>
        </w:rPr>
        <w:t>2</w:t>
      </w:r>
    </w:p>
    <w:p w:rsidR="00087106" w:rsidRPr="001B371A" w:rsidRDefault="00087106" w:rsidP="00087106">
      <w:pPr>
        <w:rPr>
          <w:b/>
          <w:color w:val="C00000"/>
        </w:rPr>
      </w:pPr>
      <w:r w:rsidRPr="001B371A">
        <w:rPr>
          <w:b/>
          <w:color w:val="C00000"/>
        </w:rPr>
        <w:t>Applicable only for persons who have applied before 30/6/2013 under NT legislation</w:t>
      </w:r>
    </w:p>
    <w:p w:rsidR="00087106" w:rsidRPr="00087106" w:rsidRDefault="00087106" w:rsidP="00087106">
      <w:pPr>
        <w:pStyle w:val="Heading1"/>
      </w:pPr>
      <w:r w:rsidRPr="00087106">
        <w:t>Basic engineering duti</w:t>
      </w:r>
      <w:r>
        <w:t>es for the general purpose hand</w:t>
      </w:r>
    </w:p>
    <w:p w:rsidR="00087106" w:rsidRPr="00087106" w:rsidRDefault="00087106" w:rsidP="00087106">
      <w:pPr>
        <w:rPr>
          <w:b/>
        </w:rPr>
      </w:pPr>
      <w:r w:rsidRPr="00087106">
        <w:rPr>
          <w:b/>
        </w:rPr>
        <w:t>Applicable to vessels with safety manning that has the following notation:</w:t>
      </w:r>
    </w:p>
    <w:p w:rsidR="00087106" w:rsidRPr="00087106" w:rsidRDefault="00087106" w:rsidP="00087106">
      <w:pPr>
        <w:rPr>
          <w:sz w:val="18"/>
          <w:szCs w:val="18"/>
        </w:rPr>
      </w:pPr>
      <w:r w:rsidRPr="00087106">
        <w:rPr>
          <w:sz w:val="18"/>
          <w:szCs w:val="18"/>
        </w:rPr>
        <w:t>Note: If the Master holds a valid Marine Engine Driver (Motor) Certificate, a General Purpose Hand may be carried in place of the Engine Driver provided they hold an Elements of Shipboard Safety Certificate and is trained to carry out basic engineering duties as shown on guidance note No. 102/2003.</w:t>
      </w:r>
    </w:p>
    <w:p w:rsidR="00087106" w:rsidRPr="00087106" w:rsidRDefault="00087106" w:rsidP="00087106">
      <w:r w:rsidRPr="00087106">
        <w:t>Basic engineering duties that the General Purpose Hand must be trained to carry out include, but are not limited to, the following: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bottom w:w="6" w:type="dxa"/>
        </w:tblCellMar>
        <w:tblLook w:val="0000" w:firstRow="0" w:lastRow="0" w:firstColumn="0" w:lastColumn="0" w:noHBand="0" w:noVBand="0"/>
        <w:tblDescription w:val="Basic engineering duties that the General Purpose Hand must be trained to carry out"/>
      </w:tblPr>
      <w:tblGrid>
        <w:gridCol w:w="7797"/>
        <w:gridCol w:w="992"/>
        <w:gridCol w:w="1134"/>
      </w:tblGrid>
      <w:tr w:rsidR="00087106" w:rsidRPr="00087106" w:rsidTr="00AD08B2">
        <w:trPr>
          <w:cantSplit/>
          <w:tblHeader/>
        </w:trPr>
        <w:tc>
          <w:tcPr>
            <w:tcW w:w="7797" w:type="dxa"/>
          </w:tcPr>
          <w:p w:rsidR="00087106" w:rsidRPr="00087106" w:rsidRDefault="00377068" w:rsidP="00377068">
            <w:pPr>
              <w:pStyle w:val="NoSpacing"/>
              <w:rPr>
                <w:b/>
                <w:sz w:val="20"/>
              </w:rPr>
            </w:pPr>
            <w:r>
              <w:rPr>
                <w:b/>
                <w:sz w:val="20"/>
              </w:rPr>
              <w:t>E</w:t>
            </w:r>
            <w:r w:rsidRPr="00377068">
              <w:rPr>
                <w:b/>
                <w:sz w:val="20"/>
              </w:rPr>
              <w:t>ngineering duties</w:t>
            </w:r>
          </w:p>
        </w:tc>
        <w:tc>
          <w:tcPr>
            <w:tcW w:w="992" w:type="dxa"/>
          </w:tcPr>
          <w:p w:rsidR="00087106" w:rsidRPr="00087106" w:rsidRDefault="00087106" w:rsidP="00087106">
            <w:pPr>
              <w:pStyle w:val="NoSpacing"/>
              <w:jc w:val="center"/>
              <w:rPr>
                <w:b/>
                <w:sz w:val="20"/>
              </w:rPr>
            </w:pPr>
            <w:r w:rsidRPr="00087106">
              <w:rPr>
                <w:b/>
                <w:sz w:val="20"/>
              </w:rPr>
              <w:t>Inboard</w:t>
            </w:r>
          </w:p>
        </w:tc>
        <w:tc>
          <w:tcPr>
            <w:tcW w:w="1134" w:type="dxa"/>
          </w:tcPr>
          <w:p w:rsidR="00087106" w:rsidRPr="00087106" w:rsidRDefault="00087106" w:rsidP="00087106">
            <w:pPr>
              <w:pStyle w:val="NoSpacing"/>
              <w:jc w:val="center"/>
              <w:rPr>
                <w:b/>
                <w:sz w:val="20"/>
              </w:rPr>
            </w:pPr>
            <w:r w:rsidRPr="00087106">
              <w:rPr>
                <w:b/>
                <w:sz w:val="20"/>
              </w:rPr>
              <w:t>Outboard</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Check lubricating oil levels in main engine and gear box before start-up.</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Check coolant levels before start-up.</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 xml:space="preserve">Check fuel levels and that fuel supply </w:t>
            </w:r>
            <w:proofErr w:type="gramStart"/>
            <w:r w:rsidRPr="00087106">
              <w:rPr>
                <w:sz w:val="20"/>
              </w:rPr>
              <w:t>is</w:t>
            </w:r>
            <w:proofErr w:type="gramEnd"/>
            <w:r w:rsidRPr="00087106">
              <w:rPr>
                <w:sz w:val="20"/>
              </w:rPr>
              <w:t xml:space="preserve"> open before start-up.</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Check that raw water valves are open before start-up.</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Check raw water discharge after start-up.</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Check steering system.</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Check outboard motor tilt.</w:t>
            </w:r>
          </w:p>
        </w:tc>
        <w:tc>
          <w:tcPr>
            <w:tcW w:w="992" w:type="dxa"/>
          </w:tcPr>
          <w:p w:rsidR="00087106" w:rsidRPr="00087106" w:rsidRDefault="00087106" w:rsidP="00087106">
            <w:pPr>
              <w:pStyle w:val="NoSpacing"/>
              <w:jc w:val="center"/>
              <w:rPr>
                <w:sz w:val="20"/>
              </w:rPr>
            </w:pP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Test bilge alarm.</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bilge pump to pump from any compartment.</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auxiliary bilge pump and pump from any compartment.</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fire pump (if fitted) and connect hose to fight fire in any compartment.</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emergency fire pump and connect hose to fight fire in any compartment.</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engine room vent closures.</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engine fan remote stop (if fitted).</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battery shut-offs (if fitted) and check electrolyte levels and terminals</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remote fuel shut-offs.</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Operate fixed fire extinguishing system (if fitted).</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Shut down main engines in an emergency.</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r w:rsidR="00087106" w:rsidRPr="00087106" w:rsidTr="00AD08B2">
        <w:trPr>
          <w:cantSplit/>
        </w:trPr>
        <w:tc>
          <w:tcPr>
            <w:tcW w:w="7797" w:type="dxa"/>
          </w:tcPr>
          <w:p w:rsidR="00087106" w:rsidRPr="00087106" w:rsidRDefault="00087106" w:rsidP="00087106">
            <w:pPr>
              <w:pStyle w:val="NoSpacing"/>
              <w:numPr>
                <w:ilvl w:val="0"/>
                <w:numId w:val="9"/>
              </w:numPr>
              <w:rPr>
                <w:sz w:val="20"/>
              </w:rPr>
            </w:pPr>
            <w:r w:rsidRPr="00087106">
              <w:rPr>
                <w:sz w:val="20"/>
              </w:rPr>
              <w:t>Actions in the event of an engine/ engine room fire.</w:t>
            </w:r>
          </w:p>
        </w:tc>
        <w:tc>
          <w:tcPr>
            <w:tcW w:w="992" w:type="dxa"/>
          </w:tcPr>
          <w:p w:rsidR="00087106" w:rsidRPr="00087106" w:rsidRDefault="00087106" w:rsidP="00087106">
            <w:pPr>
              <w:pStyle w:val="NoSpacing"/>
              <w:jc w:val="center"/>
              <w:rPr>
                <w:sz w:val="20"/>
              </w:rPr>
            </w:pPr>
            <w:r>
              <w:rPr>
                <w:sz w:val="20"/>
              </w:rPr>
              <w:t>Yes</w:t>
            </w:r>
          </w:p>
        </w:tc>
        <w:tc>
          <w:tcPr>
            <w:tcW w:w="1134" w:type="dxa"/>
          </w:tcPr>
          <w:p w:rsidR="00087106" w:rsidRPr="00087106" w:rsidRDefault="00087106" w:rsidP="00087106">
            <w:pPr>
              <w:pStyle w:val="NoSpacing"/>
              <w:jc w:val="center"/>
              <w:rPr>
                <w:sz w:val="20"/>
              </w:rPr>
            </w:pPr>
            <w:r>
              <w:rPr>
                <w:sz w:val="20"/>
              </w:rPr>
              <w:t>Yes</w:t>
            </w:r>
          </w:p>
        </w:tc>
      </w:tr>
    </w:tbl>
    <w:p w:rsidR="00087106" w:rsidRPr="00087106" w:rsidRDefault="00087106" w:rsidP="00087106">
      <w:pPr>
        <w:spacing w:before="200"/>
        <w:rPr>
          <w:sz w:val="18"/>
          <w:szCs w:val="18"/>
        </w:rPr>
      </w:pPr>
      <w:r w:rsidRPr="00087106">
        <w:rPr>
          <w:sz w:val="18"/>
          <w:szCs w:val="18"/>
        </w:rPr>
        <w:t>Depending upon the configuration of the vessel, the General Purpose Hand may be required to receive specific training in other areas.</w:t>
      </w:r>
    </w:p>
    <w:p w:rsidR="00087106" w:rsidRPr="00087106" w:rsidRDefault="00087106" w:rsidP="00087106">
      <w:r w:rsidRPr="00087106">
        <w:t>Signed by:  Sri Srinivas</w:t>
      </w:r>
      <w:r>
        <w:br/>
      </w:r>
      <w:r w:rsidRPr="00087106">
        <w:t>Date Issued:  18 August 2011</w:t>
      </w:r>
    </w:p>
    <w:tbl>
      <w:tblPr>
        <w:tblW w:w="9923" w:type="dxa"/>
        <w:tblInd w:w="108" w:type="dxa"/>
        <w:tblLayout w:type="fixed"/>
        <w:tblLook w:val="0000" w:firstRow="0" w:lastRow="0" w:firstColumn="0" w:lastColumn="0" w:noHBand="0" w:noVBand="0"/>
        <w:tblDescription w:val="Contacts"/>
      </w:tblPr>
      <w:tblGrid>
        <w:gridCol w:w="9923"/>
      </w:tblGrid>
      <w:tr w:rsidR="00087106" w:rsidRPr="00087106" w:rsidTr="00377068">
        <w:trPr>
          <w:cantSplit/>
          <w:tblHeader/>
        </w:trPr>
        <w:tc>
          <w:tcPr>
            <w:tcW w:w="9923" w:type="dxa"/>
            <w:tcBorders>
              <w:top w:val="single" w:sz="18" w:space="0" w:color="auto"/>
            </w:tcBorders>
          </w:tcPr>
          <w:p w:rsidR="00087106" w:rsidRPr="00087106" w:rsidRDefault="00087106" w:rsidP="00087106">
            <w:pPr>
              <w:pStyle w:val="NoSpacing"/>
              <w:jc w:val="center"/>
              <w:rPr>
                <w:b/>
                <w:sz w:val="18"/>
                <w:szCs w:val="18"/>
              </w:rPr>
            </w:pPr>
            <w:r w:rsidRPr="00087106">
              <w:rPr>
                <w:b/>
                <w:sz w:val="18"/>
                <w:szCs w:val="18"/>
              </w:rPr>
              <w:t>For further information contact Marine Safety Branch:</w:t>
            </w:r>
          </w:p>
        </w:tc>
      </w:tr>
      <w:tr w:rsidR="00087106" w:rsidRPr="00087106" w:rsidTr="00377068">
        <w:trPr>
          <w:cantSplit/>
        </w:trPr>
        <w:tc>
          <w:tcPr>
            <w:tcW w:w="9923" w:type="dxa"/>
          </w:tcPr>
          <w:p w:rsidR="00087106" w:rsidRPr="00087106" w:rsidRDefault="00087106" w:rsidP="00087106">
            <w:pPr>
              <w:pStyle w:val="NoSpacing"/>
              <w:jc w:val="center"/>
              <w:rPr>
                <w:sz w:val="18"/>
                <w:szCs w:val="18"/>
              </w:rPr>
            </w:pPr>
            <w:r w:rsidRPr="00087106">
              <w:rPr>
                <w:sz w:val="18"/>
                <w:szCs w:val="18"/>
              </w:rPr>
              <w:t xml:space="preserve">2nd Floor, Energy House, 18-20 </w:t>
            </w:r>
            <w:proofErr w:type="spellStart"/>
            <w:r w:rsidRPr="00087106">
              <w:rPr>
                <w:sz w:val="18"/>
                <w:szCs w:val="18"/>
              </w:rPr>
              <w:t>Cavenagh</w:t>
            </w:r>
            <w:proofErr w:type="spellEnd"/>
            <w:r w:rsidRPr="00087106">
              <w:rPr>
                <w:sz w:val="18"/>
                <w:szCs w:val="18"/>
              </w:rPr>
              <w:t>, Darwin   NT  0800, GPO Box 2520, Darwin  NT  0801</w:t>
            </w:r>
          </w:p>
        </w:tc>
      </w:tr>
      <w:tr w:rsidR="00087106" w:rsidRPr="00087106" w:rsidTr="00377068">
        <w:trPr>
          <w:cantSplit/>
        </w:trPr>
        <w:tc>
          <w:tcPr>
            <w:tcW w:w="9923" w:type="dxa"/>
          </w:tcPr>
          <w:p w:rsidR="00087106" w:rsidRPr="00087106" w:rsidRDefault="00087106" w:rsidP="00087106">
            <w:pPr>
              <w:pStyle w:val="NoSpacing"/>
              <w:jc w:val="center"/>
              <w:rPr>
                <w:sz w:val="18"/>
                <w:szCs w:val="18"/>
              </w:rPr>
            </w:pPr>
            <w:r w:rsidRPr="00087106">
              <w:rPr>
                <w:sz w:val="18"/>
                <w:szCs w:val="18"/>
              </w:rPr>
              <w:t>Telephone:  08 8924 7100, Facsimile: 08 8924 7009</w:t>
            </w:r>
          </w:p>
        </w:tc>
      </w:tr>
      <w:tr w:rsidR="00087106" w:rsidRPr="00087106" w:rsidTr="00377068">
        <w:trPr>
          <w:cantSplit/>
        </w:trPr>
        <w:tc>
          <w:tcPr>
            <w:tcW w:w="9923" w:type="dxa"/>
            <w:tcBorders>
              <w:bottom w:val="single" w:sz="18" w:space="0" w:color="auto"/>
            </w:tcBorders>
          </w:tcPr>
          <w:p w:rsidR="00087106" w:rsidRPr="00087106" w:rsidRDefault="00087106" w:rsidP="00087106">
            <w:pPr>
              <w:pStyle w:val="NoSpacing"/>
              <w:jc w:val="center"/>
              <w:rPr>
                <w:sz w:val="18"/>
                <w:szCs w:val="18"/>
              </w:rPr>
            </w:pPr>
            <w:r w:rsidRPr="00087106">
              <w:rPr>
                <w:sz w:val="18"/>
                <w:szCs w:val="18"/>
              </w:rPr>
              <w:t>Email: marinesafety@nt.gov.au</w:t>
            </w:r>
          </w:p>
        </w:tc>
      </w:tr>
    </w:tbl>
    <w:p w:rsidR="00027DB8" w:rsidRPr="00087106" w:rsidRDefault="00087106" w:rsidP="00087106">
      <w:pPr>
        <w:pStyle w:val="NoSpacing"/>
        <w:spacing w:before="200"/>
        <w:rPr>
          <w:sz w:val="18"/>
          <w:szCs w:val="18"/>
        </w:rPr>
      </w:pPr>
      <w:r w:rsidRPr="00087106">
        <w:rPr>
          <w:b/>
          <w:sz w:val="18"/>
          <w:szCs w:val="18"/>
        </w:rPr>
        <w:t xml:space="preserve">Disclaimer: </w:t>
      </w:r>
      <w:r w:rsidRPr="00087106">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sectPr w:rsidR="00027DB8" w:rsidRPr="00087106"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06" w:rsidRDefault="00087106" w:rsidP="00293A72">
      <w:r>
        <w:separator/>
      </w:r>
    </w:p>
  </w:endnote>
  <w:endnote w:type="continuationSeparator" w:id="0">
    <w:p w:rsidR="00087106" w:rsidRDefault="0008710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087106">
      <w:rPr>
        <w:sz w:val="18"/>
        <w:szCs w:val="18"/>
      </w:rPr>
      <w:t>18/08/2011</w:t>
    </w:r>
  </w:p>
  <w:p w:rsidR="00EB77F9" w:rsidRPr="00FD51B9" w:rsidRDefault="00EB77F9" w:rsidP="00EB77F9">
    <w:pPr>
      <w:pStyle w:val="Footer"/>
      <w:rPr>
        <w:rFonts w:cs="Times New Roman"/>
        <w:sz w:val="18"/>
        <w:szCs w:val="18"/>
      </w:rPr>
    </w:pPr>
    <w:r>
      <w:rPr>
        <w:rFonts w:cs="Times New Roman"/>
        <w:szCs w:val="20"/>
      </w:rPr>
      <w:t xml:space="preserve">Department of </w:t>
    </w:r>
    <w:r w:rsidR="00087106">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B371A">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B371A">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087106">
      <w:rPr>
        <w:sz w:val="18"/>
        <w:szCs w:val="18"/>
      </w:rPr>
      <w:t>18/08/2011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087106">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F93CD3">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F93CD3">
          <w:rPr>
            <w:bCs/>
            <w:noProof/>
            <w:sz w:val="18"/>
            <w:szCs w:val="18"/>
          </w:rPr>
          <w:t>1</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06" w:rsidRDefault="00087106" w:rsidP="00293A72">
      <w:r>
        <w:separator/>
      </w:r>
    </w:p>
  </w:footnote>
  <w:footnote w:type="continuationSeparator" w:id="0">
    <w:p w:rsidR="00087106" w:rsidRDefault="0008710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AD08B2" w:rsidP="00C62099">
    <w:pPr>
      <w:pStyle w:val="Header"/>
      <w:tabs>
        <w:tab w:val="clear" w:pos="4513"/>
        <w:tab w:val="clear" w:pos="9026"/>
      </w:tabs>
      <w:ind w:right="-285"/>
    </w:pPr>
    <w:fldSimple w:instr=" TITLE  &quot;Basic Engineering Duties for the General Purpose Hand&quot;  \* MERGEFORMAT ">
      <w:r w:rsidR="00087106">
        <w:t>Basic Engineering Duties for the General Purpose Hand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D72246"/>
    <w:multiLevelType w:val="hybridMultilevel"/>
    <w:tmpl w:val="AB14C03A"/>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64F31DB6"/>
    <w:multiLevelType w:val="hybridMultilevel"/>
    <w:tmpl w:val="1CBCA8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4CC12C6"/>
    <w:multiLevelType w:val="singleLevel"/>
    <w:tmpl w:val="0C09000F"/>
    <w:lvl w:ilvl="0">
      <w:start w:val="1"/>
      <w:numFmt w:val="decimal"/>
      <w:lvlText w:val="%1."/>
      <w:lvlJc w:val="left"/>
      <w:pPr>
        <w:tabs>
          <w:tab w:val="num" w:pos="360"/>
        </w:tabs>
        <w:ind w:left="360" w:hanging="36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06"/>
    <w:rsid w:val="00027DB8"/>
    <w:rsid w:val="00051F45"/>
    <w:rsid w:val="0007259C"/>
    <w:rsid w:val="00086A5F"/>
    <w:rsid w:val="00087106"/>
    <w:rsid w:val="00117743"/>
    <w:rsid w:val="00117F5B"/>
    <w:rsid w:val="00164A3E"/>
    <w:rsid w:val="001A2B7F"/>
    <w:rsid w:val="001B2B6C"/>
    <w:rsid w:val="001B371A"/>
    <w:rsid w:val="00247343"/>
    <w:rsid w:val="00274D4B"/>
    <w:rsid w:val="00293A72"/>
    <w:rsid w:val="002A30C3"/>
    <w:rsid w:val="002D3A57"/>
    <w:rsid w:val="002F2885"/>
    <w:rsid w:val="00342283"/>
    <w:rsid w:val="003504FD"/>
    <w:rsid w:val="00350881"/>
    <w:rsid w:val="00357D55"/>
    <w:rsid w:val="00371DC7"/>
    <w:rsid w:val="00377068"/>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50F5B"/>
    <w:rsid w:val="006719EA"/>
    <w:rsid w:val="00722DDB"/>
    <w:rsid w:val="007408F5"/>
    <w:rsid w:val="00783A57"/>
    <w:rsid w:val="007B03F5"/>
    <w:rsid w:val="00803A70"/>
    <w:rsid w:val="008313C4"/>
    <w:rsid w:val="00861DC3"/>
    <w:rsid w:val="00885E9B"/>
    <w:rsid w:val="009616DF"/>
    <w:rsid w:val="00977919"/>
    <w:rsid w:val="009B1913"/>
    <w:rsid w:val="009B6657"/>
    <w:rsid w:val="009E175D"/>
    <w:rsid w:val="00A10655"/>
    <w:rsid w:val="00A25193"/>
    <w:rsid w:val="00A3739D"/>
    <w:rsid w:val="00A37DDA"/>
    <w:rsid w:val="00A925EC"/>
    <w:rsid w:val="00AD08B2"/>
    <w:rsid w:val="00B12A0D"/>
    <w:rsid w:val="00B14CD6"/>
    <w:rsid w:val="00B20E8B"/>
    <w:rsid w:val="00B343CC"/>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77F9"/>
    <w:rsid w:val="00F25924"/>
    <w:rsid w:val="00F93CD3"/>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06"/>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08710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087106"/>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087106"/>
    <w:pPr>
      <w:spacing w:after="0"/>
    </w:pPr>
    <w:rPr>
      <w:color w:val="000000"/>
      <w:sz w:val="24"/>
      <w:szCs w:val="20"/>
    </w:rPr>
  </w:style>
  <w:style w:type="character" w:styleId="Hyperlink">
    <w:name w:val="Hyperlink"/>
    <w:basedOn w:val="DefaultParagraphFont"/>
    <w:rsid w:val="00087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06"/>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08710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087106"/>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087106"/>
    <w:pPr>
      <w:spacing w:after="0"/>
    </w:pPr>
    <w:rPr>
      <w:color w:val="000000"/>
      <w:sz w:val="24"/>
      <w:szCs w:val="20"/>
    </w:rPr>
  </w:style>
  <w:style w:type="character" w:styleId="Hyperlink">
    <w:name w:val="Hyperlink"/>
    <w:basedOn w:val="DefaultParagraphFont"/>
    <w:rsid w:val="00087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B008-CD6D-4517-9109-364A5A97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14</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Basic Engineering Duties for the General Purpose Hand</vt:lpstr>
    </vt:vector>
  </TitlesOfParts>
  <Company>Northern Territory Government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Basic engineering duties for the general purpose hand</dc:title>
  <dc:creator>Northern Territory Government</dc:creator>
  <cp:lastModifiedBy>Jiraporn Homngam</cp:lastModifiedBy>
  <cp:revision>5</cp:revision>
  <dcterms:created xsi:type="dcterms:W3CDTF">2015-03-10T06:35:00Z</dcterms:created>
  <dcterms:modified xsi:type="dcterms:W3CDTF">2015-04-08T05:26:00Z</dcterms:modified>
</cp:coreProperties>
</file>