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9B19BA" w:rsidP="00A042A9">
      <w:pPr>
        <w:pStyle w:val="NTCrest"/>
      </w:pPr>
      <w:bookmarkStart w:id="0" w:name="_GoBack"/>
      <w:bookmarkEnd w:id="0"/>
      <w:r>
        <w:drawing>
          <wp:inline distT="0" distB="0" distL="0" distR="0" wp14:anchorId="177E6E33" wp14:editId="68565438">
            <wp:extent cx="1400175" cy="109537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D10DF6">
      <w:pPr>
        <w:pStyle w:val="Title"/>
        <w:keepNext w:val="0"/>
      </w:pPr>
      <w:r w:rsidRPr="00B23BEB">
        <w:t>Government Gazette</w:t>
      </w:r>
    </w:p>
    <w:p w:rsidR="007A7CDD" w:rsidRPr="009F4319" w:rsidRDefault="007A7CDD" w:rsidP="009F4319">
      <w:pPr>
        <w:pStyle w:val="ISSNno"/>
      </w:pPr>
      <w:r w:rsidRPr="009F4319">
        <w:t>ISSN-</w:t>
      </w:r>
      <w:r w:rsidR="0035606A">
        <w:t>0157-83</w:t>
      </w:r>
      <w:r w:rsidR="001A71E6">
        <w:t>3X</w:t>
      </w:r>
    </w:p>
    <w:p w:rsidR="0087054C" w:rsidRPr="0087054C" w:rsidRDefault="00175B2D" w:rsidP="00871621">
      <w:pPr>
        <w:pStyle w:val="Gazettenoanddate"/>
        <w:tabs>
          <w:tab w:val="left" w:pos="7230"/>
        </w:tabs>
      </w:pPr>
      <w:bookmarkStart w:id="1" w:name="SenderStreetAddress"/>
      <w:bookmarkStart w:id="2" w:name="SenderStreetAddress1"/>
      <w:bookmarkStart w:id="3" w:name="RecipientName"/>
      <w:bookmarkStart w:id="4" w:name="Date"/>
      <w:bookmarkEnd w:id="1"/>
      <w:bookmarkEnd w:id="2"/>
      <w:bookmarkEnd w:id="3"/>
      <w:bookmarkEnd w:id="4"/>
      <w:r>
        <w:t>No. S</w:t>
      </w:r>
      <w:r w:rsidR="005322E0">
        <w:t>70</w:t>
      </w:r>
      <w:r w:rsidR="003330A9">
        <w:tab/>
        <w:t>20</w:t>
      </w:r>
      <w:r w:rsidR="00E9588F">
        <w:t xml:space="preserve"> July</w:t>
      </w:r>
      <w:r>
        <w:t xml:space="preserve"> 2016</w:t>
      </w:r>
    </w:p>
    <w:p w:rsidR="00086391" w:rsidRPr="00086391" w:rsidRDefault="003B4736" w:rsidP="003B4736">
      <w:pPr>
        <w:spacing w:before="480" w:after="0" w:line="360" w:lineRule="auto"/>
        <w:jc w:val="center"/>
        <w:rPr>
          <w:rFonts w:cs="Helvetica"/>
          <w:szCs w:val="24"/>
        </w:rPr>
      </w:pPr>
      <w:r w:rsidRPr="00086391">
        <w:rPr>
          <w:rFonts w:cs="Helvetica"/>
          <w:szCs w:val="24"/>
        </w:rPr>
        <w:t>Northern Territory of Australia</w:t>
      </w:r>
    </w:p>
    <w:p w:rsidR="00086391" w:rsidRPr="00086391" w:rsidRDefault="00086391" w:rsidP="003B4736">
      <w:pPr>
        <w:spacing w:before="0" w:after="0" w:line="360" w:lineRule="auto"/>
        <w:jc w:val="center"/>
        <w:rPr>
          <w:rFonts w:cs="Helvetica"/>
          <w:i/>
          <w:szCs w:val="24"/>
        </w:rPr>
      </w:pPr>
      <w:r w:rsidRPr="00086391">
        <w:rPr>
          <w:rFonts w:cs="Helvetica"/>
          <w:i/>
          <w:szCs w:val="24"/>
        </w:rPr>
        <w:t xml:space="preserve">Motor Accidents (Compensation) Commission Act </w:t>
      </w:r>
    </w:p>
    <w:p w:rsidR="00086391" w:rsidRPr="00086391" w:rsidRDefault="00086391" w:rsidP="003B4736">
      <w:pPr>
        <w:pStyle w:val="NormalLetter"/>
        <w:spacing w:before="0" w:after="0" w:line="360" w:lineRule="auto"/>
        <w:jc w:val="center"/>
        <w:rPr>
          <w:rFonts w:ascii="Helvetica" w:hAnsi="Helvetica" w:cs="Helvetica"/>
          <w:szCs w:val="24"/>
        </w:rPr>
      </w:pPr>
      <w:r w:rsidRPr="00086391">
        <w:rPr>
          <w:rFonts w:ascii="Helvetica" w:hAnsi="Helvetica" w:cs="Helvetica"/>
          <w:i/>
          <w:szCs w:val="24"/>
        </w:rPr>
        <w:t>Treasurer Determination 1/2016</w:t>
      </w:r>
    </w:p>
    <w:p w:rsidR="00086391" w:rsidRPr="00086391" w:rsidRDefault="00086391" w:rsidP="00086391">
      <w:pPr>
        <w:pStyle w:val="NormalLetter"/>
        <w:rPr>
          <w:rFonts w:ascii="Helvetica" w:hAnsi="Helvetica" w:cs="Helvetica"/>
          <w:szCs w:val="24"/>
        </w:rPr>
      </w:pPr>
      <w:r w:rsidRPr="00086391">
        <w:rPr>
          <w:rFonts w:ascii="Helvetica" w:hAnsi="Helvetica" w:cs="Helvetica"/>
          <w:szCs w:val="24"/>
        </w:rPr>
        <w:t xml:space="preserve">I, David William Tollner, the Treasurer, pursuant to section 25 of the </w:t>
      </w:r>
      <w:r w:rsidRPr="00086391">
        <w:rPr>
          <w:rFonts w:ascii="Helvetica" w:hAnsi="Helvetica" w:cs="Helvetica"/>
          <w:i/>
          <w:szCs w:val="24"/>
        </w:rPr>
        <w:t>Motor</w:t>
      </w:r>
      <w:r w:rsidR="003B4736">
        <w:rPr>
          <w:rFonts w:ascii="Helvetica" w:hAnsi="Helvetica" w:cs="Helvetica"/>
          <w:i/>
          <w:szCs w:val="24"/>
        </w:rPr>
        <w:t> </w:t>
      </w:r>
      <w:r w:rsidRPr="00086391">
        <w:rPr>
          <w:rFonts w:ascii="Helvetica" w:hAnsi="Helvetica" w:cs="Helvetica"/>
          <w:i/>
          <w:szCs w:val="24"/>
        </w:rPr>
        <w:t>Accidents (Compensation) Commission Act 2014</w:t>
      </w:r>
      <w:r w:rsidRPr="00086391">
        <w:rPr>
          <w:rFonts w:ascii="Helvetica" w:hAnsi="Helvetica" w:cs="Helvetica"/>
          <w:szCs w:val="24"/>
        </w:rPr>
        <w:t>, make the following determination.</w:t>
      </w:r>
    </w:p>
    <w:p w:rsidR="00086391" w:rsidRPr="00086391" w:rsidRDefault="003B4736" w:rsidP="00086391">
      <w:pPr>
        <w:pStyle w:val="NormalLetter"/>
        <w:rPr>
          <w:rFonts w:ascii="Helvetica" w:hAnsi="Helvetica" w:cs="Helvetica"/>
          <w:szCs w:val="24"/>
        </w:rPr>
      </w:pPr>
      <w:r>
        <w:rPr>
          <w:rFonts w:ascii="Helvetica" w:hAnsi="Helvetica" w:cs="Helvetica"/>
          <w:szCs w:val="24"/>
        </w:rPr>
        <w:t xml:space="preserve">Dated 11 July </w:t>
      </w:r>
      <w:r w:rsidR="00086391" w:rsidRPr="00086391">
        <w:rPr>
          <w:rFonts w:ascii="Helvetica" w:hAnsi="Helvetica" w:cs="Helvetica"/>
          <w:szCs w:val="24"/>
        </w:rPr>
        <w:t>2016</w:t>
      </w:r>
    </w:p>
    <w:p w:rsidR="00086391" w:rsidRPr="00086391" w:rsidRDefault="003B4736" w:rsidP="003B4736">
      <w:pPr>
        <w:pStyle w:val="NormalLetter"/>
        <w:spacing w:before="240" w:after="0"/>
        <w:jc w:val="right"/>
        <w:rPr>
          <w:rFonts w:ascii="Helvetica" w:hAnsi="Helvetica" w:cs="Helvetica"/>
          <w:szCs w:val="24"/>
        </w:rPr>
      </w:pPr>
      <w:r>
        <w:rPr>
          <w:rFonts w:ascii="Helvetica" w:hAnsi="Helvetica" w:cs="Helvetica"/>
          <w:szCs w:val="24"/>
        </w:rPr>
        <w:t>D. W. Tollner</w:t>
      </w:r>
    </w:p>
    <w:p w:rsidR="00086391" w:rsidRDefault="00DF1B70" w:rsidP="00DF1B70">
      <w:pPr>
        <w:pStyle w:val="NormalLetter"/>
        <w:spacing w:before="0"/>
        <w:jc w:val="right"/>
        <w:rPr>
          <w:rFonts w:ascii="Helvetica" w:hAnsi="Helvetica" w:cs="Helvetica"/>
          <w:szCs w:val="24"/>
        </w:rPr>
      </w:pPr>
      <w:r>
        <w:rPr>
          <w:rFonts w:ascii="Helvetica" w:hAnsi="Helvetica" w:cs="Helvetica"/>
          <w:szCs w:val="24"/>
        </w:rPr>
        <w:t>Treasurer</w:t>
      </w:r>
    </w:p>
    <w:p w:rsidR="00DF1B70" w:rsidRPr="00DF1B70" w:rsidRDefault="00DF1B70" w:rsidP="00DF1B70">
      <w:pPr>
        <w:pStyle w:val="NormalLetter"/>
        <w:spacing w:before="0"/>
        <w:jc w:val="center"/>
        <w:rPr>
          <w:rFonts w:ascii="Helvetica" w:hAnsi="Helvetica" w:cs="Helvetica"/>
          <w:szCs w:val="24"/>
        </w:rPr>
      </w:pPr>
      <w:r>
        <w:rPr>
          <w:rFonts w:ascii="Helvetica" w:hAnsi="Helvetica" w:cs="Helvetica"/>
          <w:szCs w:val="24"/>
        </w:rPr>
        <w:t>___________________________</w:t>
      </w:r>
    </w:p>
    <w:p w:rsidR="00086391" w:rsidRPr="00086391" w:rsidRDefault="00DF1B70" w:rsidP="00DF1B70">
      <w:pPr>
        <w:pageBreakBefore/>
        <w:spacing w:before="120" w:after="120"/>
        <w:jc w:val="center"/>
        <w:rPr>
          <w:rFonts w:cs="Helvetica"/>
          <w:szCs w:val="24"/>
        </w:rPr>
      </w:pPr>
      <w:r w:rsidRPr="00086391">
        <w:rPr>
          <w:rFonts w:cs="Helvetica"/>
          <w:szCs w:val="24"/>
        </w:rPr>
        <w:lastRenderedPageBreak/>
        <w:t>Northern Territory of Australia</w:t>
      </w:r>
    </w:p>
    <w:p w:rsidR="00086391" w:rsidRPr="00086391" w:rsidRDefault="00DF1B70" w:rsidP="00086391">
      <w:pPr>
        <w:spacing w:before="120" w:after="120"/>
        <w:jc w:val="center"/>
        <w:rPr>
          <w:rFonts w:cs="Helvetica"/>
          <w:szCs w:val="24"/>
        </w:rPr>
      </w:pPr>
      <w:r w:rsidRPr="00086391">
        <w:rPr>
          <w:rFonts w:cs="Helvetica"/>
          <w:szCs w:val="24"/>
        </w:rPr>
        <w:t>Treasurer Determination 1/2016</w:t>
      </w:r>
    </w:p>
    <w:p w:rsidR="00086391" w:rsidRPr="00086391" w:rsidRDefault="00086391" w:rsidP="00E011D2">
      <w:pPr>
        <w:pStyle w:val="Heading1"/>
        <w:widowControl/>
        <w:numPr>
          <w:ilvl w:val="0"/>
          <w:numId w:val="9"/>
        </w:numPr>
        <w:spacing w:before="240" w:after="240" w:line="240" w:lineRule="atLeast"/>
        <w:rPr>
          <w:rFonts w:cs="Helvetica"/>
          <w:sz w:val="24"/>
          <w:szCs w:val="24"/>
        </w:rPr>
      </w:pPr>
      <w:r w:rsidRPr="00086391">
        <w:rPr>
          <w:rFonts w:cs="Helvetica"/>
          <w:sz w:val="24"/>
          <w:szCs w:val="24"/>
        </w:rPr>
        <w:t>Application and Interpretation</w:t>
      </w:r>
    </w:p>
    <w:p w:rsidR="00086391" w:rsidRPr="00086391" w:rsidRDefault="00086391" w:rsidP="00E011D2">
      <w:pPr>
        <w:pStyle w:val="Heading2"/>
        <w:widowControl/>
        <w:numPr>
          <w:ilvl w:val="1"/>
          <w:numId w:val="9"/>
        </w:numPr>
        <w:spacing w:before="0" w:after="240" w:line="240" w:lineRule="atLeast"/>
        <w:jc w:val="both"/>
        <w:rPr>
          <w:rFonts w:cs="Helvetica"/>
          <w:sz w:val="24"/>
          <w:szCs w:val="24"/>
        </w:rPr>
      </w:pPr>
      <w:r w:rsidRPr="00086391">
        <w:rPr>
          <w:rFonts w:cs="Helvetica"/>
          <w:sz w:val="24"/>
          <w:szCs w:val="24"/>
        </w:rPr>
        <w:t>The provisions of this Determination apply with effect immediately.</w:t>
      </w:r>
    </w:p>
    <w:p w:rsidR="00086391" w:rsidRPr="00086391" w:rsidRDefault="00086391" w:rsidP="00E011D2">
      <w:pPr>
        <w:pStyle w:val="Heading2"/>
        <w:widowControl/>
        <w:numPr>
          <w:ilvl w:val="1"/>
          <w:numId w:val="10"/>
        </w:numPr>
        <w:spacing w:before="0" w:after="240" w:line="240" w:lineRule="atLeast"/>
        <w:jc w:val="both"/>
        <w:rPr>
          <w:rFonts w:cs="Helvetica"/>
          <w:sz w:val="24"/>
          <w:szCs w:val="24"/>
        </w:rPr>
      </w:pPr>
      <w:r w:rsidRPr="00086391">
        <w:rPr>
          <w:rFonts w:cs="Helvetica"/>
          <w:sz w:val="24"/>
          <w:szCs w:val="24"/>
        </w:rPr>
        <w:t xml:space="preserve">This Determination has been prepared by the Treasurer following consultation with the Motor Accidents (Compensation) Commission. </w:t>
      </w:r>
    </w:p>
    <w:p w:rsidR="00086391" w:rsidRPr="00086391" w:rsidRDefault="00086391" w:rsidP="00E011D2">
      <w:pPr>
        <w:pStyle w:val="Heading2"/>
        <w:widowControl/>
        <w:numPr>
          <w:ilvl w:val="1"/>
          <w:numId w:val="10"/>
        </w:numPr>
        <w:spacing w:before="0" w:after="240" w:line="240" w:lineRule="atLeast"/>
        <w:jc w:val="both"/>
        <w:rPr>
          <w:rFonts w:cs="Helvetica"/>
          <w:sz w:val="24"/>
          <w:szCs w:val="24"/>
        </w:rPr>
      </w:pPr>
      <w:r w:rsidRPr="00086391">
        <w:rPr>
          <w:rFonts w:cs="Helvetica"/>
          <w:sz w:val="24"/>
          <w:szCs w:val="24"/>
        </w:rPr>
        <w:t>Territory Insurance Office Determination 1/2014 will cease to have effect on and from the commencement of this Determination.</w:t>
      </w:r>
    </w:p>
    <w:p w:rsidR="00086391" w:rsidRPr="00086391" w:rsidRDefault="00086391" w:rsidP="00E011D2">
      <w:pPr>
        <w:pStyle w:val="Heading2"/>
        <w:widowControl/>
        <w:numPr>
          <w:ilvl w:val="1"/>
          <w:numId w:val="10"/>
        </w:numPr>
        <w:spacing w:before="0" w:after="240" w:line="240" w:lineRule="atLeast"/>
        <w:jc w:val="both"/>
        <w:rPr>
          <w:rFonts w:cs="Helvetica"/>
          <w:sz w:val="24"/>
          <w:szCs w:val="24"/>
        </w:rPr>
      </w:pPr>
      <w:r w:rsidRPr="00086391">
        <w:rPr>
          <w:rFonts w:cs="Helvetica"/>
          <w:sz w:val="24"/>
          <w:szCs w:val="24"/>
        </w:rPr>
        <w:t>In this Determination:</w:t>
      </w:r>
    </w:p>
    <w:p w:rsidR="00086391" w:rsidRPr="00086391" w:rsidRDefault="00086391" w:rsidP="00486B48">
      <w:pPr>
        <w:pStyle w:val="BodyText"/>
        <w:spacing w:line="360" w:lineRule="auto"/>
        <w:ind w:left="924"/>
        <w:jc w:val="both"/>
        <w:rPr>
          <w:rFonts w:ascii="Helvetica" w:hAnsi="Helvetica" w:cs="Helvetica"/>
          <w:b/>
          <w:sz w:val="24"/>
          <w:szCs w:val="24"/>
        </w:rPr>
      </w:pPr>
      <w:r w:rsidRPr="00086391">
        <w:rPr>
          <w:rFonts w:ascii="Helvetica" w:hAnsi="Helvetica" w:cs="Helvetica"/>
          <w:sz w:val="24"/>
          <w:szCs w:val="24"/>
        </w:rPr>
        <w:t xml:space="preserve">“Act” means the </w:t>
      </w:r>
      <w:r w:rsidRPr="00486B48">
        <w:rPr>
          <w:rFonts w:ascii="Helvetica" w:hAnsi="Helvetica" w:cs="Helvetica"/>
          <w:i/>
          <w:sz w:val="24"/>
          <w:szCs w:val="24"/>
        </w:rPr>
        <w:t>Motor Accidents (Compensation) Commission Act 2014</w:t>
      </w:r>
      <w:r w:rsidRPr="00086391">
        <w:rPr>
          <w:rFonts w:ascii="Helvetica" w:hAnsi="Helvetica" w:cs="Helvetica"/>
          <w:sz w:val="24"/>
          <w:szCs w:val="24"/>
        </w:rPr>
        <w:t>.</w:t>
      </w:r>
    </w:p>
    <w:p w:rsidR="00086391" w:rsidRPr="00086391" w:rsidRDefault="00086391" w:rsidP="00486B48">
      <w:pPr>
        <w:pStyle w:val="BodyText"/>
        <w:spacing w:line="360" w:lineRule="auto"/>
        <w:ind w:left="924"/>
        <w:jc w:val="both"/>
        <w:rPr>
          <w:rFonts w:ascii="Helvetica" w:hAnsi="Helvetica" w:cs="Helvetica"/>
          <w:sz w:val="24"/>
          <w:szCs w:val="24"/>
        </w:rPr>
      </w:pPr>
      <w:r w:rsidRPr="00086391">
        <w:rPr>
          <w:rFonts w:ascii="Helvetica" w:hAnsi="Helvetica" w:cs="Helvetica"/>
          <w:sz w:val="24"/>
          <w:szCs w:val="24"/>
        </w:rPr>
        <w:t>“ADI” means an Approved Deposit-taking Institution</w:t>
      </w:r>
    </w:p>
    <w:p w:rsidR="00086391" w:rsidRPr="00086391" w:rsidRDefault="00086391" w:rsidP="00486B48">
      <w:pPr>
        <w:pStyle w:val="BodyText"/>
        <w:spacing w:line="360" w:lineRule="auto"/>
        <w:ind w:left="924"/>
        <w:jc w:val="both"/>
        <w:rPr>
          <w:rFonts w:ascii="Helvetica" w:hAnsi="Helvetica" w:cs="Helvetica"/>
          <w:sz w:val="24"/>
          <w:szCs w:val="24"/>
        </w:rPr>
      </w:pPr>
      <w:r w:rsidRPr="00086391">
        <w:rPr>
          <w:rFonts w:ascii="Helvetica" w:hAnsi="Helvetica" w:cs="Helvetica"/>
          <w:sz w:val="24"/>
          <w:szCs w:val="24"/>
        </w:rPr>
        <w:t>“APRA” means the Australian Prudential Regulation Authority.</w:t>
      </w:r>
    </w:p>
    <w:p w:rsidR="00086391" w:rsidRPr="00086391" w:rsidRDefault="00086391" w:rsidP="00486B48">
      <w:pPr>
        <w:pStyle w:val="BodyText"/>
        <w:spacing w:line="360" w:lineRule="auto"/>
        <w:ind w:left="924"/>
        <w:jc w:val="both"/>
        <w:rPr>
          <w:rFonts w:ascii="Helvetica" w:hAnsi="Helvetica" w:cs="Helvetica"/>
          <w:sz w:val="24"/>
          <w:szCs w:val="24"/>
        </w:rPr>
      </w:pPr>
      <w:r w:rsidRPr="00086391">
        <w:rPr>
          <w:rFonts w:ascii="Helvetica" w:hAnsi="Helvetica" w:cs="Helvetica"/>
          <w:sz w:val="24"/>
          <w:szCs w:val="24"/>
        </w:rPr>
        <w:t xml:space="preserve">“APRA Standards” means the Prudential Standards applied by APRA under the </w:t>
      </w:r>
      <w:r w:rsidRPr="00086391">
        <w:rPr>
          <w:rFonts w:ascii="Helvetica" w:hAnsi="Helvetica" w:cs="Helvetica"/>
          <w:i/>
          <w:sz w:val="24"/>
          <w:szCs w:val="24"/>
        </w:rPr>
        <w:t>Insurance Act 1973</w:t>
      </w:r>
      <w:r w:rsidRPr="00086391">
        <w:rPr>
          <w:rFonts w:ascii="Helvetica" w:hAnsi="Helvetica" w:cs="Helvetica"/>
          <w:sz w:val="24"/>
          <w:szCs w:val="24"/>
        </w:rPr>
        <w:t xml:space="preserve"> and the </w:t>
      </w:r>
      <w:r w:rsidRPr="00086391">
        <w:rPr>
          <w:rFonts w:ascii="Helvetica" w:hAnsi="Helvetica" w:cs="Helvetica"/>
          <w:i/>
          <w:sz w:val="24"/>
          <w:szCs w:val="24"/>
        </w:rPr>
        <w:t>Banking Act 1959</w:t>
      </w:r>
      <w:r w:rsidRPr="00086391">
        <w:rPr>
          <w:rFonts w:ascii="Helvetica" w:hAnsi="Helvetica" w:cs="Helvetica"/>
          <w:sz w:val="24"/>
          <w:szCs w:val="24"/>
        </w:rPr>
        <w:t xml:space="preserve"> as are amended and current from time to time.</w:t>
      </w:r>
    </w:p>
    <w:p w:rsidR="00086391" w:rsidRPr="00086391" w:rsidRDefault="00086391" w:rsidP="00486B48">
      <w:pPr>
        <w:pStyle w:val="BodyText"/>
        <w:spacing w:line="360" w:lineRule="auto"/>
        <w:ind w:left="924"/>
        <w:jc w:val="both"/>
        <w:rPr>
          <w:rFonts w:ascii="Helvetica" w:hAnsi="Helvetica" w:cs="Helvetica"/>
          <w:sz w:val="24"/>
          <w:szCs w:val="24"/>
        </w:rPr>
      </w:pPr>
      <w:r w:rsidRPr="00086391">
        <w:rPr>
          <w:rFonts w:ascii="Helvetica" w:hAnsi="Helvetica" w:cs="Helvetica"/>
          <w:sz w:val="24"/>
          <w:szCs w:val="24"/>
        </w:rPr>
        <w:t>“Commission” means the Motor Accidents (Compensation) Commission.</w:t>
      </w:r>
    </w:p>
    <w:p w:rsidR="00086391" w:rsidRPr="00086391" w:rsidRDefault="00086391" w:rsidP="00486B48">
      <w:pPr>
        <w:pStyle w:val="BodyText"/>
        <w:spacing w:line="360" w:lineRule="auto"/>
        <w:ind w:left="924"/>
        <w:jc w:val="both"/>
        <w:rPr>
          <w:rFonts w:ascii="Helvetica" w:hAnsi="Helvetica" w:cs="Helvetica"/>
          <w:sz w:val="24"/>
          <w:szCs w:val="24"/>
        </w:rPr>
      </w:pPr>
      <w:r w:rsidRPr="00086391">
        <w:rPr>
          <w:rFonts w:ascii="Helvetica" w:hAnsi="Helvetica" w:cs="Helvetica"/>
          <w:sz w:val="24"/>
          <w:szCs w:val="24"/>
        </w:rPr>
        <w:t xml:space="preserve">“ICAAP” means Internal Capital Adequacy Assessment Process. </w:t>
      </w:r>
    </w:p>
    <w:p w:rsidR="00086391" w:rsidRPr="00086391" w:rsidRDefault="00086391" w:rsidP="00486B48">
      <w:pPr>
        <w:pStyle w:val="BodyText"/>
        <w:spacing w:line="360" w:lineRule="auto"/>
        <w:ind w:left="924"/>
        <w:jc w:val="both"/>
        <w:rPr>
          <w:rFonts w:ascii="Helvetica" w:hAnsi="Helvetica" w:cs="Helvetica"/>
          <w:sz w:val="24"/>
          <w:szCs w:val="24"/>
        </w:rPr>
      </w:pPr>
      <w:r w:rsidRPr="00086391">
        <w:rPr>
          <w:rFonts w:ascii="Helvetica" w:hAnsi="Helvetica" w:cs="Helvetica"/>
          <w:sz w:val="24"/>
          <w:szCs w:val="24"/>
        </w:rPr>
        <w:t>“MAC Fund” means the Motor Accidents (Compensation) Commission Fund.</w:t>
      </w:r>
    </w:p>
    <w:p w:rsidR="00086391" w:rsidRPr="00086391" w:rsidRDefault="00086391" w:rsidP="00486B48">
      <w:pPr>
        <w:pStyle w:val="BodyText"/>
        <w:spacing w:line="360" w:lineRule="auto"/>
        <w:ind w:left="924"/>
        <w:jc w:val="both"/>
        <w:rPr>
          <w:rFonts w:ascii="Helvetica" w:hAnsi="Helvetica" w:cs="Helvetica"/>
          <w:sz w:val="24"/>
          <w:szCs w:val="24"/>
        </w:rPr>
      </w:pPr>
      <w:r w:rsidRPr="00086391">
        <w:rPr>
          <w:rFonts w:ascii="Helvetica" w:hAnsi="Helvetica" w:cs="Helvetica"/>
          <w:sz w:val="24"/>
          <w:szCs w:val="24"/>
        </w:rPr>
        <w:t xml:space="preserve">“MAC business” means the part of the business that relates to administration of the motor accident compensation scheme established by the </w:t>
      </w:r>
      <w:r w:rsidRPr="00086391">
        <w:rPr>
          <w:rFonts w:ascii="Helvetica" w:hAnsi="Helvetica" w:cs="Helvetica"/>
          <w:i/>
          <w:sz w:val="24"/>
          <w:szCs w:val="24"/>
        </w:rPr>
        <w:t>Motor Accidents (Compensation) Act</w:t>
      </w:r>
      <w:r w:rsidRPr="00086391">
        <w:rPr>
          <w:rFonts w:ascii="Helvetica" w:hAnsi="Helvetica" w:cs="Helvetica"/>
          <w:iCs/>
          <w:sz w:val="24"/>
          <w:szCs w:val="24"/>
        </w:rPr>
        <w:t>, the Motor Accidents (Compensation) Fund</w:t>
      </w:r>
      <w:r w:rsidRPr="00086391">
        <w:rPr>
          <w:rFonts w:ascii="Helvetica" w:hAnsi="Helvetica" w:cs="Helvetica"/>
          <w:sz w:val="24"/>
          <w:szCs w:val="24"/>
        </w:rPr>
        <w:t xml:space="preserve"> and any other related matters.</w:t>
      </w:r>
    </w:p>
    <w:p w:rsidR="00086391" w:rsidRPr="00086391" w:rsidRDefault="00086391" w:rsidP="00486B48">
      <w:pPr>
        <w:pStyle w:val="BodyText"/>
        <w:spacing w:line="360" w:lineRule="auto"/>
        <w:ind w:left="924"/>
        <w:jc w:val="both"/>
        <w:rPr>
          <w:rFonts w:ascii="Helvetica" w:hAnsi="Helvetica" w:cs="Helvetica"/>
          <w:sz w:val="24"/>
          <w:szCs w:val="24"/>
        </w:rPr>
      </w:pPr>
      <w:r w:rsidRPr="00086391">
        <w:rPr>
          <w:rFonts w:ascii="Helvetica" w:hAnsi="Helvetica" w:cs="Helvetica"/>
          <w:sz w:val="24"/>
          <w:szCs w:val="24"/>
        </w:rPr>
        <w:t xml:space="preserve">“Prudential Standards” means the prudential standards and requirements that must be applied by the Commission in relation to the MAC business or relate to the performance of the Commission’s functions in relation to the MAC business as set out in clauses </w:t>
      </w:r>
      <w:r w:rsidRPr="00086391">
        <w:rPr>
          <w:rFonts w:ascii="Helvetica" w:hAnsi="Helvetica" w:cs="Helvetica"/>
          <w:sz w:val="24"/>
          <w:szCs w:val="24"/>
        </w:rPr>
        <w:fldChar w:fldCharType="begin"/>
      </w:r>
      <w:r w:rsidRPr="00086391">
        <w:rPr>
          <w:rFonts w:ascii="Helvetica" w:hAnsi="Helvetica" w:cs="Helvetica"/>
          <w:sz w:val="24"/>
          <w:szCs w:val="24"/>
        </w:rPr>
        <w:instrText xml:space="preserve"> REF _Ref451845058 \r \h  \* MERGEFORMAT </w:instrText>
      </w:r>
      <w:r w:rsidRPr="00086391">
        <w:rPr>
          <w:rFonts w:ascii="Helvetica" w:hAnsi="Helvetica" w:cs="Helvetica"/>
          <w:sz w:val="24"/>
          <w:szCs w:val="24"/>
        </w:rPr>
      </w:r>
      <w:r w:rsidRPr="00086391">
        <w:rPr>
          <w:rFonts w:ascii="Helvetica" w:hAnsi="Helvetica" w:cs="Helvetica"/>
          <w:sz w:val="24"/>
          <w:szCs w:val="24"/>
        </w:rPr>
        <w:fldChar w:fldCharType="separate"/>
      </w:r>
      <w:r w:rsidR="000E6F7B">
        <w:rPr>
          <w:rFonts w:ascii="Helvetica" w:hAnsi="Helvetica" w:cs="Helvetica"/>
          <w:sz w:val="24"/>
          <w:szCs w:val="24"/>
        </w:rPr>
        <w:t>2</w:t>
      </w:r>
      <w:r w:rsidRPr="00086391">
        <w:rPr>
          <w:rFonts w:ascii="Helvetica" w:hAnsi="Helvetica" w:cs="Helvetica"/>
          <w:sz w:val="24"/>
          <w:szCs w:val="24"/>
        </w:rPr>
        <w:fldChar w:fldCharType="end"/>
      </w:r>
      <w:r w:rsidRPr="00086391">
        <w:rPr>
          <w:rFonts w:ascii="Helvetica" w:hAnsi="Helvetica" w:cs="Helvetica"/>
          <w:sz w:val="24"/>
          <w:szCs w:val="24"/>
        </w:rPr>
        <w:t>-</w:t>
      </w:r>
      <w:r w:rsidRPr="00086391">
        <w:rPr>
          <w:rFonts w:ascii="Helvetica" w:hAnsi="Helvetica" w:cs="Helvetica"/>
          <w:sz w:val="24"/>
          <w:szCs w:val="24"/>
        </w:rPr>
        <w:fldChar w:fldCharType="begin"/>
      </w:r>
      <w:r w:rsidRPr="00086391">
        <w:rPr>
          <w:rFonts w:ascii="Helvetica" w:hAnsi="Helvetica" w:cs="Helvetica"/>
          <w:sz w:val="24"/>
          <w:szCs w:val="24"/>
        </w:rPr>
        <w:instrText xml:space="preserve"> REF _Ref451847706 \r \h  \* MERGEFORMAT </w:instrText>
      </w:r>
      <w:r w:rsidRPr="00086391">
        <w:rPr>
          <w:rFonts w:ascii="Helvetica" w:hAnsi="Helvetica" w:cs="Helvetica"/>
          <w:sz w:val="24"/>
          <w:szCs w:val="24"/>
        </w:rPr>
      </w:r>
      <w:r w:rsidRPr="00086391">
        <w:rPr>
          <w:rFonts w:ascii="Helvetica" w:hAnsi="Helvetica" w:cs="Helvetica"/>
          <w:sz w:val="24"/>
          <w:szCs w:val="24"/>
        </w:rPr>
        <w:fldChar w:fldCharType="separate"/>
      </w:r>
      <w:r w:rsidR="000E6F7B">
        <w:rPr>
          <w:rFonts w:ascii="Helvetica" w:hAnsi="Helvetica" w:cs="Helvetica"/>
          <w:sz w:val="24"/>
          <w:szCs w:val="24"/>
        </w:rPr>
        <w:t>4</w:t>
      </w:r>
      <w:r w:rsidRPr="00086391">
        <w:rPr>
          <w:rFonts w:ascii="Helvetica" w:hAnsi="Helvetica" w:cs="Helvetica"/>
          <w:sz w:val="24"/>
          <w:szCs w:val="24"/>
        </w:rPr>
        <w:fldChar w:fldCharType="end"/>
      </w:r>
      <w:r w:rsidRPr="00086391">
        <w:rPr>
          <w:rFonts w:ascii="Helvetica" w:hAnsi="Helvetica" w:cs="Helvetica"/>
          <w:sz w:val="24"/>
          <w:szCs w:val="24"/>
        </w:rPr>
        <w:t xml:space="preserve"> of this Determination (subject to the qualifications, modifications, clarifications and addit</w:t>
      </w:r>
      <w:r w:rsidR="00486B48">
        <w:rPr>
          <w:rFonts w:ascii="Helvetica" w:hAnsi="Helvetica" w:cs="Helvetica"/>
          <w:sz w:val="24"/>
          <w:szCs w:val="24"/>
        </w:rPr>
        <w:t>ions as set out in Schedule 1).</w:t>
      </w:r>
    </w:p>
    <w:p w:rsidR="00086391" w:rsidRPr="00086391" w:rsidRDefault="00086391" w:rsidP="00E011D2">
      <w:pPr>
        <w:pStyle w:val="Heading1"/>
        <w:widowControl/>
        <w:numPr>
          <w:ilvl w:val="0"/>
          <w:numId w:val="9"/>
        </w:numPr>
        <w:spacing w:before="0" w:after="240" w:line="240" w:lineRule="atLeast"/>
        <w:rPr>
          <w:rFonts w:cs="Helvetica"/>
          <w:sz w:val="24"/>
          <w:szCs w:val="24"/>
        </w:rPr>
      </w:pPr>
      <w:bookmarkStart w:id="5" w:name="_Ref451845058"/>
      <w:r w:rsidRPr="00086391">
        <w:rPr>
          <w:rFonts w:cs="Helvetica"/>
          <w:sz w:val="24"/>
          <w:szCs w:val="24"/>
        </w:rPr>
        <w:lastRenderedPageBreak/>
        <w:t>APRA Standards</w:t>
      </w:r>
      <w:bookmarkEnd w:id="5"/>
      <w:r w:rsidRPr="00086391">
        <w:rPr>
          <w:rFonts w:cs="Helvetica"/>
          <w:sz w:val="24"/>
          <w:szCs w:val="24"/>
        </w:rPr>
        <w:t xml:space="preserve"> </w:t>
      </w:r>
    </w:p>
    <w:p w:rsidR="00086391" w:rsidRPr="00086391" w:rsidRDefault="00086391" w:rsidP="00E011D2">
      <w:pPr>
        <w:pStyle w:val="Heading2"/>
        <w:widowControl/>
        <w:numPr>
          <w:ilvl w:val="1"/>
          <w:numId w:val="9"/>
        </w:numPr>
        <w:spacing w:before="0" w:after="240" w:line="240" w:lineRule="atLeast"/>
        <w:jc w:val="both"/>
        <w:rPr>
          <w:rFonts w:cs="Helvetica"/>
          <w:sz w:val="24"/>
          <w:szCs w:val="24"/>
        </w:rPr>
      </w:pPr>
      <w:r w:rsidRPr="00086391">
        <w:rPr>
          <w:rFonts w:cs="Helvetica"/>
          <w:sz w:val="24"/>
          <w:szCs w:val="24"/>
        </w:rPr>
        <w:t xml:space="preserve">Subject to this Determination, clause </w:t>
      </w:r>
      <w:r w:rsidRPr="00086391">
        <w:rPr>
          <w:rFonts w:cs="Helvetica"/>
          <w:sz w:val="24"/>
          <w:szCs w:val="24"/>
        </w:rPr>
        <w:fldChar w:fldCharType="begin"/>
      </w:r>
      <w:r w:rsidRPr="00086391">
        <w:rPr>
          <w:rFonts w:cs="Helvetica"/>
          <w:sz w:val="24"/>
          <w:szCs w:val="24"/>
        </w:rPr>
        <w:instrText xml:space="preserve"> REF _Ref451845058 \r \h  \* MERGEFORMAT </w:instrText>
      </w:r>
      <w:r w:rsidRPr="00086391">
        <w:rPr>
          <w:rFonts w:cs="Helvetica"/>
          <w:sz w:val="24"/>
          <w:szCs w:val="24"/>
        </w:rPr>
      </w:r>
      <w:r w:rsidRPr="00086391">
        <w:rPr>
          <w:rFonts w:cs="Helvetica"/>
          <w:sz w:val="24"/>
          <w:szCs w:val="24"/>
        </w:rPr>
        <w:fldChar w:fldCharType="separate"/>
      </w:r>
      <w:r w:rsidR="000E6F7B">
        <w:rPr>
          <w:rFonts w:cs="Helvetica"/>
          <w:sz w:val="24"/>
          <w:szCs w:val="24"/>
        </w:rPr>
        <w:t>2</w:t>
      </w:r>
      <w:r w:rsidRPr="00086391">
        <w:rPr>
          <w:rFonts w:cs="Helvetica"/>
          <w:sz w:val="24"/>
          <w:szCs w:val="24"/>
        </w:rPr>
        <w:fldChar w:fldCharType="end"/>
      </w:r>
      <w:r w:rsidRPr="00086391">
        <w:rPr>
          <w:rFonts w:cs="Helvetica"/>
          <w:sz w:val="24"/>
          <w:szCs w:val="24"/>
        </w:rPr>
        <w:fldChar w:fldCharType="begin"/>
      </w:r>
      <w:r w:rsidRPr="00086391">
        <w:rPr>
          <w:rFonts w:cs="Helvetica"/>
          <w:sz w:val="24"/>
          <w:szCs w:val="24"/>
        </w:rPr>
        <w:instrText xml:space="preserve"> REF _Ref451845064 \r \h  \* MERGEFORMAT </w:instrText>
      </w:r>
      <w:r w:rsidRPr="00086391">
        <w:rPr>
          <w:rFonts w:cs="Helvetica"/>
          <w:sz w:val="24"/>
          <w:szCs w:val="24"/>
        </w:rPr>
      </w:r>
      <w:r w:rsidRPr="00086391">
        <w:rPr>
          <w:rFonts w:cs="Helvetica"/>
          <w:sz w:val="24"/>
          <w:szCs w:val="24"/>
        </w:rPr>
        <w:fldChar w:fldCharType="separate"/>
      </w:r>
      <w:r w:rsidR="000E6F7B">
        <w:rPr>
          <w:rFonts w:cs="Helvetica"/>
          <w:sz w:val="24"/>
          <w:szCs w:val="24"/>
        </w:rPr>
        <w:t>(b)</w:t>
      </w:r>
      <w:r w:rsidRPr="00086391">
        <w:rPr>
          <w:rFonts w:cs="Helvetica"/>
          <w:sz w:val="24"/>
          <w:szCs w:val="24"/>
        </w:rPr>
        <w:fldChar w:fldCharType="end"/>
      </w:r>
      <w:r w:rsidRPr="00086391">
        <w:rPr>
          <w:rFonts w:cs="Helvetica"/>
          <w:sz w:val="24"/>
          <w:szCs w:val="24"/>
        </w:rPr>
        <w:t xml:space="preserve"> below and qualifications, modifications, clarifications or additions as set out in Schedule 1, the following APRA Standards apply to the Commission:</w:t>
      </w:r>
    </w:p>
    <w:p w:rsidR="00086391" w:rsidRPr="00450E91" w:rsidRDefault="00086391" w:rsidP="00E011D2">
      <w:pPr>
        <w:pStyle w:val="Heading3"/>
        <w:keepNext w:val="0"/>
        <w:widowControl/>
        <w:numPr>
          <w:ilvl w:val="2"/>
          <w:numId w:val="9"/>
        </w:numPr>
        <w:spacing w:before="0" w:after="240" w:line="240" w:lineRule="atLeast"/>
        <w:jc w:val="both"/>
        <w:rPr>
          <w:rFonts w:cs="Helvetica"/>
          <w:b w:val="0"/>
          <w:sz w:val="24"/>
          <w:szCs w:val="24"/>
        </w:rPr>
      </w:pPr>
      <w:r w:rsidRPr="00450E91">
        <w:rPr>
          <w:rFonts w:cs="Helvetica"/>
          <w:b w:val="0"/>
          <w:sz w:val="24"/>
          <w:szCs w:val="24"/>
        </w:rPr>
        <w:t>GPS 110 Capital Adequacy;</w:t>
      </w:r>
    </w:p>
    <w:p w:rsidR="00086391" w:rsidRPr="00450E91" w:rsidRDefault="00086391" w:rsidP="00E011D2">
      <w:pPr>
        <w:pStyle w:val="Heading3"/>
        <w:keepNext w:val="0"/>
        <w:widowControl/>
        <w:numPr>
          <w:ilvl w:val="2"/>
          <w:numId w:val="9"/>
        </w:numPr>
        <w:spacing w:before="0" w:after="240" w:line="240" w:lineRule="atLeast"/>
        <w:jc w:val="both"/>
        <w:rPr>
          <w:rFonts w:cs="Helvetica"/>
          <w:b w:val="0"/>
          <w:sz w:val="24"/>
          <w:szCs w:val="24"/>
        </w:rPr>
      </w:pPr>
      <w:r w:rsidRPr="00450E91">
        <w:rPr>
          <w:rFonts w:cs="Helvetica"/>
          <w:b w:val="0"/>
          <w:sz w:val="24"/>
          <w:szCs w:val="24"/>
        </w:rPr>
        <w:t>GPS 230 Reinsurance Management;</w:t>
      </w:r>
    </w:p>
    <w:p w:rsidR="00086391" w:rsidRPr="00450E91" w:rsidRDefault="00086391" w:rsidP="00E011D2">
      <w:pPr>
        <w:pStyle w:val="Heading3"/>
        <w:keepNext w:val="0"/>
        <w:widowControl/>
        <w:numPr>
          <w:ilvl w:val="2"/>
          <w:numId w:val="9"/>
        </w:numPr>
        <w:spacing w:before="0" w:after="240" w:line="240" w:lineRule="atLeast"/>
        <w:jc w:val="both"/>
        <w:rPr>
          <w:rFonts w:cs="Helvetica"/>
          <w:b w:val="0"/>
          <w:sz w:val="24"/>
          <w:szCs w:val="24"/>
        </w:rPr>
      </w:pPr>
      <w:r w:rsidRPr="00450E91">
        <w:rPr>
          <w:rFonts w:cs="Helvetica"/>
          <w:b w:val="0"/>
          <w:sz w:val="24"/>
          <w:szCs w:val="24"/>
        </w:rPr>
        <w:t>GPS 310 Audit and Related matters;</w:t>
      </w:r>
    </w:p>
    <w:p w:rsidR="00086391" w:rsidRPr="00450E91" w:rsidRDefault="00086391" w:rsidP="00E011D2">
      <w:pPr>
        <w:pStyle w:val="Heading3"/>
        <w:keepNext w:val="0"/>
        <w:widowControl/>
        <w:numPr>
          <w:ilvl w:val="2"/>
          <w:numId w:val="9"/>
        </w:numPr>
        <w:spacing w:before="0" w:after="240" w:line="240" w:lineRule="atLeast"/>
        <w:jc w:val="both"/>
        <w:rPr>
          <w:rFonts w:cs="Helvetica"/>
          <w:b w:val="0"/>
          <w:sz w:val="24"/>
          <w:szCs w:val="24"/>
        </w:rPr>
      </w:pPr>
      <w:r w:rsidRPr="00450E91">
        <w:rPr>
          <w:rFonts w:cs="Helvetica"/>
          <w:b w:val="0"/>
          <w:sz w:val="24"/>
          <w:szCs w:val="24"/>
        </w:rPr>
        <w:t>GPS 320 Actuarial and Related matters;</w:t>
      </w:r>
    </w:p>
    <w:p w:rsidR="00086391" w:rsidRPr="00450E91" w:rsidRDefault="00086391" w:rsidP="00E011D2">
      <w:pPr>
        <w:pStyle w:val="Heading3"/>
        <w:keepNext w:val="0"/>
        <w:widowControl/>
        <w:numPr>
          <w:ilvl w:val="2"/>
          <w:numId w:val="9"/>
        </w:numPr>
        <w:spacing w:before="0" w:after="240" w:line="240" w:lineRule="atLeast"/>
        <w:jc w:val="both"/>
        <w:rPr>
          <w:rFonts w:cs="Helvetica"/>
          <w:b w:val="0"/>
          <w:sz w:val="24"/>
          <w:szCs w:val="24"/>
        </w:rPr>
      </w:pPr>
      <w:r w:rsidRPr="00450E91">
        <w:rPr>
          <w:rFonts w:cs="Helvetica"/>
          <w:b w:val="0"/>
          <w:sz w:val="24"/>
          <w:szCs w:val="24"/>
        </w:rPr>
        <w:t>CPS 220 Risk management;</w:t>
      </w:r>
    </w:p>
    <w:p w:rsidR="00086391" w:rsidRPr="00450E91" w:rsidRDefault="00086391" w:rsidP="00E011D2">
      <w:pPr>
        <w:pStyle w:val="Heading3"/>
        <w:keepNext w:val="0"/>
        <w:widowControl/>
        <w:numPr>
          <w:ilvl w:val="2"/>
          <w:numId w:val="9"/>
        </w:numPr>
        <w:spacing w:before="0" w:after="240" w:line="240" w:lineRule="atLeast"/>
        <w:jc w:val="both"/>
        <w:rPr>
          <w:rFonts w:cs="Helvetica"/>
          <w:b w:val="0"/>
          <w:sz w:val="24"/>
          <w:szCs w:val="24"/>
        </w:rPr>
      </w:pPr>
      <w:r w:rsidRPr="00450E91">
        <w:rPr>
          <w:rFonts w:cs="Helvetica"/>
          <w:b w:val="0"/>
          <w:sz w:val="24"/>
          <w:szCs w:val="24"/>
        </w:rPr>
        <w:t>CPS 232 Business Continuity Management; and</w:t>
      </w:r>
    </w:p>
    <w:p w:rsidR="00086391" w:rsidRPr="00450E91" w:rsidRDefault="00086391" w:rsidP="00E011D2">
      <w:pPr>
        <w:pStyle w:val="Heading3"/>
        <w:keepNext w:val="0"/>
        <w:widowControl/>
        <w:numPr>
          <w:ilvl w:val="2"/>
          <w:numId w:val="9"/>
        </w:numPr>
        <w:spacing w:before="0" w:after="240" w:line="240" w:lineRule="atLeast"/>
        <w:jc w:val="both"/>
        <w:rPr>
          <w:rFonts w:cs="Helvetica"/>
          <w:b w:val="0"/>
          <w:sz w:val="24"/>
          <w:szCs w:val="24"/>
        </w:rPr>
      </w:pPr>
      <w:r w:rsidRPr="00450E91">
        <w:rPr>
          <w:rFonts w:cs="Helvetica"/>
          <w:b w:val="0"/>
          <w:sz w:val="24"/>
          <w:szCs w:val="24"/>
        </w:rPr>
        <w:t>CPS 520 Fit and Proper.</w:t>
      </w:r>
    </w:p>
    <w:p w:rsidR="00086391" w:rsidRPr="00086391" w:rsidRDefault="00086391" w:rsidP="00E011D2">
      <w:pPr>
        <w:pStyle w:val="Heading2"/>
        <w:widowControl/>
        <w:numPr>
          <w:ilvl w:val="1"/>
          <w:numId w:val="9"/>
        </w:numPr>
        <w:spacing w:before="0" w:after="240" w:line="240" w:lineRule="atLeast"/>
        <w:jc w:val="both"/>
        <w:rPr>
          <w:rFonts w:cs="Helvetica"/>
          <w:sz w:val="24"/>
          <w:szCs w:val="24"/>
        </w:rPr>
      </w:pPr>
      <w:bookmarkStart w:id="6" w:name="_Ref451845064"/>
      <w:r w:rsidRPr="00086391">
        <w:rPr>
          <w:rFonts w:cs="Helvetica"/>
          <w:sz w:val="24"/>
          <w:szCs w:val="24"/>
        </w:rPr>
        <w:t>In applying the APRA Standards above, the Commission must have regard to the following matters:</w:t>
      </w:r>
      <w:bookmarkEnd w:id="6"/>
    </w:p>
    <w:p w:rsidR="00086391" w:rsidRPr="00450E91" w:rsidRDefault="00086391" w:rsidP="00E011D2">
      <w:pPr>
        <w:pStyle w:val="Heading3"/>
        <w:keepNext w:val="0"/>
        <w:widowControl/>
        <w:numPr>
          <w:ilvl w:val="2"/>
          <w:numId w:val="9"/>
        </w:numPr>
        <w:spacing w:before="0" w:after="240" w:line="240" w:lineRule="atLeast"/>
        <w:jc w:val="both"/>
        <w:rPr>
          <w:rFonts w:cs="Helvetica"/>
          <w:b w:val="0"/>
          <w:sz w:val="24"/>
          <w:szCs w:val="24"/>
        </w:rPr>
      </w:pPr>
      <w:r w:rsidRPr="00450E91">
        <w:rPr>
          <w:rFonts w:cs="Helvetica"/>
          <w:b w:val="0"/>
          <w:sz w:val="24"/>
          <w:szCs w:val="24"/>
        </w:rPr>
        <w:t xml:space="preserve">References to, and obligations of, an ADI do not apply. </w:t>
      </w:r>
    </w:p>
    <w:p w:rsidR="00086391" w:rsidRPr="00450E91" w:rsidRDefault="00086391" w:rsidP="00E011D2">
      <w:pPr>
        <w:pStyle w:val="Heading3"/>
        <w:keepNext w:val="0"/>
        <w:widowControl/>
        <w:numPr>
          <w:ilvl w:val="2"/>
          <w:numId w:val="9"/>
        </w:numPr>
        <w:spacing w:before="0" w:after="240" w:line="240" w:lineRule="atLeast"/>
        <w:jc w:val="both"/>
        <w:rPr>
          <w:rFonts w:cs="Helvetica"/>
          <w:b w:val="0"/>
          <w:sz w:val="24"/>
          <w:szCs w:val="24"/>
        </w:rPr>
      </w:pPr>
      <w:r w:rsidRPr="00450E91">
        <w:rPr>
          <w:rFonts w:cs="Helvetica"/>
          <w:b w:val="0"/>
          <w:sz w:val="24"/>
          <w:szCs w:val="24"/>
        </w:rPr>
        <w:t>References to an insurer, a general insurer or a regulated institution are to be read as references to the Commission in its conduct of the MAC business to which the Standard applies.</w:t>
      </w:r>
    </w:p>
    <w:p w:rsidR="00086391" w:rsidRPr="00450E91" w:rsidRDefault="00086391" w:rsidP="00E011D2">
      <w:pPr>
        <w:pStyle w:val="Heading3"/>
        <w:keepNext w:val="0"/>
        <w:widowControl/>
        <w:numPr>
          <w:ilvl w:val="2"/>
          <w:numId w:val="9"/>
        </w:numPr>
        <w:spacing w:before="0" w:after="240" w:line="240" w:lineRule="atLeast"/>
        <w:jc w:val="both"/>
        <w:rPr>
          <w:rFonts w:cs="Helvetica"/>
          <w:b w:val="0"/>
          <w:sz w:val="24"/>
          <w:szCs w:val="24"/>
        </w:rPr>
      </w:pPr>
      <w:r w:rsidRPr="00450E91">
        <w:rPr>
          <w:rFonts w:cs="Helvetica"/>
          <w:b w:val="0"/>
          <w:sz w:val="24"/>
          <w:szCs w:val="24"/>
        </w:rPr>
        <w:t>References to APRA are to be read as references to the Treasurer.</w:t>
      </w:r>
    </w:p>
    <w:p w:rsidR="00086391" w:rsidRPr="00450E91" w:rsidRDefault="00086391" w:rsidP="00E011D2">
      <w:pPr>
        <w:pStyle w:val="Heading3"/>
        <w:keepNext w:val="0"/>
        <w:widowControl/>
        <w:numPr>
          <w:ilvl w:val="2"/>
          <w:numId w:val="9"/>
        </w:numPr>
        <w:spacing w:before="0" w:after="240" w:line="240" w:lineRule="atLeast"/>
        <w:jc w:val="both"/>
        <w:rPr>
          <w:rFonts w:cs="Helvetica"/>
          <w:b w:val="0"/>
          <w:sz w:val="24"/>
          <w:szCs w:val="24"/>
        </w:rPr>
      </w:pPr>
      <w:r w:rsidRPr="00450E91">
        <w:rPr>
          <w:rFonts w:cs="Helvetica"/>
          <w:b w:val="0"/>
          <w:sz w:val="24"/>
          <w:szCs w:val="24"/>
        </w:rPr>
        <w:t>References to directors of an insurer are to be read as references to the Commissioner of the Commission.</w:t>
      </w:r>
    </w:p>
    <w:p w:rsidR="00086391" w:rsidRPr="00450E91" w:rsidRDefault="00086391" w:rsidP="00E011D2">
      <w:pPr>
        <w:pStyle w:val="Heading3"/>
        <w:keepNext w:val="0"/>
        <w:widowControl/>
        <w:numPr>
          <w:ilvl w:val="2"/>
          <w:numId w:val="9"/>
        </w:numPr>
        <w:spacing w:before="0" w:after="240" w:line="240" w:lineRule="atLeast"/>
        <w:jc w:val="both"/>
        <w:rPr>
          <w:rFonts w:cs="Helvetica"/>
          <w:b w:val="0"/>
          <w:sz w:val="24"/>
          <w:szCs w:val="24"/>
        </w:rPr>
      </w:pPr>
      <w:r w:rsidRPr="00450E91">
        <w:rPr>
          <w:rFonts w:cs="Helvetica"/>
          <w:b w:val="0"/>
          <w:sz w:val="24"/>
          <w:szCs w:val="24"/>
        </w:rPr>
        <w:t>References to the board (or Board) in relation to an insurer are to be read as references to the Commissioner of the Commission.</w:t>
      </w:r>
    </w:p>
    <w:p w:rsidR="00086391" w:rsidRPr="00450E91" w:rsidRDefault="00086391" w:rsidP="00E011D2">
      <w:pPr>
        <w:pStyle w:val="Heading3"/>
        <w:keepNext w:val="0"/>
        <w:widowControl/>
        <w:numPr>
          <w:ilvl w:val="2"/>
          <w:numId w:val="9"/>
        </w:numPr>
        <w:spacing w:before="0" w:after="240" w:line="240" w:lineRule="atLeast"/>
        <w:jc w:val="both"/>
        <w:rPr>
          <w:rFonts w:cs="Helvetica"/>
          <w:b w:val="0"/>
          <w:sz w:val="24"/>
          <w:szCs w:val="24"/>
        </w:rPr>
      </w:pPr>
      <w:bookmarkStart w:id="7" w:name="_Ref451867442"/>
      <w:r w:rsidRPr="00450E91">
        <w:rPr>
          <w:rFonts w:cs="Helvetica"/>
          <w:b w:val="0"/>
          <w:sz w:val="24"/>
          <w:szCs w:val="24"/>
        </w:rPr>
        <w:t>References to "Appointed Auditor" are to be read as references to the Auditor-General.  For the purposes of the APRA Standards the Auditor-General is to be taken to be independent, to be fit and proper, and to have no conflict of interest.  Any provision of the APRA Standards imposing obligations or requirements on the Appointed Auditor is not directly binding upon the Auditor</w:t>
      </w:r>
      <w:r w:rsidR="004569E3">
        <w:rPr>
          <w:rFonts w:cs="Helvetica"/>
          <w:b w:val="0"/>
          <w:sz w:val="24"/>
          <w:szCs w:val="24"/>
        </w:rPr>
        <w:noBreakHyphen/>
      </w:r>
      <w:r w:rsidRPr="00450E91">
        <w:rPr>
          <w:rFonts w:cs="Helvetica"/>
          <w:b w:val="0"/>
          <w:sz w:val="24"/>
          <w:szCs w:val="24"/>
        </w:rPr>
        <w:t>General, however the Commission must make the necessary arrangements with the Auditor-General to enable the Auditor-General to perform, and to ensure that the Auditor</w:t>
      </w:r>
      <w:r w:rsidR="004569E3">
        <w:rPr>
          <w:rFonts w:cs="Helvetica"/>
          <w:b w:val="0"/>
          <w:sz w:val="24"/>
          <w:szCs w:val="24"/>
        </w:rPr>
        <w:noBreakHyphen/>
      </w:r>
      <w:r w:rsidRPr="00450E91">
        <w:rPr>
          <w:rFonts w:cs="Helvetica"/>
          <w:b w:val="0"/>
          <w:sz w:val="24"/>
          <w:szCs w:val="24"/>
        </w:rPr>
        <w:t>General performs, the role and requirements contemplated by the APRA Standards to be undertaken and performed</w:t>
      </w:r>
      <w:r w:rsidRPr="00086391">
        <w:rPr>
          <w:rFonts w:cs="Helvetica"/>
          <w:sz w:val="24"/>
          <w:szCs w:val="24"/>
        </w:rPr>
        <w:t xml:space="preserve"> </w:t>
      </w:r>
      <w:r w:rsidRPr="00450E91">
        <w:rPr>
          <w:rFonts w:cs="Helvetica"/>
          <w:b w:val="0"/>
          <w:sz w:val="24"/>
          <w:szCs w:val="24"/>
        </w:rPr>
        <w:t>by the Appointed Auditor.</w:t>
      </w:r>
      <w:bookmarkEnd w:id="7"/>
    </w:p>
    <w:p w:rsidR="00086391" w:rsidRPr="00450E91" w:rsidRDefault="00086391" w:rsidP="00E011D2">
      <w:pPr>
        <w:pStyle w:val="Heading3"/>
        <w:keepNext w:val="0"/>
        <w:widowControl/>
        <w:numPr>
          <w:ilvl w:val="2"/>
          <w:numId w:val="9"/>
        </w:numPr>
        <w:spacing w:before="0" w:after="240" w:line="240" w:lineRule="atLeast"/>
        <w:jc w:val="both"/>
        <w:rPr>
          <w:rFonts w:cs="Helvetica"/>
          <w:b w:val="0"/>
          <w:sz w:val="24"/>
          <w:szCs w:val="24"/>
        </w:rPr>
      </w:pPr>
      <w:r w:rsidRPr="00450E91">
        <w:rPr>
          <w:rFonts w:cs="Helvetica"/>
          <w:b w:val="0"/>
          <w:sz w:val="24"/>
          <w:szCs w:val="24"/>
        </w:rPr>
        <w:lastRenderedPageBreak/>
        <w:t>References to "Appointed Actuary" are to be read as references to an actuary appointed by the Commission and approved by the Treasurer.  Any provision of the APRA Standards imposing obligations or requirements on the Appointed Actuary is not directly binding upon the Appointed Actuary, however the Commission must make the necessary arrangements with the Appointed Actuary to enable the Appointed Actuary to perform, and to ensure that the Appointed Actuary performs, the role and requirements contemplated by the APRA Standards to be undertaken and performed by the Appointed Actuary.</w:t>
      </w:r>
    </w:p>
    <w:p w:rsidR="00086391" w:rsidRPr="00450E91" w:rsidRDefault="00086391" w:rsidP="00E011D2">
      <w:pPr>
        <w:pStyle w:val="Heading3"/>
        <w:keepNext w:val="0"/>
        <w:widowControl/>
        <w:numPr>
          <w:ilvl w:val="2"/>
          <w:numId w:val="9"/>
        </w:numPr>
        <w:spacing w:before="0" w:after="240" w:line="240" w:lineRule="atLeast"/>
        <w:jc w:val="both"/>
        <w:rPr>
          <w:rFonts w:cs="Helvetica"/>
          <w:b w:val="0"/>
          <w:sz w:val="24"/>
          <w:szCs w:val="24"/>
        </w:rPr>
      </w:pPr>
      <w:r w:rsidRPr="00450E91">
        <w:rPr>
          <w:rFonts w:cs="Helvetica"/>
          <w:b w:val="0"/>
          <w:sz w:val="24"/>
          <w:szCs w:val="24"/>
        </w:rPr>
        <w:t>The Commission must submit to the Treasurer all certificates and reports required to be prepared by its Appointed Auditor and Appointed Actuary under the APRA Standards.  Reports other than those relating to a special purpose review must be submitted on or before the day that the Commission’s yearly statutory accounts are required to be given to the Treasurer.</w:t>
      </w:r>
    </w:p>
    <w:p w:rsidR="00086391" w:rsidRPr="00450E91" w:rsidRDefault="00086391" w:rsidP="00E011D2">
      <w:pPr>
        <w:pStyle w:val="Heading3"/>
        <w:keepNext w:val="0"/>
        <w:widowControl/>
        <w:numPr>
          <w:ilvl w:val="2"/>
          <w:numId w:val="9"/>
        </w:numPr>
        <w:spacing w:before="0" w:after="240" w:line="240" w:lineRule="atLeast"/>
        <w:jc w:val="both"/>
        <w:rPr>
          <w:rFonts w:cs="Helvetica"/>
          <w:b w:val="0"/>
          <w:sz w:val="24"/>
          <w:szCs w:val="24"/>
        </w:rPr>
      </w:pPr>
      <w:r w:rsidRPr="00450E91">
        <w:rPr>
          <w:rFonts w:cs="Helvetica"/>
          <w:b w:val="0"/>
          <w:sz w:val="24"/>
          <w:szCs w:val="24"/>
        </w:rPr>
        <w:t xml:space="preserve">Where an APRA standard allows for the use of a standard approach for compliance, based on limited complexity or scale of the insurer, rather than a tailored approach, the Commission may </w:t>
      </w:r>
      <w:proofErr w:type="spellStart"/>
      <w:r w:rsidRPr="00450E91">
        <w:rPr>
          <w:rFonts w:cs="Helvetica"/>
          <w:b w:val="0"/>
          <w:sz w:val="24"/>
          <w:szCs w:val="24"/>
        </w:rPr>
        <w:t>utilise</w:t>
      </w:r>
      <w:proofErr w:type="spellEnd"/>
      <w:r w:rsidRPr="00450E91">
        <w:rPr>
          <w:rFonts w:cs="Helvetica"/>
          <w:b w:val="0"/>
          <w:sz w:val="24"/>
          <w:szCs w:val="24"/>
        </w:rPr>
        <w:t xml:space="preserve"> that standard approach and, where applicable, note such </w:t>
      </w:r>
      <w:proofErr w:type="spellStart"/>
      <w:r w:rsidRPr="00450E91">
        <w:rPr>
          <w:rFonts w:cs="Helvetica"/>
          <w:b w:val="0"/>
          <w:sz w:val="24"/>
          <w:szCs w:val="24"/>
        </w:rPr>
        <w:t>utilisation</w:t>
      </w:r>
      <w:proofErr w:type="spellEnd"/>
      <w:r w:rsidRPr="00450E91">
        <w:rPr>
          <w:rFonts w:cs="Helvetica"/>
          <w:b w:val="0"/>
          <w:sz w:val="24"/>
          <w:szCs w:val="24"/>
        </w:rPr>
        <w:t xml:space="preserve"> in the relevant internal policy.</w:t>
      </w:r>
    </w:p>
    <w:p w:rsidR="00086391" w:rsidRPr="00450E91" w:rsidRDefault="00086391" w:rsidP="00E011D2">
      <w:pPr>
        <w:pStyle w:val="Heading3"/>
        <w:keepNext w:val="0"/>
        <w:widowControl/>
        <w:numPr>
          <w:ilvl w:val="2"/>
          <w:numId w:val="9"/>
        </w:numPr>
        <w:spacing w:before="0" w:after="240" w:line="240" w:lineRule="atLeast"/>
        <w:jc w:val="both"/>
        <w:rPr>
          <w:rFonts w:cs="Helvetica"/>
          <w:b w:val="0"/>
          <w:sz w:val="24"/>
          <w:szCs w:val="24"/>
        </w:rPr>
      </w:pPr>
      <w:r w:rsidRPr="00450E91">
        <w:rPr>
          <w:rFonts w:cs="Helvetica"/>
          <w:b w:val="0"/>
          <w:sz w:val="24"/>
          <w:szCs w:val="24"/>
        </w:rPr>
        <w:t>To the extent of any inconsistency between the APRA Standards and the Act, the Regulations, this Determination or any other instrument of a legislative or administrative character made under the Act, the provisions of that instrument shall prevail.</w:t>
      </w:r>
    </w:p>
    <w:p w:rsidR="00086391" w:rsidRPr="00086391" w:rsidRDefault="00086391" w:rsidP="00E011D2">
      <w:pPr>
        <w:pStyle w:val="Heading1"/>
        <w:widowControl/>
        <w:numPr>
          <w:ilvl w:val="0"/>
          <w:numId w:val="9"/>
        </w:numPr>
        <w:spacing w:before="0" w:after="240" w:line="240" w:lineRule="atLeast"/>
        <w:rPr>
          <w:rFonts w:cs="Helvetica"/>
          <w:sz w:val="24"/>
          <w:szCs w:val="24"/>
        </w:rPr>
      </w:pPr>
      <w:r w:rsidRPr="00086391">
        <w:rPr>
          <w:rFonts w:cs="Helvetica"/>
          <w:sz w:val="24"/>
          <w:szCs w:val="24"/>
        </w:rPr>
        <w:t xml:space="preserve">Capital management and solvency </w:t>
      </w:r>
    </w:p>
    <w:p w:rsidR="00086391" w:rsidRPr="00086391" w:rsidRDefault="00086391" w:rsidP="00E011D2">
      <w:pPr>
        <w:pStyle w:val="Heading2"/>
        <w:widowControl/>
        <w:numPr>
          <w:ilvl w:val="1"/>
          <w:numId w:val="9"/>
        </w:numPr>
        <w:spacing w:before="0" w:after="240" w:line="240" w:lineRule="atLeast"/>
        <w:jc w:val="both"/>
        <w:rPr>
          <w:rFonts w:cs="Helvetica"/>
          <w:sz w:val="24"/>
          <w:szCs w:val="24"/>
        </w:rPr>
      </w:pPr>
      <w:r w:rsidRPr="00086391">
        <w:rPr>
          <w:rFonts w:cs="Helvetica"/>
          <w:sz w:val="24"/>
          <w:szCs w:val="24"/>
        </w:rPr>
        <w:t xml:space="preserve">The Internal Capital Adequacy Assessment Process (ICAAP) summary prepared by the Commission under APRA Standard GPS 110 Capital Adequacy shall be based on a target solvency range as specified in writing by the Treasurer. </w:t>
      </w:r>
    </w:p>
    <w:p w:rsidR="00086391" w:rsidRPr="00086391" w:rsidRDefault="00086391" w:rsidP="00E011D2">
      <w:pPr>
        <w:pStyle w:val="Heading2"/>
        <w:widowControl/>
        <w:numPr>
          <w:ilvl w:val="1"/>
          <w:numId w:val="9"/>
        </w:numPr>
        <w:spacing w:before="0" w:after="240" w:line="240" w:lineRule="atLeast"/>
        <w:jc w:val="both"/>
        <w:rPr>
          <w:rFonts w:cs="Helvetica"/>
          <w:sz w:val="24"/>
          <w:szCs w:val="24"/>
        </w:rPr>
      </w:pPr>
      <w:r w:rsidRPr="00086391">
        <w:rPr>
          <w:rFonts w:cs="Helvetica"/>
          <w:sz w:val="24"/>
          <w:szCs w:val="24"/>
        </w:rPr>
        <w:t xml:space="preserve">The target solvency range shall be based on a ratio of assets over liabilities, where the definition and measure of ‘assets’ and ‘liabilities’ is to be specified in writing by the Treasurer.  </w:t>
      </w:r>
    </w:p>
    <w:p w:rsidR="00086391" w:rsidRPr="00086391" w:rsidRDefault="00086391" w:rsidP="00E011D2">
      <w:pPr>
        <w:pStyle w:val="Heading2"/>
        <w:widowControl/>
        <w:numPr>
          <w:ilvl w:val="1"/>
          <w:numId w:val="9"/>
        </w:numPr>
        <w:spacing w:before="0" w:after="240" w:line="240" w:lineRule="atLeast"/>
        <w:jc w:val="both"/>
        <w:rPr>
          <w:rFonts w:cs="Helvetica"/>
          <w:sz w:val="24"/>
          <w:szCs w:val="24"/>
        </w:rPr>
      </w:pPr>
      <w:r w:rsidRPr="00086391">
        <w:rPr>
          <w:rFonts w:cs="Helvetica"/>
          <w:sz w:val="24"/>
          <w:szCs w:val="24"/>
        </w:rPr>
        <w:t xml:space="preserve">Where the Treasurer has not specified a target solvency range, the target solvency range shall be 100-160, based on a ratio of assets over liabilities, as recorded in the financial statements of the Commission. </w:t>
      </w:r>
    </w:p>
    <w:p w:rsidR="00086391" w:rsidRPr="00086391" w:rsidRDefault="00086391" w:rsidP="00E011D2">
      <w:pPr>
        <w:pStyle w:val="Heading2"/>
        <w:widowControl/>
        <w:numPr>
          <w:ilvl w:val="1"/>
          <w:numId w:val="9"/>
        </w:numPr>
        <w:spacing w:before="0" w:after="240" w:line="240" w:lineRule="atLeast"/>
        <w:jc w:val="both"/>
        <w:rPr>
          <w:rFonts w:cs="Helvetica"/>
          <w:sz w:val="24"/>
          <w:szCs w:val="24"/>
        </w:rPr>
      </w:pPr>
      <w:r w:rsidRPr="00086391">
        <w:rPr>
          <w:rFonts w:cs="Helvetica"/>
          <w:sz w:val="24"/>
          <w:szCs w:val="24"/>
        </w:rPr>
        <w:t xml:space="preserve">If the solvency target range changes, the ICAAP summary must be amended, within three months of the change, to reflect the new solvency target range. </w:t>
      </w:r>
    </w:p>
    <w:p w:rsidR="00086391" w:rsidRPr="00086391" w:rsidRDefault="00086391" w:rsidP="00E011D2">
      <w:pPr>
        <w:pStyle w:val="Heading1"/>
        <w:widowControl/>
        <w:numPr>
          <w:ilvl w:val="0"/>
          <w:numId w:val="9"/>
        </w:numPr>
        <w:spacing w:before="0" w:after="240" w:line="240" w:lineRule="atLeast"/>
        <w:jc w:val="both"/>
        <w:rPr>
          <w:rFonts w:cs="Helvetica"/>
          <w:sz w:val="24"/>
          <w:szCs w:val="24"/>
        </w:rPr>
      </w:pPr>
      <w:bookmarkStart w:id="8" w:name="_Ref451847706"/>
      <w:bookmarkStart w:id="9" w:name="_Ref451856922"/>
      <w:r w:rsidRPr="00086391">
        <w:rPr>
          <w:rFonts w:cs="Helvetica"/>
          <w:sz w:val="24"/>
          <w:szCs w:val="24"/>
        </w:rPr>
        <w:lastRenderedPageBreak/>
        <w:t>Reporting</w:t>
      </w:r>
      <w:bookmarkEnd w:id="8"/>
      <w:bookmarkEnd w:id="9"/>
    </w:p>
    <w:p w:rsidR="00086391" w:rsidRPr="00086391" w:rsidRDefault="00086391" w:rsidP="00E011D2">
      <w:pPr>
        <w:pStyle w:val="Heading2"/>
        <w:widowControl/>
        <w:numPr>
          <w:ilvl w:val="1"/>
          <w:numId w:val="9"/>
        </w:numPr>
        <w:spacing w:before="0" w:after="240" w:line="240" w:lineRule="atLeast"/>
        <w:jc w:val="both"/>
        <w:rPr>
          <w:rFonts w:cs="Helvetica"/>
          <w:sz w:val="24"/>
          <w:szCs w:val="24"/>
        </w:rPr>
      </w:pPr>
      <w:bookmarkStart w:id="10" w:name="_Ref452971571"/>
      <w:r w:rsidRPr="00086391">
        <w:rPr>
          <w:rFonts w:cs="Helvetica"/>
          <w:sz w:val="24"/>
          <w:szCs w:val="24"/>
        </w:rPr>
        <w:t>The Commission shall, not later than 6 weeks after the last day of March, September and December of each year or such longer period as the Treasurer, in writing, permits, lodge a report with the Treasurer relating to the 3 months preceding the last day of that March, September or December, as the case may be.</w:t>
      </w:r>
      <w:bookmarkEnd w:id="10"/>
    </w:p>
    <w:p w:rsidR="00086391" w:rsidRPr="00086391" w:rsidRDefault="00086391" w:rsidP="00E011D2">
      <w:pPr>
        <w:pStyle w:val="Heading2"/>
        <w:widowControl/>
        <w:numPr>
          <w:ilvl w:val="1"/>
          <w:numId w:val="9"/>
        </w:numPr>
        <w:spacing w:before="0" w:after="240" w:line="240" w:lineRule="atLeast"/>
        <w:jc w:val="both"/>
        <w:rPr>
          <w:rFonts w:cs="Helvetica"/>
          <w:sz w:val="24"/>
          <w:szCs w:val="24"/>
        </w:rPr>
      </w:pPr>
      <w:bookmarkStart w:id="11" w:name="_Ref451857142"/>
      <w:bookmarkStart w:id="12" w:name="_Ref452971574"/>
      <w:r w:rsidRPr="00086391">
        <w:rPr>
          <w:rFonts w:cs="Helvetica"/>
          <w:sz w:val="24"/>
          <w:szCs w:val="24"/>
        </w:rPr>
        <w:t>The Commission shall, not later than 4 months after the last day of June of each financial year or such longer period as the Treasurer, in writing, permits, lodge a report with the Treasurer relating to the financial year preceding that last day of June, based on the audited financial information for that financial year.</w:t>
      </w:r>
      <w:bookmarkEnd w:id="11"/>
      <w:bookmarkEnd w:id="12"/>
    </w:p>
    <w:p w:rsidR="00086391" w:rsidRPr="00086391" w:rsidRDefault="00086391" w:rsidP="00E011D2">
      <w:pPr>
        <w:pStyle w:val="Heading2"/>
        <w:widowControl/>
        <w:numPr>
          <w:ilvl w:val="1"/>
          <w:numId w:val="9"/>
        </w:numPr>
        <w:spacing w:before="0" w:after="240" w:line="240" w:lineRule="atLeast"/>
        <w:jc w:val="both"/>
        <w:rPr>
          <w:rFonts w:cs="Helvetica"/>
          <w:sz w:val="24"/>
          <w:szCs w:val="24"/>
        </w:rPr>
      </w:pPr>
      <w:r w:rsidRPr="00086391">
        <w:rPr>
          <w:rFonts w:cs="Helvetica"/>
          <w:sz w:val="24"/>
          <w:szCs w:val="24"/>
        </w:rPr>
        <w:t xml:space="preserve">Reports referred to in this clause </w:t>
      </w:r>
      <w:r w:rsidRPr="00086391">
        <w:rPr>
          <w:rFonts w:cs="Helvetica"/>
          <w:sz w:val="24"/>
          <w:szCs w:val="24"/>
        </w:rPr>
        <w:fldChar w:fldCharType="begin"/>
      </w:r>
      <w:r w:rsidRPr="00086391">
        <w:rPr>
          <w:rFonts w:cs="Helvetica"/>
          <w:sz w:val="24"/>
          <w:szCs w:val="24"/>
        </w:rPr>
        <w:instrText xml:space="preserve"> REF _Ref451856922 \r \h  \* MERGEFORMAT </w:instrText>
      </w:r>
      <w:r w:rsidRPr="00086391">
        <w:rPr>
          <w:rFonts w:cs="Helvetica"/>
          <w:sz w:val="24"/>
          <w:szCs w:val="24"/>
        </w:rPr>
      </w:r>
      <w:r w:rsidRPr="00086391">
        <w:rPr>
          <w:rFonts w:cs="Helvetica"/>
          <w:sz w:val="24"/>
          <w:szCs w:val="24"/>
        </w:rPr>
        <w:fldChar w:fldCharType="separate"/>
      </w:r>
      <w:r w:rsidR="000E6F7B">
        <w:rPr>
          <w:rFonts w:cs="Helvetica"/>
          <w:sz w:val="24"/>
          <w:szCs w:val="24"/>
        </w:rPr>
        <w:t>4</w:t>
      </w:r>
      <w:r w:rsidRPr="00086391">
        <w:rPr>
          <w:rFonts w:cs="Helvetica"/>
          <w:sz w:val="24"/>
          <w:szCs w:val="24"/>
        </w:rPr>
        <w:fldChar w:fldCharType="end"/>
      </w:r>
      <w:r w:rsidRPr="00086391">
        <w:rPr>
          <w:rFonts w:cs="Helvetica"/>
          <w:sz w:val="24"/>
          <w:szCs w:val="24"/>
        </w:rPr>
        <w:fldChar w:fldCharType="begin"/>
      </w:r>
      <w:r w:rsidRPr="00086391">
        <w:rPr>
          <w:rFonts w:cs="Helvetica"/>
          <w:sz w:val="24"/>
          <w:szCs w:val="24"/>
        </w:rPr>
        <w:instrText xml:space="preserve"> REF _Ref452971571 \r \h  \* MERGEFORMAT </w:instrText>
      </w:r>
      <w:r w:rsidRPr="00086391">
        <w:rPr>
          <w:rFonts w:cs="Helvetica"/>
          <w:sz w:val="24"/>
          <w:szCs w:val="24"/>
        </w:rPr>
      </w:r>
      <w:r w:rsidRPr="00086391">
        <w:rPr>
          <w:rFonts w:cs="Helvetica"/>
          <w:sz w:val="24"/>
          <w:szCs w:val="24"/>
        </w:rPr>
        <w:fldChar w:fldCharType="separate"/>
      </w:r>
      <w:r w:rsidR="000E6F7B">
        <w:rPr>
          <w:rFonts w:cs="Helvetica"/>
          <w:sz w:val="24"/>
          <w:szCs w:val="24"/>
        </w:rPr>
        <w:t>(a)</w:t>
      </w:r>
      <w:r w:rsidRPr="00086391">
        <w:rPr>
          <w:rFonts w:cs="Helvetica"/>
          <w:sz w:val="24"/>
          <w:szCs w:val="24"/>
        </w:rPr>
        <w:fldChar w:fldCharType="end"/>
      </w:r>
      <w:r w:rsidRPr="00086391">
        <w:rPr>
          <w:rFonts w:cs="Helvetica"/>
          <w:sz w:val="24"/>
          <w:szCs w:val="24"/>
        </w:rPr>
        <w:t>-</w:t>
      </w:r>
      <w:r w:rsidRPr="00086391">
        <w:rPr>
          <w:rFonts w:cs="Helvetica"/>
          <w:sz w:val="24"/>
          <w:szCs w:val="24"/>
        </w:rPr>
        <w:fldChar w:fldCharType="begin"/>
      </w:r>
      <w:r w:rsidRPr="00086391">
        <w:rPr>
          <w:rFonts w:cs="Helvetica"/>
          <w:sz w:val="24"/>
          <w:szCs w:val="24"/>
        </w:rPr>
        <w:instrText xml:space="preserve"> REF _Ref452971574 \r \h  \* MERGEFORMAT </w:instrText>
      </w:r>
      <w:r w:rsidRPr="00086391">
        <w:rPr>
          <w:rFonts w:cs="Helvetica"/>
          <w:sz w:val="24"/>
          <w:szCs w:val="24"/>
        </w:rPr>
      </w:r>
      <w:r w:rsidRPr="00086391">
        <w:rPr>
          <w:rFonts w:cs="Helvetica"/>
          <w:sz w:val="24"/>
          <w:szCs w:val="24"/>
        </w:rPr>
        <w:fldChar w:fldCharType="separate"/>
      </w:r>
      <w:r w:rsidR="000E6F7B">
        <w:rPr>
          <w:rFonts w:cs="Helvetica"/>
          <w:sz w:val="24"/>
          <w:szCs w:val="24"/>
        </w:rPr>
        <w:t>(b)</w:t>
      </w:r>
      <w:r w:rsidRPr="00086391">
        <w:rPr>
          <w:rFonts w:cs="Helvetica"/>
          <w:sz w:val="24"/>
          <w:szCs w:val="24"/>
        </w:rPr>
        <w:fldChar w:fldCharType="end"/>
      </w:r>
      <w:r w:rsidRPr="00086391">
        <w:rPr>
          <w:rFonts w:cs="Helvetica"/>
          <w:sz w:val="24"/>
          <w:szCs w:val="24"/>
        </w:rPr>
        <w:t xml:space="preserve"> above must:</w:t>
      </w:r>
    </w:p>
    <w:p w:rsidR="00086391" w:rsidRPr="00450E91" w:rsidRDefault="00086391" w:rsidP="00E011D2">
      <w:pPr>
        <w:pStyle w:val="Heading3"/>
        <w:keepNext w:val="0"/>
        <w:widowControl/>
        <w:numPr>
          <w:ilvl w:val="2"/>
          <w:numId w:val="9"/>
        </w:numPr>
        <w:spacing w:before="0" w:after="240" w:line="240" w:lineRule="atLeast"/>
        <w:jc w:val="both"/>
        <w:rPr>
          <w:rFonts w:cs="Helvetica"/>
          <w:b w:val="0"/>
          <w:sz w:val="24"/>
          <w:szCs w:val="24"/>
        </w:rPr>
      </w:pPr>
      <w:r w:rsidRPr="00450E91">
        <w:rPr>
          <w:rFonts w:cs="Helvetica"/>
          <w:b w:val="0"/>
          <w:sz w:val="24"/>
          <w:szCs w:val="24"/>
        </w:rPr>
        <w:t>contain details of the Commission's compliance with and performance with respect to the Prudential Standards applicable pursuant to this Determination; and</w:t>
      </w:r>
    </w:p>
    <w:p w:rsidR="00086391" w:rsidRPr="00450E91" w:rsidRDefault="00086391" w:rsidP="00E011D2">
      <w:pPr>
        <w:pStyle w:val="Heading3"/>
        <w:keepNext w:val="0"/>
        <w:widowControl/>
        <w:numPr>
          <w:ilvl w:val="2"/>
          <w:numId w:val="9"/>
        </w:numPr>
        <w:spacing w:before="0" w:after="240" w:line="240" w:lineRule="atLeast"/>
        <w:jc w:val="both"/>
        <w:rPr>
          <w:rFonts w:cs="Helvetica"/>
          <w:b w:val="0"/>
          <w:sz w:val="24"/>
          <w:szCs w:val="24"/>
        </w:rPr>
      </w:pPr>
      <w:r w:rsidRPr="00450E91">
        <w:rPr>
          <w:rFonts w:cs="Helvetica"/>
          <w:b w:val="0"/>
          <w:sz w:val="24"/>
          <w:szCs w:val="24"/>
        </w:rPr>
        <w:t>be in such format as approved by the Treasurer from time to time. The format of reports approved by the Treasurer pursuant to Territory Insurance Office Determination 2014/1 shall be taken as valid and shall continue to have effect as though approved in accordance with this Determination.</w:t>
      </w:r>
    </w:p>
    <w:p w:rsidR="00086391" w:rsidRPr="00086391" w:rsidRDefault="00086391" w:rsidP="00E011D2">
      <w:pPr>
        <w:pStyle w:val="Heading2"/>
        <w:widowControl/>
        <w:numPr>
          <w:ilvl w:val="1"/>
          <w:numId w:val="9"/>
        </w:numPr>
        <w:spacing w:before="0" w:after="240" w:line="240" w:lineRule="atLeast"/>
        <w:jc w:val="both"/>
        <w:rPr>
          <w:rFonts w:cs="Helvetica"/>
          <w:sz w:val="24"/>
          <w:szCs w:val="24"/>
        </w:rPr>
      </w:pPr>
      <w:r w:rsidRPr="00086391">
        <w:rPr>
          <w:rFonts w:cs="Helvetica"/>
          <w:sz w:val="24"/>
          <w:szCs w:val="24"/>
        </w:rPr>
        <w:t xml:space="preserve">In relation to the annual reports at clause </w:t>
      </w:r>
      <w:r w:rsidRPr="00086391">
        <w:rPr>
          <w:rFonts w:cs="Helvetica"/>
          <w:sz w:val="24"/>
          <w:szCs w:val="24"/>
        </w:rPr>
        <w:fldChar w:fldCharType="begin"/>
      </w:r>
      <w:r w:rsidRPr="00086391">
        <w:rPr>
          <w:rFonts w:cs="Helvetica"/>
          <w:sz w:val="24"/>
          <w:szCs w:val="24"/>
        </w:rPr>
        <w:instrText xml:space="preserve"> REF _Ref451856922 \r \h  \* MERGEFORMAT </w:instrText>
      </w:r>
      <w:r w:rsidRPr="00086391">
        <w:rPr>
          <w:rFonts w:cs="Helvetica"/>
          <w:sz w:val="24"/>
          <w:szCs w:val="24"/>
        </w:rPr>
      </w:r>
      <w:r w:rsidRPr="00086391">
        <w:rPr>
          <w:rFonts w:cs="Helvetica"/>
          <w:sz w:val="24"/>
          <w:szCs w:val="24"/>
        </w:rPr>
        <w:fldChar w:fldCharType="separate"/>
      </w:r>
      <w:r w:rsidR="000E6F7B">
        <w:rPr>
          <w:rFonts w:cs="Helvetica"/>
          <w:sz w:val="24"/>
          <w:szCs w:val="24"/>
        </w:rPr>
        <w:t>4</w:t>
      </w:r>
      <w:r w:rsidRPr="00086391">
        <w:rPr>
          <w:rFonts w:cs="Helvetica"/>
          <w:sz w:val="24"/>
          <w:szCs w:val="24"/>
        </w:rPr>
        <w:fldChar w:fldCharType="end"/>
      </w:r>
      <w:r w:rsidRPr="00086391">
        <w:rPr>
          <w:rFonts w:cs="Helvetica"/>
          <w:sz w:val="24"/>
          <w:szCs w:val="24"/>
        </w:rPr>
        <w:fldChar w:fldCharType="begin"/>
      </w:r>
      <w:r w:rsidRPr="00086391">
        <w:rPr>
          <w:rFonts w:cs="Helvetica"/>
          <w:sz w:val="24"/>
          <w:szCs w:val="24"/>
        </w:rPr>
        <w:instrText xml:space="preserve"> REF _Ref451857142 \r \h  \* MERGEFORMAT </w:instrText>
      </w:r>
      <w:r w:rsidRPr="00086391">
        <w:rPr>
          <w:rFonts w:cs="Helvetica"/>
          <w:sz w:val="24"/>
          <w:szCs w:val="24"/>
        </w:rPr>
      </w:r>
      <w:r w:rsidRPr="00086391">
        <w:rPr>
          <w:rFonts w:cs="Helvetica"/>
          <w:sz w:val="24"/>
          <w:szCs w:val="24"/>
        </w:rPr>
        <w:fldChar w:fldCharType="separate"/>
      </w:r>
      <w:r w:rsidR="000E6F7B">
        <w:rPr>
          <w:rFonts w:cs="Helvetica"/>
          <w:sz w:val="24"/>
          <w:szCs w:val="24"/>
        </w:rPr>
        <w:t>(b)</w:t>
      </w:r>
      <w:r w:rsidRPr="00086391">
        <w:rPr>
          <w:rFonts w:cs="Helvetica"/>
          <w:sz w:val="24"/>
          <w:szCs w:val="24"/>
        </w:rPr>
        <w:fldChar w:fldCharType="end"/>
      </w:r>
      <w:r w:rsidRPr="00086391">
        <w:rPr>
          <w:rFonts w:cs="Helvetica"/>
          <w:sz w:val="24"/>
          <w:szCs w:val="24"/>
        </w:rPr>
        <w:t xml:space="preserve"> above, if the financial reporting standards or requirements adopted for a measure are different to those set out in the Prudential Standards, the annual report must identify the financial reporting standard or requirement adopted, the reason for the adoption, and report the measure on the basis adopted as well as the basis set out in the Prudential Standards. </w:t>
      </w:r>
    </w:p>
    <w:p w:rsidR="00086391" w:rsidRPr="00086391" w:rsidRDefault="00086391" w:rsidP="00E011D2">
      <w:pPr>
        <w:pStyle w:val="Heading2"/>
        <w:widowControl/>
        <w:numPr>
          <w:ilvl w:val="1"/>
          <w:numId w:val="9"/>
        </w:numPr>
        <w:spacing w:before="0" w:after="240" w:line="240" w:lineRule="atLeast"/>
        <w:jc w:val="both"/>
        <w:rPr>
          <w:rFonts w:cs="Helvetica"/>
          <w:sz w:val="24"/>
          <w:szCs w:val="24"/>
        </w:rPr>
      </w:pPr>
      <w:r w:rsidRPr="00086391">
        <w:rPr>
          <w:rFonts w:cs="Helvetica"/>
          <w:sz w:val="24"/>
          <w:szCs w:val="24"/>
        </w:rPr>
        <w:t>The Commission must conduct a triennial independent review of governance and risk management practices to ensure that objectives of the risk management framework are being met.  A report of this review must be provided to the Treasurer within 10 business days of it being completed.  The first report must be completed within three years of this Determination coming into effect.</w:t>
      </w:r>
    </w:p>
    <w:p w:rsidR="00086391" w:rsidRPr="00086391" w:rsidRDefault="00086391" w:rsidP="00E011D2">
      <w:pPr>
        <w:pStyle w:val="Heading2"/>
        <w:widowControl/>
        <w:numPr>
          <w:ilvl w:val="1"/>
          <w:numId w:val="9"/>
        </w:numPr>
        <w:spacing w:before="0" w:after="240" w:line="240" w:lineRule="atLeast"/>
        <w:jc w:val="both"/>
        <w:rPr>
          <w:rFonts w:cs="Helvetica"/>
          <w:sz w:val="24"/>
          <w:szCs w:val="24"/>
        </w:rPr>
      </w:pPr>
      <w:r w:rsidRPr="00086391">
        <w:rPr>
          <w:rFonts w:cs="Helvetica"/>
          <w:sz w:val="24"/>
          <w:szCs w:val="24"/>
        </w:rPr>
        <w:t xml:space="preserve">The Commission must provide such other reports as and when required under the Prudential Standards, subject to any other direction or approval of the Treasurer. </w:t>
      </w:r>
    </w:p>
    <w:p w:rsidR="00086391" w:rsidRPr="00086391" w:rsidRDefault="00086391" w:rsidP="00E011D2">
      <w:pPr>
        <w:pStyle w:val="Heading2"/>
        <w:widowControl/>
        <w:numPr>
          <w:ilvl w:val="1"/>
          <w:numId w:val="9"/>
        </w:numPr>
        <w:spacing w:before="0" w:after="240" w:line="240" w:lineRule="atLeast"/>
        <w:jc w:val="both"/>
        <w:rPr>
          <w:rFonts w:cs="Helvetica"/>
          <w:sz w:val="24"/>
          <w:szCs w:val="24"/>
        </w:rPr>
      </w:pPr>
      <w:r w:rsidRPr="00086391">
        <w:rPr>
          <w:rFonts w:cs="Helvetica"/>
          <w:sz w:val="24"/>
          <w:szCs w:val="24"/>
        </w:rPr>
        <w:t xml:space="preserve">The Commission must provide any additional ad-hoc reports requested by the Treasurer from time to time, in an accurate and timely manner, and in a format approved by the Treasurer. </w:t>
      </w:r>
    </w:p>
    <w:p w:rsidR="00086391" w:rsidRPr="00086391" w:rsidRDefault="00086391" w:rsidP="00E011D2">
      <w:pPr>
        <w:pStyle w:val="Heading2"/>
        <w:pageBreakBefore/>
        <w:numPr>
          <w:ilvl w:val="1"/>
          <w:numId w:val="9"/>
        </w:numPr>
        <w:spacing w:before="0" w:after="240" w:line="240" w:lineRule="atLeast"/>
        <w:jc w:val="both"/>
        <w:rPr>
          <w:rFonts w:cs="Helvetica"/>
          <w:sz w:val="24"/>
          <w:szCs w:val="24"/>
        </w:rPr>
      </w:pPr>
      <w:r w:rsidRPr="00086391">
        <w:rPr>
          <w:rFonts w:cs="Helvetica"/>
          <w:sz w:val="24"/>
          <w:szCs w:val="24"/>
        </w:rPr>
        <w:lastRenderedPageBreak/>
        <w:t xml:space="preserve">The Commission must inform the Treasurer as soon as practicable of any material or significant events, transactions, breaches or other issues relating to the MAC business, compliance with the Prudential Standards and/or this Determination as soon as practicable. </w:t>
      </w:r>
    </w:p>
    <w:p w:rsidR="00086391" w:rsidRPr="00086391" w:rsidRDefault="00086391" w:rsidP="00E011D2">
      <w:pPr>
        <w:pStyle w:val="Heading2"/>
        <w:widowControl/>
        <w:numPr>
          <w:ilvl w:val="1"/>
          <w:numId w:val="9"/>
        </w:numPr>
        <w:spacing w:before="0" w:after="240" w:line="240" w:lineRule="atLeast"/>
        <w:jc w:val="both"/>
        <w:rPr>
          <w:rFonts w:cs="Helvetica"/>
          <w:sz w:val="24"/>
          <w:szCs w:val="24"/>
        </w:rPr>
      </w:pPr>
      <w:r w:rsidRPr="00086391">
        <w:rPr>
          <w:rFonts w:cs="Helvetica"/>
          <w:sz w:val="24"/>
          <w:szCs w:val="24"/>
        </w:rPr>
        <w:t xml:space="preserve">Whenever the Commission is required to lodge a report with the Treasurer under this clause </w:t>
      </w:r>
      <w:r w:rsidRPr="00086391">
        <w:rPr>
          <w:rFonts w:cs="Helvetica"/>
          <w:sz w:val="24"/>
          <w:szCs w:val="24"/>
        </w:rPr>
        <w:fldChar w:fldCharType="begin"/>
      </w:r>
      <w:r w:rsidRPr="00086391">
        <w:rPr>
          <w:rFonts w:cs="Helvetica"/>
          <w:sz w:val="24"/>
          <w:szCs w:val="24"/>
        </w:rPr>
        <w:instrText xml:space="preserve"> REF _Ref451856922 \r \h  \* MERGEFORMAT </w:instrText>
      </w:r>
      <w:r w:rsidRPr="00086391">
        <w:rPr>
          <w:rFonts w:cs="Helvetica"/>
          <w:sz w:val="24"/>
          <w:szCs w:val="24"/>
        </w:rPr>
      </w:r>
      <w:r w:rsidRPr="00086391">
        <w:rPr>
          <w:rFonts w:cs="Helvetica"/>
          <w:sz w:val="24"/>
          <w:szCs w:val="24"/>
        </w:rPr>
        <w:fldChar w:fldCharType="separate"/>
      </w:r>
      <w:r w:rsidR="000E6F7B">
        <w:rPr>
          <w:rFonts w:cs="Helvetica"/>
          <w:sz w:val="24"/>
          <w:szCs w:val="24"/>
        </w:rPr>
        <w:t>4</w:t>
      </w:r>
      <w:r w:rsidRPr="00086391">
        <w:rPr>
          <w:rFonts w:cs="Helvetica"/>
          <w:sz w:val="24"/>
          <w:szCs w:val="24"/>
        </w:rPr>
        <w:fldChar w:fldCharType="end"/>
      </w:r>
      <w:r w:rsidRPr="00086391">
        <w:rPr>
          <w:rFonts w:cs="Helvetica"/>
          <w:sz w:val="24"/>
          <w:szCs w:val="24"/>
        </w:rPr>
        <w:t>, the Commission must also lodge a copy of the return or report with the Under Treasurer.</w:t>
      </w:r>
    </w:p>
    <w:p w:rsidR="00086391" w:rsidRPr="00086391" w:rsidRDefault="00086391" w:rsidP="00E011D2">
      <w:pPr>
        <w:pStyle w:val="Heading1"/>
        <w:widowControl/>
        <w:numPr>
          <w:ilvl w:val="0"/>
          <w:numId w:val="9"/>
        </w:numPr>
        <w:spacing w:before="0" w:after="240" w:line="240" w:lineRule="atLeast"/>
        <w:jc w:val="both"/>
        <w:rPr>
          <w:rFonts w:cs="Helvetica"/>
          <w:sz w:val="24"/>
          <w:szCs w:val="24"/>
        </w:rPr>
      </w:pPr>
      <w:bookmarkStart w:id="13" w:name="_Ref452723234"/>
      <w:r w:rsidRPr="00086391">
        <w:rPr>
          <w:rFonts w:cs="Helvetica"/>
          <w:sz w:val="24"/>
          <w:szCs w:val="24"/>
        </w:rPr>
        <w:t>Transitional arrangements</w:t>
      </w:r>
      <w:bookmarkEnd w:id="13"/>
      <w:r w:rsidRPr="00086391">
        <w:rPr>
          <w:rFonts w:cs="Helvetica"/>
          <w:sz w:val="24"/>
          <w:szCs w:val="24"/>
        </w:rPr>
        <w:t xml:space="preserve"> </w:t>
      </w:r>
    </w:p>
    <w:p w:rsidR="00086391" w:rsidRPr="00086391" w:rsidRDefault="00086391" w:rsidP="002B6E25">
      <w:pPr>
        <w:pStyle w:val="Heading2"/>
        <w:ind w:left="567"/>
        <w:jc w:val="both"/>
        <w:rPr>
          <w:rFonts w:cs="Helvetica"/>
          <w:sz w:val="24"/>
          <w:szCs w:val="24"/>
          <w:lang w:eastAsia="en-AU"/>
        </w:rPr>
      </w:pPr>
      <w:r w:rsidRPr="00086391">
        <w:rPr>
          <w:rFonts w:cs="Helvetica"/>
          <w:sz w:val="24"/>
          <w:szCs w:val="24"/>
          <w:lang w:eastAsia="en-AU"/>
        </w:rPr>
        <w:t>Matters and reports listed in Schedule 2 (Transition Schedule) that have been undertaken and/or provided since 1 January 2015 (unless otherwise stated) pursuant to the Territory Insurance Office Determination 1/2014 shall be taken to be valid and shall continue to have effect as though made in accordance with this Determination, subject to the following:</w:t>
      </w:r>
    </w:p>
    <w:p w:rsidR="00086391" w:rsidRPr="00086391" w:rsidRDefault="00086391" w:rsidP="00E011D2">
      <w:pPr>
        <w:pStyle w:val="Heading2"/>
        <w:widowControl/>
        <w:numPr>
          <w:ilvl w:val="1"/>
          <w:numId w:val="9"/>
        </w:numPr>
        <w:spacing w:before="0" w:after="240" w:line="240" w:lineRule="atLeast"/>
        <w:jc w:val="both"/>
        <w:rPr>
          <w:rFonts w:cs="Helvetica"/>
          <w:sz w:val="24"/>
          <w:szCs w:val="24"/>
        </w:rPr>
      </w:pPr>
      <w:r w:rsidRPr="00086391">
        <w:rPr>
          <w:rFonts w:cs="Helvetica"/>
          <w:sz w:val="24"/>
          <w:szCs w:val="24"/>
        </w:rPr>
        <w:t>where a Prudential Standard requires a document to be reviewed, the applicable review period commences from the date that document was last reviewed; and</w:t>
      </w:r>
    </w:p>
    <w:p w:rsidR="00086391" w:rsidRPr="00086391" w:rsidRDefault="00086391" w:rsidP="00E011D2">
      <w:pPr>
        <w:pStyle w:val="Heading2"/>
        <w:widowControl/>
        <w:numPr>
          <w:ilvl w:val="1"/>
          <w:numId w:val="9"/>
        </w:numPr>
        <w:spacing w:before="0" w:after="240" w:line="240" w:lineRule="atLeast"/>
        <w:jc w:val="both"/>
        <w:rPr>
          <w:rFonts w:cs="Helvetica"/>
          <w:sz w:val="24"/>
          <w:szCs w:val="24"/>
        </w:rPr>
      </w:pPr>
      <w:r w:rsidRPr="00086391">
        <w:rPr>
          <w:rFonts w:cs="Helvetica"/>
          <w:sz w:val="24"/>
          <w:szCs w:val="24"/>
        </w:rPr>
        <w:t>the ICAAP prepared by the Commission must be reviewed within 3</w:t>
      </w:r>
      <w:r w:rsidR="001431AB">
        <w:rPr>
          <w:rFonts w:cs="Helvetica"/>
          <w:sz w:val="24"/>
          <w:szCs w:val="24"/>
        </w:rPr>
        <w:t> </w:t>
      </w:r>
      <w:r w:rsidRPr="00086391">
        <w:rPr>
          <w:rFonts w:cs="Helvetica"/>
          <w:sz w:val="24"/>
          <w:szCs w:val="24"/>
        </w:rPr>
        <w:t>months of this Determination coming into effect.</w:t>
      </w:r>
    </w:p>
    <w:p w:rsidR="00086391" w:rsidRPr="00086391" w:rsidRDefault="00086391" w:rsidP="002B6E25">
      <w:pPr>
        <w:pStyle w:val="WKL4"/>
        <w:numPr>
          <w:ilvl w:val="0"/>
          <w:numId w:val="0"/>
        </w:numPr>
        <w:rPr>
          <w:rFonts w:ascii="Helvetica" w:hAnsi="Helvetica" w:cs="Helvetica"/>
          <w:b/>
          <w:sz w:val="24"/>
          <w:szCs w:val="24"/>
        </w:rPr>
      </w:pPr>
      <w:r w:rsidRPr="00086391">
        <w:rPr>
          <w:rFonts w:ascii="Helvetica" w:hAnsi="Helvetica" w:cs="Helvetica"/>
          <w:b/>
          <w:sz w:val="24"/>
          <w:szCs w:val="24"/>
        </w:rPr>
        <w:t xml:space="preserve">Schedule 1 – Qualifications, modifications, clarifications or additions to APRA Standards </w:t>
      </w:r>
    </w:p>
    <w:p w:rsidR="00086391" w:rsidRPr="00086391" w:rsidRDefault="00086391" w:rsidP="00E011D2">
      <w:pPr>
        <w:pStyle w:val="Heading1"/>
        <w:widowControl/>
        <w:numPr>
          <w:ilvl w:val="0"/>
          <w:numId w:val="11"/>
        </w:numPr>
        <w:spacing w:before="0" w:after="240" w:line="240" w:lineRule="atLeast"/>
        <w:jc w:val="both"/>
        <w:rPr>
          <w:rFonts w:cs="Helvetica"/>
          <w:sz w:val="24"/>
          <w:szCs w:val="24"/>
        </w:rPr>
      </w:pPr>
      <w:r w:rsidRPr="00086391">
        <w:rPr>
          <w:rFonts w:cs="Helvetica"/>
          <w:sz w:val="24"/>
          <w:szCs w:val="24"/>
        </w:rPr>
        <w:t xml:space="preserve">GPS 110 Capital Adequacy </w:t>
      </w:r>
    </w:p>
    <w:p w:rsidR="00086391" w:rsidRPr="00086391" w:rsidRDefault="00086391" w:rsidP="002B6E25">
      <w:pPr>
        <w:pStyle w:val="WKL4"/>
        <w:numPr>
          <w:ilvl w:val="0"/>
          <w:numId w:val="0"/>
        </w:numPr>
        <w:ind w:left="567"/>
        <w:rPr>
          <w:rFonts w:ascii="Helvetica" w:hAnsi="Helvetica" w:cs="Helvetica"/>
          <w:sz w:val="24"/>
          <w:szCs w:val="24"/>
        </w:rPr>
      </w:pPr>
      <w:r w:rsidRPr="00086391">
        <w:rPr>
          <w:rFonts w:ascii="Helvetica" w:hAnsi="Helvetica" w:cs="Helvetica"/>
          <w:sz w:val="24"/>
          <w:szCs w:val="24"/>
        </w:rPr>
        <w:t>Only provisions relating to the responsibility for capital management, internal capital adequacy assessment process and capital base, at paragraphs 1-19 of GPS 110, apply.</w:t>
      </w:r>
    </w:p>
    <w:p w:rsidR="00086391" w:rsidRPr="00086391" w:rsidRDefault="00086391" w:rsidP="00E011D2">
      <w:pPr>
        <w:pStyle w:val="Heading1"/>
        <w:widowControl/>
        <w:numPr>
          <w:ilvl w:val="0"/>
          <w:numId w:val="9"/>
        </w:numPr>
        <w:spacing w:before="0" w:after="240" w:line="240" w:lineRule="atLeast"/>
        <w:jc w:val="both"/>
        <w:rPr>
          <w:rFonts w:cs="Helvetica"/>
          <w:sz w:val="24"/>
          <w:szCs w:val="24"/>
        </w:rPr>
      </w:pPr>
      <w:r w:rsidRPr="00086391">
        <w:rPr>
          <w:rFonts w:cs="Helvetica"/>
          <w:sz w:val="24"/>
          <w:szCs w:val="24"/>
        </w:rPr>
        <w:t xml:space="preserve">GPS 230 Reinsurance Management </w:t>
      </w:r>
    </w:p>
    <w:p w:rsidR="00086391" w:rsidRPr="00086391" w:rsidRDefault="00086391" w:rsidP="00E011D2">
      <w:pPr>
        <w:pStyle w:val="Heading2"/>
        <w:widowControl/>
        <w:numPr>
          <w:ilvl w:val="1"/>
          <w:numId w:val="9"/>
        </w:numPr>
        <w:spacing w:before="0" w:after="240" w:line="240" w:lineRule="atLeast"/>
        <w:jc w:val="both"/>
        <w:rPr>
          <w:rFonts w:cs="Helvetica"/>
          <w:sz w:val="24"/>
          <w:szCs w:val="24"/>
        </w:rPr>
      </w:pPr>
      <w:r w:rsidRPr="00086391">
        <w:rPr>
          <w:rFonts w:cs="Helvetica"/>
          <w:sz w:val="24"/>
          <w:szCs w:val="24"/>
        </w:rPr>
        <w:t xml:space="preserve">References to the Insurance Concentration Risk Charge (ICRC) do not apply. </w:t>
      </w:r>
    </w:p>
    <w:p w:rsidR="00086391" w:rsidRPr="00086391" w:rsidRDefault="00086391" w:rsidP="00E011D2">
      <w:pPr>
        <w:pStyle w:val="Heading2"/>
        <w:widowControl/>
        <w:numPr>
          <w:ilvl w:val="1"/>
          <w:numId w:val="9"/>
        </w:numPr>
        <w:spacing w:before="0" w:after="240" w:line="240" w:lineRule="atLeast"/>
        <w:jc w:val="both"/>
        <w:rPr>
          <w:rFonts w:cs="Helvetica"/>
          <w:sz w:val="24"/>
          <w:szCs w:val="24"/>
        </w:rPr>
      </w:pPr>
      <w:r w:rsidRPr="00086391">
        <w:rPr>
          <w:rFonts w:cs="Helvetica"/>
          <w:sz w:val="24"/>
          <w:szCs w:val="24"/>
        </w:rPr>
        <w:t>Reinsurance Management Strategy reviews are to be undertaken every three years, or in the circumstances of notable changes in business arrangements.</w:t>
      </w:r>
    </w:p>
    <w:p w:rsidR="00086391" w:rsidRPr="00086391" w:rsidRDefault="00086391" w:rsidP="00E011D2">
      <w:pPr>
        <w:pStyle w:val="Heading2"/>
        <w:widowControl/>
        <w:numPr>
          <w:ilvl w:val="1"/>
          <w:numId w:val="9"/>
        </w:numPr>
        <w:spacing w:before="0" w:after="240" w:line="240" w:lineRule="atLeast"/>
        <w:jc w:val="both"/>
        <w:rPr>
          <w:rFonts w:cs="Helvetica"/>
          <w:sz w:val="24"/>
          <w:szCs w:val="24"/>
        </w:rPr>
      </w:pPr>
      <w:r w:rsidRPr="00086391">
        <w:rPr>
          <w:rFonts w:cs="Helvetica"/>
          <w:sz w:val="24"/>
          <w:szCs w:val="24"/>
        </w:rPr>
        <w:t>Provisions relating to monitoring and reviewing ICRC and catastrophe reinsurance program (at paragraphs 23(f)-(g) of GPS 230) are to apply such that the Commission must document reinsurance arrangements and tracking of reinstatements of cover during the policy year.</w:t>
      </w:r>
    </w:p>
    <w:p w:rsidR="00086391" w:rsidRPr="00086391" w:rsidRDefault="00086391" w:rsidP="00E011D2">
      <w:pPr>
        <w:pStyle w:val="Heading1"/>
        <w:keepNext w:val="0"/>
        <w:pageBreakBefore/>
        <w:numPr>
          <w:ilvl w:val="0"/>
          <w:numId w:val="9"/>
        </w:numPr>
        <w:spacing w:before="0" w:after="240" w:line="240" w:lineRule="atLeast"/>
        <w:jc w:val="both"/>
        <w:rPr>
          <w:rFonts w:cs="Helvetica"/>
          <w:sz w:val="24"/>
          <w:szCs w:val="24"/>
        </w:rPr>
      </w:pPr>
      <w:r w:rsidRPr="00086391">
        <w:rPr>
          <w:rFonts w:cs="Helvetica"/>
          <w:sz w:val="24"/>
          <w:szCs w:val="24"/>
        </w:rPr>
        <w:lastRenderedPageBreak/>
        <w:t xml:space="preserve">GPS 320 Actuarial and Related Matters  </w:t>
      </w:r>
    </w:p>
    <w:p w:rsidR="00086391" w:rsidRPr="00086391" w:rsidRDefault="00086391" w:rsidP="00E011D2">
      <w:pPr>
        <w:pStyle w:val="Heading2"/>
        <w:widowControl/>
        <w:numPr>
          <w:ilvl w:val="1"/>
          <w:numId w:val="9"/>
        </w:numPr>
        <w:spacing w:before="0" w:after="240" w:line="240" w:lineRule="atLeast"/>
        <w:jc w:val="both"/>
        <w:rPr>
          <w:rFonts w:cs="Helvetica"/>
          <w:sz w:val="24"/>
          <w:szCs w:val="24"/>
        </w:rPr>
      </w:pPr>
      <w:r w:rsidRPr="00086391">
        <w:rPr>
          <w:rFonts w:cs="Helvetica"/>
          <w:sz w:val="24"/>
          <w:szCs w:val="24"/>
        </w:rPr>
        <w:t xml:space="preserve">References to the Insurance Concentration Risk Charge (ICRC) determination or assessment shall be read as a determination or analysis of the annual frequency of claims that are in excess of the reinsurance retention. </w:t>
      </w:r>
    </w:p>
    <w:p w:rsidR="00086391" w:rsidRPr="00086391" w:rsidRDefault="00086391" w:rsidP="00E011D2">
      <w:pPr>
        <w:pStyle w:val="Heading2"/>
        <w:widowControl/>
        <w:numPr>
          <w:ilvl w:val="1"/>
          <w:numId w:val="9"/>
        </w:numPr>
        <w:spacing w:before="0" w:after="240" w:line="240" w:lineRule="atLeast"/>
        <w:jc w:val="both"/>
        <w:rPr>
          <w:rFonts w:cs="Helvetica"/>
          <w:sz w:val="24"/>
          <w:szCs w:val="24"/>
        </w:rPr>
      </w:pPr>
      <w:r w:rsidRPr="00086391">
        <w:rPr>
          <w:rFonts w:cs="Helvetica"/>
          <w:sz w:val="24"/>
          <w:szCs w:val="24"/>
        </w:rPr>
        <w:t>The requirement to prepare a Financial Condition Report annually is modified to be every second year, unless:</w:t>
      </w:r>
    </w:p>
    <w:p w:rsidR="00086391" w:rsidRPr="00AB1A70" w:rsidRDefault="00086391" w:rsidP="00E011D2">
      <w:pPr>
        <w:pStyle w:val="Heading3"/>
        <w:keepNext w:val="0"/>
        <w:widowControl/>
        <w:numPr>
          <w:ilvl w:val="2"/>
          <w:numId w:val="9"/>
        </w:numPr>
        <w:spacing w:before="0" w:after="240" w:line="240" w:lineRule="atLeast"/>
        <w:jc w:val="both"/>
        <w:rPr>
          <w:rFonts w:cs="Helvetica"/>
          <w:b w:val="0"/>
          <w:sz w:val="24"/>
          <w:szCs w:val="24"/>
        </w:rPr>
      </w:pPr>
      <w:r w:rsidRPr="00AB1A70">
        <w:rPr>
          <w:rFonts w:cs="Helvetica"/>
          <w:b w:val="0"/>
          <w:sz w:val="24"/>
          <w:szCs w:val="24"/>
        </w:rPr>
        <w:t>the capital of the MAC Fund is outside of the target range; or</w:t>
      </w:r>
    </w:p>
    <w:p w:rsidR="00086391" w:rsidRPr="00AB1A70" w:rsidRDefault="00086391" w:rsidP="00E011D2">
      <w:pPr>
        <w:pStyle w:val="Heading3"/>
        <w:keepNext w:val="0"/>
        <w:widowControl/>
        <w:numPr>
          <w:ilvl w:val="2"/>
          <w:numId w:val="9"/>
        </w:numPr>
        <w:spacing w:before="0" w:after="240" w:line="240" w:lineRule="atLeast"/>
        <w:jc w:val="both"/>
        <w:rPr>
          <w:rFonts w:cs="Helvetica"/>
          <w:b w:val="0"/>
          <w:sz w:val="24"/>
          <w:szCs w:val="24"/>
        </w:rPr>
      </w:pPr>
      <w:r w:rsidRPr="00AB1A70">
        <w:rPr>
          <w:rFonts w:cs="Helvetica"/>
          <w:b w:val="0"/>
          <w:sz w:val="24"/>
          <w:szCs w:val="24"/>
        </w:rPr>
        <w:t>there are significant changes in the MAC business.</w:t>
      </w:r>
    </w:p>
    <w:p w:rsidR="00086391" w:rsidRPr="00086391" w:rsidRDefault="00086391" w:rsidP="00E011D2">
      <w:pPr>
        <w:pStyle w:val="Heading2"/>
        <w:widowControl/>
        <w:numPr>
          <w:ilvl w:val="1"/>
          <w:numId w:val="9"/>
        </w:numPr>
        <w:spacing w:before="0" w:after="240" w:line="240" w:lineRule="atLeast"/>
        <w:jc w:val="both"/>
        <w:rPr>
          <w:rFonts w:cs="Helvetica"/>
          <w:sz w:val="24"/>
          <w:szCs w:val="24"/>
        </w:rPr>
      </w:pPr>
      <w:r w:rsidRPr="00086391">
        <w:rPr>
          <w:rFonts w:cs="Helvetica"/>
          <w:sz w:val="24"/>
          <w:szCs w:val="24"/>
        </w:rPr>
        <w:t>The Treasurer may agree with the Commission to change the timing of the provision of all reports prepared by the Auditor-General under this Prudential Standard.</w:t>
      </w:r>
    </w:p>
    <w:p w:rsidR="00086391" w:rsidRPr="00086391" w:rsidRDefault="00086391" w:rsidP="00E011D2">
      <w:pPr>
        <w:pStyle w:val="Heading2"/>
        <w:widowControl/>
        <w:numPr>
          <w:ilvl w:val="1"/>
          <w:numId w:val="9"/>
        </w:numPr>
        <w:spacing w:before="0" w:after="240" w:line="240" w:lineRule="atLeast"/>
        <w:jc w:val="both"/>
        <w:rPr>
          <w:rFonts w:cs="Helvetica"/>
          <w:sz w:val="24"/>
          <w:szCs w:val="24"/>
        </w:rPr>
      </w:pPr>
      <w:r w:rsidRPr="00086391">
        <w:rPr>
          <w:rFonts w:cs="Helvetica"/>
          <w:sz w:val="24"/>
          <w:szCs w:val="24"/>
        </w:rPr>
        <w:t>The requirement to disclose information regarding matters that materially prejudice the interests of policyholders (at paragraph 47 of GPS 320) applies such that reference to “as required under the Act” is removed.</w:t>
      </w:r>
    </w:p>
    <w:p w:rsidR="00086391" w:rsidRPr="00086391" w:rsidRDefault="00086391" w:rsidP="00E011D2">
      <w:pPr>
        <w:pStyle w:val="Heading2"/>
        <w:widowControl/>
        <w:numPr>
          <w:ilvl w:val="1"/>
          <w:numId w:val="9"/>
        </w:numPr>
        <w:spacing w:before="0" w:after="240" w:line="240" w:lineRule="atLeast"/>
        <w:jc w:val="both"/>
        <w:rPr>
          <w:rFonts w:cs="Helvetica"/>
          <w:sz w:val="24"/>
          <w:szCs w:val="24"/>
        </w:rPr>
      </w:pPr>
      <w:r w:rsidRPr="00086391">
        <w:rPr>
          <w:rFonts w:cs="Helvetica"/>
          <w:sz w:val="24"/>
          <w:szCs w:val="24"/>
        </w:rPr>
        <w:t xml:space="preserve">The requirement to include an assessment of pricing in a Financial Condition Report (at (d) in Attachment B), is replaced with the requirement to include an annual pricing report, which is updated for any subsequent trends in experience if necessary.  </w:t>
      </w:r>
    </w:p>
    <w:p w:rsidR="00086391" w:rsidRPr="00086391" w:rsidRDefault="00086391" w:rsidP="00E011D2">
      <w:pPr>
        <w:pStyle w:val="Heading1"/>
        <w:widowControl/>
        <w:numPr>
          <w:ilvl w:val="0"/>
          <w:numId w:val="9"/>
        </w:numPr>
        <w:spacing w:before="0" w:after="240" w:line="240" w:lineRule="atLeast"/>
        <w:jc w:val="both"/>
        <w:rPr>
          <w:rFonts w:cs="Helvetica"/>
          <w:sz w:val="24"/>
          <w:szCs w:val="24"/>
        </w:rPr>
      </w:pPr>
      <w:r w:rsidRPr="00086391">
        <w:rPr>
          <w:rFonts w:cs="Helvetica"/>
          <w:sz w:val="24"/>
          <w:szCs w:val="24"/>
        </w:rPr>
        <w:t>CPS 220 Risk Management</w:t>
      </w:r>
    </w:p>
    <w:p w:rsidR="00086391" w:rsidRPr="00086391" w:rsidRDefault="00086391" w:rsidP="002B6E25">
      <w:pPr>
        <w:pStyle w:val="WKL4"/>
        <w:numPr>
          <w:ilvl w:val="0"/>
          <w:numId w:val="0"/>
        </w:numPr>
        <w:ind w:left="567"/>
        <w:rPr>
          <w:rFonts w:ascii="Helvetica" w:hAnsi="Helvetica" w:cs="Helvetica"/>
          <w:sz w:val="24"/>
          <w:szCs w:val="24"/>
        </w:rPr>
      </w:pPr>
      <w:r w:rsidRPr="00086391">
        <w:rPr>
          <w:rFonts w:ascii="Helvetica" w:hAnsi="Helvetica" w:cs="Helvetica"/>
          <w:sz w:val="24"/>
          <w:szCs w:val="24"/>
        </w:rPr>
        <w:t>The provision for alternative arrangements for risk management at paragraph 42 of CPS 220 does not apply.</w:t>
      </w:r>
    </w:p>
    <w:p w:rsidR="00086391" w:rsidRPr="00086391" w:rsidRDefault="00086391" w:rsidP="00E011D2">
      <w:pPr>
        <w:pStyle w:val="Heading1"/>
        <w:widowControl/>
        <w:numPr>
          <w:ilvl w:val="0"/>
          <w:numId w:val="9"/>
        </w:numPr>
        <w:spacing w:before="0" w:after="240" w:line="240" w:lineRule="atLeast"/>
        <w:jc w:val="both"/>
        <w:rPr>
          <w:rFonts w:cs="Helvetica"/>
          <w:bCs w:val="0"/>
          <w:sz w:val="24"/>
          <w:szCs w:val="24"/>
        </w:rPr>
      </w:pPr>
      <w:r w:rsidRPr="00086391">
        <w:rPr>
          <w:rFonts w:cs="Helvetica"/>
          <w:sz w:val="24"/>
          <w:szCs w:val="24"/>
        </w:rPr>
        <w:t>CPS 232 Business Continuity Management</w:t>
      </w:r>
    </w:p>
    <w:p w:rsidR="00086391" w:rsidRPr="00086391" w:rsidRDefault="00086391" w:rsidP="002B6E25">
      <w:pPr>
        <w:pStyle w:val="BodyText"/>
        <w:jc w:val="both"/>
        <w:rPr>
          <w:rFonts w:ascii="Helvetica" w:hAnsi="Helvetica" w:cs="Helvetica"/>
          <w:sz w:val="24"/>
          <w:szCs w:val="24"/>
        </w:rPr>
      </w:pPr>
      <w:r w:rsidRPr="00086391">
        <w:rPr>
          <w:rFonts w:ascii="Helvetica" w:hAnsi="Helvetica" w:cs="Helvetica"/>
          <w:sz w:val="24"/>
          <w:szCs w:val="24"/>
        </w:rPr>
        <w:t>The application of this APRA Standard is in respect of the Business Continuity Plan of any third party that is contracted by the Commission to perform its MAC business operations.</w:t>
      </w:r>
    </w:p>
    <w:p w:rsidR="00086391" w:rsidRPr="00086391" w:rsidRDefault="00086391" w:rsidP="00E011D2">
      <w:pPr>
        <w:pStyle w:val="Heading1"/>
        <w:widowControl/>
        <w:numPr>
          <w:ilvl w:val="0"/>
          <w:numId w:val="9"/>
        </w:numPr>
        <w:spacing w:before="240" w:after="240" w:line="240" w:lineRule="atLeast"/>
        <w:jc w:val="both"/>
        <w:rPr>
          <w:rFonts w:cs="Helvetica"/>
          <w:sz w:val="24"/>
          <w:szCs w:val="24"/>
        </w:rPr>
      </w:pPr>
      <w:r w:rsidRPr="00086391">
        <w:rPr>
          <w:rFonts w:cs="Helvetica"/>
          <w:sz w:val="24"/>
          <w:szCs w:val="24"/>
        </w:rPr>
        <w:t xml:space="preserve">CPS 520 Fit and Proper </w:t>
      </w:r>
    </w:p>
    <w:p w:rsidR="00086391" w:rsidRPr="00086391" w:rsidRDefault="00086391" w:rsidP="00523DE3">
      <w:pPr>
        <w:pStyle w:val="BodyText"/>
        <w:spacing w:after="240"/>
        <w:ind w:left="924"/>
        <w:jc w:val="both"/>
        <w:rPr>
          <w:rFonts w:ascii="Helvetica" w:hAnsi="Helvetica" w:cs="Helvetica"/>
          <w:sz w:val="24"/>
          <w:szCs w:val="24"/>
        </w:rPr>
      </w:pPr>
      <w:r w:rsidRPr="00086391">
        <w:rPr>
          <w:rFonts w:ascii="Helvetica" w:hAnsi="Helvetica" w:cs="Helvetica"/>
          <w:sz w:val="24"/>
          <w:szCs w:val="24"/>
        </w:rPr>
        <w:t xml:space="preserve">The Commission must adopt APRA Standard CPS 520, subject to the following qualifications: </w:t>
      </w:r>
    </w:p>
    <w:p w:rsidR="00086391" w:rsidRPr="00086391" w:rsidRDefault="00086391" w:rsidP="00E011D2">
      <w:pPr>
        <w:pStyle w:val="Heading2"/>
        <w:widowControl/>
        <w:numPr>
          <w:ilvl w:val="1"/>
          <w:numId w:val="9"/>
        </w:numPr>
        <w:spacing w:before="0" w:after="240" w:line="240" w:lineRule="atLeast"/>
        <w:jc w:val="both"/>
        <w:rPr>
          <w:rFonts w:cs="Helvetica"/>
          <w:sz w:val="24"/>
          <w:szCs w:val="24"/>
        </w:rPr>
      </w:pPr>
      <w:r w:rsidRPr="00086391">
        <w:rPr>
          <w:rFonts w:cs="Helvetica"/>
          <w:sz w:val="24"/>
          <w:szCs w:val="24"/>
        </w:rPr>
        <w:t xml:space="preserve">The Commissioner is excluded from the fit and proper policy and framework. </w:t>
      </w:r>
    </w:p>
    <w:p w:rsidR="00086391" w:rsidRPr="00086391" w:rsidRDefault="00086391" w:rsidP="00E011D2">
      <w:pPr>
        <w:pStyle w:val="Heading2"/>
        <w:widowControl/>
        <w:numPr>
          <w:ilvl w:val="1"/>
          <w:numId w:val="9"/>
        </w:numPr>
        <w:spacing w:before="0" w:after="240" w:line="240" w:lineRule="atLeast"/>
        <w:jc w:val="both"/>
        <w:rPr>
          <w:rFonts w:cs="Helvetica"/>
          <w:sz w:val="24"/>
          <w:szCs w:val="24"/>
        </w:rPr>
      </w:pPr>
      <w:r w:rsidRPr="00086391">
        <w:rPr>
          <w:rFonts w:cs="Helvetica"/>
          <w:sz w:val="24"/>
          <w:szCs w:val="24"/>
        </w:rPr>
        <w:t>The Commissioner is required to make an annual declaration in relation to the Commissioner’s fitness and proprietary, in a form as approved by the Treasurer.</w:t>
      </w:r>
    </w:p>
    <w:p w:rsidR="00086391" w:rsidRPr="00086391" w:rsidRDefault="00086391" w:rsidP="002B6E25">
      <w:pPr>
        <w:pStyle w:val="WKL4"/>
        <w:pageBreakBefore/>
        <w:widowControl w:val="0"/>
        <w:numPr>
          <w:ilvl w:val="0"/>
          <w:numId w:val="0"/>
        </w:numPr>
        <w:rPr>
          <w:rFonts w:ascii="Helvetica" w:hAnsi="Helvetica" w:cs="Helvetica"/>
          <w:sz w:val="24"/>
          <w:szCs w:val="24"/>
        </w:rPr>
      </w:pPr>
      <w:r w:rsidRPr="00086391">
        <w:rPr>
          <w:rFonts w:ascii="Helvetica" w:hAnsi="Helvetica" w:cs="Helvetica"/>
          <w:b/>
          <w:sz w:val="24"/>
          <w:szCs w:val="24"/>
        </w:rPr>
        <w:lastRenderedPageBreak/>
        <w:t xml:space="preserve">Schedule 2 – Transition Schedule </w:t>
      </w:r>
    </w:p>
    <w:p w:rsidR="00086391" w:rsidRPr="00086391" w:rsidRDefault="00086391" w:rsidP="002B6E25">
      <w:pPr>
        <w:pStyle w:val="WKL4"/>
        <w:numPr>
          <w:ilvl w:val="0"/>
          <w:numId w:val="0"/>
        </w:numPr>
        <w:ind w:left="567"/>
        <w:rPr>
          <w:rFonts w:ascii="Helvetica" w:hAnsi="Helvetica" w:cs="Helvetica"/>
          <w:sz w:val="24"/>
          <w:szCs w:val="24"/>
        </w:rPr>
      </w:pPr>
      <w:r w:rsidRPr="00086391">
        <w:rPr>
          <w:rFonts w:ascii="Helvetica" w:hAnsi="Helvetica" w:cs="Helvetica"/>
          <w:sz w:val="24"/>
          <w:szCs w:val="24"/>
        </w:rPr>
        <w:t xml:space="preserve">The following matters and reports required pursuant to the Prudential Standards shall be taken to be valid, and shall continue to have effect, in accordance with clause </w:t>
      </w:r>
      <w:r w:rsidRPr="00086391">
        <w:rPr>
          <w:rFonts w:ascii="Helvetica" w:hAnsi="Helvetica" w:cs="Helvetica"/>
          <w:sz w:val="24"/>
          <w:szCs w:val="24"/>
        </w:rPr>
        <w:fldChar w:fldCharType="begin"/>
      </w:r>
      <w:r w:rsidRPr="00086391">
        <w:rPr>
          <w:rFonts w:ascii="Helvetica" w:hAnsi="Helvetica" w:cs="Helvetica"/>
          <w:sz w:val="24"/>
          <w:szCs w:val="24"/>
        </w:rPr>
        <w:instrText xml:space="preserve"> REF _Ref452723234 \w \h  \* MERGEFORMAT </w:instrText>
      </w:r>
      <w:r w:rsidRPr="00086391">
        <w:rPr>
          <w:rFonts w:ascii="Helvetica" w:hAnsi="Helvetica" w:cs="Helvetica"/>
          <w:sz w:val="24"/>
          <w:szCs w:val="24"/>
        </w:rPr>
      </w:r>
      <w:r w:rsidRPr="00086391">
        <w:rPr>
          <w:rFonts w:ascii="Helvetica" w:hAnsi="Helvetica" w:cs="Helvetica"/>
          <w:sz w:val="24"/>
          <w:szCs w:val="24"/>
        </w:rPr>
        <w:fldChar w:fldCharType="separate"/>
      </w:r>
      <w:r w:rsidR="000E6F7B">
        <w:rPr>
          <w:rFonts w:ascii="Helvetica" w:hAnsi="Helvetica" w:cs="Helvetica"/>
          <w:sz w:val="24"/>
          <w:szCs w:val="24"/>
        </w:rPr>
        <w:t>5</w:t>
      </w:r>
      <w:r w:rsidRPr="00086391">
        <w:rPr>
          <w:rFonts w:ascii="Helvetica" w:hAnsi="Helvetica" w:cs="Helvetica"/>
          <w:sz w:val="24"/>
          <w:szCs w:val="24"/>
        </w:rPr>
        <w:fldChar w:fldCharType="end"/>
      </w:r>
      <w:r w:rsidRPr="00086391">
        <w:rPr>
          <w:rFonts w:ascii="Helvetica" w:hAnsi="Helvetica" w:cs="Helvetica"/>
          <w:sz w:val="24"/>
          <w:szCs w:val="24"/>
        </w:rPr>
        <w:t xml:space="preserve"> (Transitional Arrangements) of the Determination:</w:t>
      </w:r>
    </w:p>
    <w:p w:rsidR="00086391" w:rsidRPr="00C91953" w:rsidRDefault="00086391" w:rsidP="00E011D2">
      <w:pPr>
        <w:pStyle w:val="Heading2"/>
        <w:widowControl/>
        <w:numPr>
          <w:ilvl w:val="1"/>
          <w:numId w:val="12"/>
        </w:numPr>
        <w:spacing w:before="0" w:after="240" w:line="240" w:lineRule="atLeast"/>
        <w:jc w:val="both"/>
        <w:rPr>
          <w:rFonts w:cs="Helvetica"/>
          <w:b/>
          <w:sz w:val="24"/>
          <w:szCs w:val="24"/>
        </w:rPr>
      </w:pPr>
      <w:r w:rsidRPr="00C91953">
        <w:rPr>
          <w:rFonts w:cs="Helvetica"/>
          <w:b/>
          <w:sz w:val="24"/>
          <w:szCs w:val="24"/>
        </w:rPr>
        <w:t>GPS 110 Capital Adequacy</w:t>
      </w:r>
    </w:p>
    <w:p w:rsidR="00086391" w:rsidRPr="00C91953" w:rsidRDefault="00086391" w:rsidP="00E011D2">
      <w:pPr>
        <w:pStyle w:val="Heading3"/>
        <w:keepNext w:val="0"/>
        <w:widowControl/>
        <w:numPr>
          <w:ilvl w:val="2"/>
          <w:numId w:val="9"/>
        </w:numPr>
        <w:spacing w:before="0" w:after="240" w:line="240" w:lineRule="atLeast"/>
        <w:jc w:val="both"/>
        <w:rPr>
          <w:rFonts w:cs="Helvetica"/>
          <w:b w:val="0"/>
          <w:sz w:val="24"/>
          <w:szCs w:val="24"/>
        </w:rPr>
      </w:pPr>
      <w:r w:rsidRPr="00C91953">
        <w:rPr>
          <w:rFonts w:cs="Helvetica"/>
          <w:b w:val="0"/>
          <w:sz w:val="24"/>
          <w:szCs w:val="24"/>
        </w:rPr>
        <w:t>ICAAP Summary Statement, dated [</w:t>
      </w:r>
      <w:r w:rsidRPr="00C91953">
        <w:rPr>
          <w:rFonts w:cs="Helvetica"/>
          <w:b w:val="0"/>
          <w:i/>
          <w:sz w:val="24"/>
          <w:szCs w:val="24"/>
        </w:rPr>
        <w:t>30 June 2015</w:t>
      </w:r>
      <w:r w:rsidRPr="00C91953">
        <w:rPr>
          <w:rFonts w:cs="Helvetica"/>
          <w:b w:val="0"/>
          <w:sz w:val="24"/>
          <w:szCs w:val="24"/>
        </w:rPr>
        <w:t>]</w:t>
      </w:r>
    </w:p>
    <w:p w:rsidR="00086391" w:rsidRPr="00C91953" w:rsidRDefault="00086391" w:rsidP="00E011D2">
      <w:pPr>
        <w:pStyle w:val="Heading3"/>
        <w:keepNext w:val="0"/>
        <w:widowControl/>
        <w:numPr>
          <w:ilvl w:val="2"/>
          <w:numId w:val="9"/>
        </w:numPr>
        <w:spacing w:before="0" w:after="240" w:line="240" w:lineRule="atLeast"/>
        <w:jc w:val="both"/>
        <w:rPr>
          <w:rFonts w:cs="Helvetica"/>
          <w:b w:val="0"/>
          <w:sz w:val="24"/>
          <w:szCs w:val="24"/>
        </w:rPr>
      </w:pPr>
      <w:r w:rsidRPr="00C91953">
        <w:rPr>
          <w:rFonts w:cs="Helvetica"/>
          <w:b w:val="0"/>
          <w:sz w:val="24"/>
          <w:szCs w:val="24"/>
        </w:rPr>
        <w:t>ICAAP Annual Report and Declaration, dated [</w:t>
      </w:r>
      <w:r w:rsidRPr="00C91953">
        <w:rPr>
          <w:rFonts w:cs="Helvetica"/>
          <w:b w:val="0"/>
          <w:i/>
          <w:sz w:val="24"/>
          <w:szCs w:val="24"/>
        </w:rPr>
        <w:t>30 June 2015</w:t>
      </w:r>
      <w:r w:rsidRPr="00C91953">
        <w:rPr>
          <w:rFonts w:cs="Helvetica"/>
          <w:b w:val="0"/>
          <w:sz w:val="24"/>
          <w:szCs w:val="24"/>
        </w:rPr>
        <w:t>]</w:t>
      </w:r>
    </w:p>
    <w:p w:rsidR="00086391" w:rsidRPr="00C91953" w:rsidRDefault="00086391" w:rsidP="00E011D2">
      <w:pPr>
        <w:pStyle w:val="Heading2"/>
        <w:widowControl/>
        <w:numPr>
          <w:ilvl w:val="1"/>
          <w:numId w:val="12"/>
        </w:numPr>
        <w:spacing w:before="0" w:after="240" w:line="240" w:lineRule="atLeast"/>
        <w:jc w:val="both"/>
        <w:rPr>
          <w:rFonts w:cs="Helvetica"/>
          <w:b/>
          <w:sz w:val="24"/>
          <w:szCs w:val="24"/>
        </w:rPr>
      </w:pPr>
      <w:r w:rsidRPr="00086391">
        <w:rPr>
          <w:rFonts w:cs="Helvetica"/>
          <w:sz w:val="24"/>
          <w:szCs w:val="24"/>
        </w:rPr>
        <w:t xml:space="preserve"> </w:t>
      </w:r>
      <w:r w:rsidR="00E011D2">
        <w:rPr>
          <w:rFonts w:cs="Helvetica"/>
          <w:b/>
          <w:sz w:val="24"/>
          <w:szCs w:val="24"/>
        </w:rPr>
        <w:t>GPS 230 Reinsurance Management</w:t>
      </w:r>
    </w:p>
    <w:p w:rsidR="00086391" w:rsidRPr="00C91953" w:rsidRDefault="00086391" w:rsidP="00E011D2">
      <w:pPr>
        <w:pStyle w:val="Heading3"/>
        <w:keepNext w:val="0"/>
        <w:widowControl/>
        <w:numPr>
          <w:ilvl w:val="2"/>
          <w:numId w:val="13"/>
        </w:numPr>
        <w:spacing w:before="0" w:after="240" w:line="240" w:lineRule="atLeast"/>
        <w:jc w:val="both"/>
        <w:rPr>
          <w:rFonts w:cs="Helvetica"/>
          <w:b w:val="0"/>
          <w:sz w:val="24"/>
          <w:szCs w:val="24"/>
        </w:rPr>
      </w:pPr>
      <w:r w:rsidRPr="00C91953">
        <w:rPr>
          <w:rFonts w:cs="Helvetica"/>
          <w:b w:val="0"/>
          <w:sz w:val="24"/>
          <w:szCs w:val="24"/>
        </w:rPr>
        <w:t>Reinsurance Management Strategy, dated [</w:t>
      </w:r>
      <w:r w:rsidRPr="00C91953">
        <w:rPr>
          <w:rFonts w:cs="Helvetica"/>
          <w:b w:val="0"/>
          <w:i/>
          <w:sz w:val="24"/>
          <w:szCs w:val="24"/>
        </w:rPr>
        <w:t>June 2015</w:t>
      </w:r>
      <w:r w:rsidR="00E011D2">
        <w:rPr>
          <w:rFonts w:cs="Helvetica"/>
          <w:b w:val="0"/>
          <w:sz w:val="24"/>
          <w:szCs w:val="24"/>
        </w:rPr>
        <w:t>]</w:t>
      </w:r>
    </w:p>
    <w:p w:rsidR="00086391" w:rsidRPr="00C91953" w:rsidRDefault="00086391" w:rsidP="00E011D2">
      <w:pPr>
        <w:pStyle w:val="Heading3"/>
        <w:keepNext w:val="0"/>
        <w:widowControl/>
        <w:numPr>
          <w:ilvl w:val="2"/>
          <w:numId w:val="13"/>
        </w:numPr>
        <w:spacing w:before="0" w:after="240" w:line="240" w:lineRule="atLeast"/>
        <w:jc w:val="both"/>
        <w:rPr>
          <w:rFonts w:cs="Helvetica"/>
          <w:b w:val="0"/>
          <w:sz w:val="24"/>
          <w:szCs w:val="24"/>
        </w:rPr>
      </w:pPr>
      <w:r w:rsidRPr="00C91953">
        <w:rPr>
          <w:rFonts w:cs="Helvetica"/>
          <w:b w:val="0"/>
          <w:sz w:val="24"/>
          <w:szCs w:val="24"/>
        </w:rPr>
        <w:t>Reinsurance Statement, dated [</w:t>
      </w:r>
      <w:r w:rsidRPr="00C91953">
        <w:rPr>
          <w:rFonts w:cs="Helvetica"/>
          <w:b w:val="0"/>
          <w:i/>
          <w:sz w:val="24"/>
          <w:szCs w:val="24"/>
        </w:rPr>
        <w:t>September 2015]</w:t>
      </w:r>
    </w:p>
    <w:p w:rsidR="00086391" w:rsidRPr="00C91953" w:rsidRDefault="00086391" w:rsidP="00E011D2">
      <w:pPr>
        <w:pStyle w:val="Heading3"/>
        <w:keepNext w:val="0"/>
        <w:widowControl/>
        <w:numPr>
          <w:ilvl w:val="2"/>
          <w:numId w:val="13"/>
        </w:numPr>
        <w:spacing w:before="0" w:after="240" w:line="240" w:lineRule="atLeast"/>
        <w:jc w:val="both"/>
        <w:rPr>
          <w:rFonts w:cs="Helvetica"/>
          <w:b w:val="0"/>
          <w:sz w:val="24"/>
          <w:szCs w:val="24"/>
        </w:rPr>
      </w:pPr>
      <w:r w:rsidRPr="00C91953">
        <w:rPr>
          <w:rFonts w:cs="Helvetica"/>
          <w:b w:val="0"/>
          <w:sz w:val="24"/>
          <w:szCs w:val="24"/>
        </w:rPr>
        <w:t>Reinsurance Declaration, dated [</w:t>
      </w:r>
      <w:r w:rsidRPr="00C91953">
        <w:rPr>
          <w:rFonts w:cs="Helvetica"/>
          <w:b w:val="0"/>
          <w:i/>
          <w:sz w:val="24"/>
          <w:szCs w:val="24"/>
        </w:rPr>
        <w:t>September 2015</w:t>
      </w:r>
      <w:r w:rsidRPr="00C91953">
        <w:rPr>
          <w:rFonts w:cs="Helvetica"/>
          <w:b w:val="0"/>
          <w:sz w:val="24"/>
          <w:szCs w:val="24"/>
        </w:rPr>
        <w:t>]</w:t>
      </w:r>
    </w:p>
    <w:p w:rsidR="00086391" w:rsidRPr="00C91953" w:rsidRDefault="00086391" w:rsidP="00E011D2">
      <w:pPr>
        <w:pStyle w:val="Heading2"/>
        <w:widowControl/>
        <w:numPr>
          <w:ilvl w:val="1"/>
          <w:numId w:val="12"/>
        </w:numPr>
        <w:spacing w:before="0" w:after="240" w:line="240" w:lineRule="atLeast"/>
        <w:jc w:val="both"/>
        <w:rPr>
          <w:rFonts w:cs="Helvetica"/>
          <w:b/>
          <w:sz w:val="24"/>
          <w:szCs w:val="24"/>
        </w:rPr>
      </w:pPr>
      <w:r w:rsidRPr="00086391">
        <w:rPr>
          <w:rFonts w:cs="Helvetica"/>
          <w:sz w:val="24"/>
          <w:szCs w:val="24"/>
        </w:rPr>
        <w:t xml:space="preserve"> </w:t>
      </w:r>
      <w:r w:rsidRPr="00C91953">
        <w:rPr>
          <w:rFonts w:cs="Helvetica"/>
          <w:b/>
          <w:sz w:val="24"/>
          <w:szCs w:val="24"/>
        </w:rPr>
        <w:t>CPS 220 Risk Management</w:t>
      </w:r>
    </w:p>
    <w:p w:rsidR="00086391" w:rsidRPr="00C91953" w:rsidRDefault="00086391" w:rsidP="00E011D2">
      <w:pPr>
        <w:pStyle w:val="Heading3"/>
        <w:keepNext w:val="0"/>
        <w:widowControl/>
        <w:numPr>
          <w:ilvl w:val="2"/>
          <w:numId w:val="14"/>
        </w:numPr>
        <w:spacing w:before="0" w:after="240" w:line="240" w:lineRule="atLeast"/>
        <w:jc w:val="both"/>
        <w:rPr>
          <w:rFonts w:cs="Helvetica"/>
          <w:b w:val="0"/>
          <w:sz w:val="24"/>
          <w:szCs w:val="24"/>
        </w:rPr>
      </w:pPr>
      <w:r w:rsidRPr="00C91953">
        <w:rPr>
          <w:rFonts w:cs="Helvetica"/>
          <w:b w:val="0"/>
          <w:sz w:val="24"/>
          <w:szCs w:val="24"/>
        </w:rPr>
        <w:t>Risk Management Strategy, dated [</w:t>
      </w:r>
      <w:r w:rsidRPr="00C91953">
        <w:rPr>
          <w:rFonts w:cs="Helvetica"/>
          <w:b w:val="0"/>
          <w:i/>
          <w:sz w:val="24"/>
          <w:szCs w:val="24"/>
        </w:rPr>
        <w:t>June 2016</w:t>
      </w:r>
      <w:r w:rsidRPr="00C91953">
        <w:rPr>
          <w:rFonts w:cs="Helvetica"/>
          <w:b w:val="0"/>
          <w:sz w:val="24"/>
          <w:szCs w:val="24"/>
        </w:rPr>
        <w:t>]</w:t>
      </w:r>
    </w:p>
    <w:p w:rsidR="00086391" w:rsidRPr="00C91953" w:rsidRDefault="00086391" w:rsidP="00E011D2">
      <w:pPr>
        <w:pStyle w:val="Heading3"/>
        <w:keepNext w:val="0"/>
        <w:widowControl/>
        <w:numPr>
          <w:ilvl w:val="2"/>
          <w:numId w:val="14"/>
        </w:numPr>
        <w:spacing w:before="0" w:after="240" w:line="240" w:lineRule="atLeast"/>
        <w:jc w:val="both"/>
        <w:rPr>
          <w:rFonts w:cs="Helvetica"/>
          <w:b w:val="0"/>
          <w:sz w:val="24"/>
          <w:szCs w:val="24"/>
        </w:rPr>
      </w:pPr>
      <w:r w:rsidRPr="00C91953">
        <w:rPr>
          <w:rFonts w:cs="Helvetica"/>
          <w:b w:val="0"/>
          <w:sz w:val="24"/>
          <w:szCs w:val="24"/>
        </w:rPr>
        <w:t>Risk Appetite Statement, dated [</w:t>
      </w:r>
      <w:r w:rsidRPr="00C91953">
        <w:rPr>
          <w:rFonts w:cs="Helvetica"/>
          <w:b w:val="0"/>
          <w:i/>
          <w:sz w:val="24"/>
          <w:szCs w:val="24"/>
        </w:rPr>
        <w:t>June 2016]</w:t>
      </w:r>
    </w:p>
    <w:p w:rsidR="00086391" w:rsidRPr="00C91953" w:rsidRDefault="00086391" w:rsidP="00E011D2">
      <w:pPr>
        <w:pStyle w:val="Heading2"/>
        <w:widowControl/>
        <w:numPr>
          <w:ilvl w:val="1"/>
          <w:numId w:val="12"/>
        </w:numPr>
        <w:spacing w:before="0" w:after="240" w:line="240" w:lineRule="atLeast"/>
        <w:jc w:val="both"/>
        <w:rPr>
          <w:rFonts w:cs="Helvetica"/>
          <w:b/>
          <w:sz w:val="24"/>
          <w:szCs w:val="24"/>
        </w:rPr>
      </w:pPr>
      <w:r w:rsidRPr="00C91953">
        <w:rPr>
          <w:rFonts w:cs="Helvetica"/>
          <w:b/>
          <w:sz w:val="24"/>
          <w:szCs w:val="24"/>
        </w:rPr>
        <w:t>CPS 232 Business Continuity Management</w:t>
      </w:r>
    </w:p>
    <w:p w:rsidR="00086391" w:rsidRPr="00C91953" w:rsidRDefault="00086391" w:rsidP="00E011D2">
      <w:pPr>
        <w:pStyle w:val="Heading3"/>
        <w:keepNext w:val="0"/>
        <w:widowControl/>
        <w:numPr>
          <w:ilvl w:val="2"/>
          <w:numId w:val="15"/>
        </w:numPr>
        <w:spacing w:before="0" w:after="240" w:line="240" w:lineRule="atLeast"/>
        <w:jc w:val="both"/>
        <w:rPr>
          <w:rFonts w:cs="Helvetica"/>
          <w:b w:val="0"/>
          <w:sz w:val="24"/>
          <w:szCs w:val="24"/>
        </w:rPr>
      </w:pPr>
      <w:r w:rsidRPr="00C91953">
        <w:rPr>
          <w:rFonts w:cs="Helvetica"/>
          <w:b w:val="0"/>
          <w:sz w:val="24"/>
          <w:szCs w:val="24"/>
        </w:rPr>
        <w:t>Business Continuity Policy, dated [</w:t>
      </w:r>
      <w:r w:rsidRPr="00C91953">
        <w:rPr>
          <w:rFonts w:cs="Helvetica"/>
          <w:b w:val="0"/>
          <w:i/>
          <w:sz w:val="24"/>
          <w:szCs w:val="24"/>
        </w:rPr>
        <w:t>June 2016</w:t>
      </w:r>
      <w:r w:rsidRPr="00C91953">
        <w:rPr>
          <w:rFonts w:cs="Helvetica"/>
          <w:b w:val="0"/>
          <w:sz w:val="24"/>
          <w:szCs w:val="24"/>
        </w:rPr>
        <w:t>]</w:t>
      </w:r>
    </w:p>
    <w:p w:rsidR="00086391" w:rsidRPr="00C91953" w:rsidRDefault="00086391" w:rsidP="00E011D2">
      <w:pPr>
        <w:pStyle w:val="Heading2"/>
        <w:widowControl/>
        <w:numPr>
          <w:ilvl w:val="1"/>
          <w:numId w:val="12"/>
        </w:numPr>
        <w:spacing w:before="0" w:after="240" w:line="240" w:lineRule="atLeast"/>
        <w:jc w:val="both"/>
        <w:rPr>
          <w:rFonts w:cs="Helvetica"/>
          <w:b/>
          <w:sz w:val="24"/>
          <w:szCs w:val="24"/>
        </w:rPr>
      </w:pPr>
      <w:r w:rsidRPr="00C91953">
        <w:rPr>
          <w:rFonts w:cs="Helvetica"/>
          <w:b/>
          <w:sz w:val="24"/>
          <w:szCs w:val="24"/>
        </w:rPr>
        <w:t>CPS 520 Fit and Proper</w:t>
      </w:r>
    </w:p>
    <w:p w:rsidR="00086391" w:rsidRPr="00C91953" w:rsidRDefault="00086391" w:rsidP="00E011D2">
      <w:pPr>
        <w:pStyle w:val="Heading3"/>
        <w:keepNext w:val="0"/>
        <w:widowControl/>
        <w:numPr>
          <w:ilvl w:val="2"/>
          <w:numId w:val="16"/>
        </w:numPr>
        <w:spacing w:before="0" w:after="240" w:line="240" w:lineRule="atLeast"/>
        <w:jc w:val="both"/>
        <w:rPr>
          <w:rFonts w:cs="Helvetica"/>
          <w:b w:val="0"/>
          <w:sz w:val="24"/>
          <w:szCs w:val="24"/>
        </w:rPr>
      </w:pPr>
      <w:r w:rsidRPr="00C91953">
        <w:rPr>
          <w:rFonts w:cs="Helvetica"/>
          <w:b w:val="0"/>
          <w:sz w:val="24"/>
          <w:szCs w:val="24"/>
        </w:rPr>
        <w:t>Fit and Proper Policy, dated [</w:t>
      </w:r>
      <w:r w:rsidRPr="00C91953">
        <w:rPr>
          <w:rFonts w:cs="Helvetica"/>
          <w:b w:val="0"/>
          <w:i/>
          <w:sz w:val="24"/>
          <w:szCs w:val="24"/>
        </w:rPr>
        <w:t>June 2016</w:t>
      </w:r>
      <w:r w:rsidRPr="00C91953">
        <w:rPr>
          <w:rFonts w:cs="Helvetica"/>
          <w:b w:val="0"/>
          <w:sz w:val="24"/>
          <w:szCs w:val="24"/>
        </w:rPr>
        <w:t>]</w:t>
      </w:r>
    </w:p>
    <w:p w:rsidR="00086391" w:rsidRPr="00C91953" w:rsidRDefault="00086391" w:rsidP="00E011D2">
      <w:pPr>
        <w:pStyle w:val="Heading3"/>
        <w:keepNext w:val="0"/>
        <w:widowControl/>
        <w:numPr>
          <w:ilvl w:val="2"/>
          <w:numId w:val="16"/>
        </w:numPr>
        <w:spacing w:before="0" w:after="240" w:line="240" w:lineRule="atLeast"/>
        <w:jc w:val="both"/>
        <w:rPr>
          <w:rFonts w:cs="Helvetica"/>
          <w:b w:val="0"/>
          <w:sz w:val="24"/>
          <w:szCs w:val="24"/>
        </w:rPr>
      </w:pPr>
      <w:r w:rsidRPr="00C91953">
        <w:rPr>
          <w:rFonts w:cs="Helvetica"/>
          <w:b w:val="0"/>
          <w:sz w:val="24"/>
          <w:szCs w:val="24"/>
        </w:rPr>
        <w:t xml:space="preserve">Annual declarations/assessments of each responsible person provided.  In particular, prior annual declarations and assessments continue to be taken as valid. </w:t>
      </w:r>
    </w:p>
    <w:p w:rsidR="00086391" w:rsidRPr="00C91953" w:rsidRDefault="00086391" w:rsidP="00E011D2">
      <w:pPr>
        <w:pStyle w:val="Heading3"/>
        <w:keepNext w:val="0"/>
        <w:widowControl/>
        <w:numPr>
          <w:ilvl w:val="2"/>
          <w:numId w:val="16"/>
        </w:numPr>
        <w:spacing w:before="0" w:after="240" w:line="240" w:lineRule="atLeast"/>
        <w:jc w:val="both"/>
        <w:rPr>
          <w:rFonts w:cs="Helvetica"/>
          <w:b w:val="0"/>
          <w:sz w:val="24"/>
          <w:szCs w:val="24"/>
        </w:rPr>
      </w:pPr>
      <w:r w:rsidRPr="00C91953">
        <w:rPr>
          <w:rFonts w:cs="Helvetica"/>
          <w:b w:val="0"/>
          <w:sz w:val="24"/>
          <w:szCs w:val="24"/>
        </w:rPr>
        <w:t>Statements and details of responsible persons provided in accordance with the requireme</w:t>
      </w:r>
      <w:r w:rsidR="00C91953" w:rsidRPr="00C91953">
        <w:rPr>
          <w:rFonts w:cs="Helvetica"/>
          <w:b w:val="0"/>
          <w:sz w:val="24"/>
          <w:szCs w:val="24"/>
        </w:rPr>
        <w:t>nts of paragraph 51 of CPS 520.</w:t>
      </w:r>
    </w:p>
    <w:sectPr w:rsidR="00086391" w:rsidRPr="00C91953" w:rsidSect="00741596">
      <w:headerReference w:type="default" r:id="rId10"/>
      <w:footerReference w:type="default" r:id="rId11"/>
      <w:pgSz w:w="11906" w:h="16838" w:code="9"/>
      <w:pgMar w:top="1440" w:right="1797"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596" w:rsidRDefault="00741596" w:rsidP="00262753">
      <w:pPr>
        <w:spacing w:before="0" w:after="0"/>
      </w:pPr>
      <w:r>
        <w:separator/>
      </w:r>
    </w:p>
  </w:endnote>
  <w:endnote w:type="continuationSeparator" w:id="0">
    <w:p w:rsidR="00741596" w:rsidRDefault="00741596"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96" w:rsidRPr="00E433EF" w:rsidRDefault="00741596"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0E6F7B">
      <w:rPr>
        <w:noProof/>
      </w:rPr>
      <w:t>8</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596" w:rsidRDefault="00741596" w:rsidP="00262753">
      <w:pPr>
        <w:spacing w:before="0" w:after="0"/>
      </w:pPr>
      <w:r>
        <w:separator/>
      </w:r>
    </w:p>
  </w:footnote>
  <w:footnote w:type="continuationSeparator" w:id="0">
    <w:p w:rsidR="00741596" w:rsidRDefault="00741596"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96" w:rsidRPr="00246A76" w:rsidRDefault="00741596" w:rsidP="00C538EE">
    <w:pPr>
      <w:pStyle w:val="Header"/>
    </w:pPr>
    <w:r w:rsidRPr="00246A76">
      <w:t xml:space="preserve">Northern Territory Government Gazette No. </w:t>
    </w:r>
    <w:r>
      <w:t>S</w:t>
    </w:r>
    <w:r w:rsidR="002E37C1">
      <w:t>70</w:t>
    </w:r>
    <w:r w:rsidRPr="00246A76">
      <w:t xml:space="preserve">, </w:t>
    </w:r>
    <w:r w:rsidR="00F34584">
      <w:t>20</w:t>
    </w:r>
    <w:r w:rsidR="006878B3">
      <w:t xml:space="preserve"> </w:t>
    </w:r>
    <w:r w:rsidR="00654289">
      <w:t>July</w:t>
    </w:r>
    <w: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5669"/>
    <w:multiLevelType w:val="multilevel"/>
    <w:tmpl w:val="32288D7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701"/>
        </w:tabs>
        <w:ind w:left="1701" w:hanging="567"/>
      </w:pPr>
      <w:rPr>
        <w:rFonts w:hint="default"/>
        <w:b w:val="0"/>
      </w:rPr>
    </w:lvl>
    <w:lvl w:ilvl="3">
      <w:start w:val="1"/>
      <w:numFmt w:val="lowerRoman"/>
      <w:lvlText w:val="(%4)"/>
      <w:lvlJc w:val="left"/>
      <w:pPr>
        <w:tabs>
          <w:tab w:val="num" w:pos="2268"/>
        </w:tabs>
        <w:ind w:left="2268" w:hanging="567"/>
      </w:pPr>
      <w:rPr>
        <w:rFonts w:hint="default"/>
      </w:rPr>
    </w:lvl>
    <w:lvl w:ilvl="4">
      <w:start w:val="1"/>
      <w:numFmt w:val="upperLetter"/>
      <w:lvlText w:val="(%5)"/>
      <w:lvlJc w:val="left"/>
      <w:pPr>
        <w:tabs>
          <w:tab w:val="num" w:pos="2268"/>
        </w:tabs>
        <w:ind w:left="2835" w:hanging="567"/>
      </w:pPr>
      <w:rPr>
        <w:rFonts w:ascii="Arial" w:hAnsi="Arial" w:hint="default"/>
        <w:sz w:val="16"/>
        <w:szCs w:val="16"/>
      </w:rPr>
    </w:lvl>
    <w:lvl w:ilvl="5">
      <w:start w:val="1"/>
      <w:numFmt w:val="upperLetter"/>
      <w:lvlRestart w:val="1"/>
      <w:lvlText w:val="%1%6"/>
      <w:lvlJc w:val="left"/>
      <w:pPr>
        <w:tabs>
          <w:tab w:val="num" w:pos="567"/>
        </w:tabs>
        <w:ind w:left="567" w:hanging="567"/>
      </w:pPr>
      <w:rPr>
        <w:rFonts w:hint="default"/>
      </w:rPr>
    </w:lvl>
    <w:lvl w:ilvl="6">
      <w:start w:val="1"/>
      <w:numFmt w:val="decimal"/>
      <w:lvlText w:val="%1%6.%7"/>
      <w:lvlJc w:val="left"/>
      <w:pPr>
        <w:tabs>
          <w:tab w:val="num" w:pos="567"/>
        </w:tabs>
        <w:ind w:left="1134" w:hanging="567"/>
      </w:pPr>
      <w:rPr>
        <w:rFonts w:hint="default"/>
      </w:rPr>
    </w:lvl>
    <w:lvl w:ilvl="7">
      <w:start w:val="1"/>
      <w:numFmt w:val="lowerLetter"/>
      <w:lvlText w:val="(%8)"/>
      <w:lvlJc w:val="left"/>
      <w:pPr>
        <w:tabs>
          <w:tab w:val="num" w:pos="1701"/>
        </w:tabs>
        <w:ind w:left="1701" w:hanging="567"/>
      </w:pPr>
      <w:rPr>
        <w:rFonts w:hint="default"/>
      </w:rPr>
    </w:lvl>
    <w:lvl w:ilvl="8">
      <w:start w:val="1"/>
      <w:numFmt w:val="lowerLetter"/>
      <w:lvlRestart w:val="3"/>
      <w:lvlText w:val="(%3%9)"/>
      <w:lvlJc w:val="left"/>
      <w:pPr>
        <w:tabs>
          <w:tab w:val="num" w:pos="1701"/>
        </w:tabs>
        <w:ind w:left="1701" w:hanging="567"/>
      </w:pPr>
      <w:rPr>
        <w:rFonts w:hint="default"/>
      </w:rPr>
    </w:lvl>
  </w:abstractNum>
  <w:abstractNum w:abstractNumId="1">
    <w:nsid w:val="1FB468E2"/>
    <w:multiLevelType w:val="multilevel"/>
    <w:tmpl w:val="32288D7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701"/>
        </w:tabs>
        <w:ind w:left="1701" w:hanging="567"/>
      </w:pPr>
      <w:rPr>
        <w:rFonts w:hint="default"/>
        <w:b w:val="0"/>
      </w:rPr>
    </w:lvl>
    <w:lvl w:ilvl="3">
      <w:start w:val="1"/>
      <w:numFmt w:val="lowerRoman"/>
      <w:lvlText w:val="(%4)"/>
      <w:lvlJc w:val="left"/>
      <w:pPr>
        <w:tabs>
          <w:tab w:val="num" w:pos="2268"/>
        </w:tabs>
        <w:ind w:left="2268" w:hanging="567"/>
      </w:pPr>
      <w:rPr>
        <w:rFonts w:hint="default"/>
      </w:rPr>
    </w:lvl>
    <w:lvl w:ilvl="4">
      <w:start w:val="1"/>
      <w:numFmt w:val="upperLetter"/>
      <w:lvlText w:val="(%5)"/>
      <w:lvlJc w:val="left"/>
      <w:pPr>
        <w:tabs>
          <w:tab w:val="num" w:pos="2268"/>
        </w:tabs>
        <w:ind w:left="2835" w:hanging="567"/>
      </w:pPr>
      <w:rPr>
        <w:rFonts w:ascii="Arial" w:hAnsi="Arial" w:hint="default"/>
        <w:sz w:val="16"/>
        <w:szCs w:val="16"/>
      </w:rPr>
    </w:lvl>
    <w:lvl w:ilvl="5">
      <w:start w:val="1"/>
      <w:numFmt w:val="upperLetter"/>
      <w:lvlRestart w:val="1"/>
      <w:lvlText w:val="%1%6"/>
      <w:lvlJc w:val="left"/>
      <w:pPr>
        <w:tabs>
          <w:tab w:val="num" w:pos="567"/>
        </w:tabs>
        <w:ind w:left="567" w:hanging="567"/>
      </w:pPr>
      <w:rPr>
        <w:rFonts w:hint="default"/>
      </w:rPr>
    </w:lvl>
    <w:lvl w:ilvl="6">
      <w:start w:val="1"/>
      <w:numFmt w:val="decimal"/>
      <w:lvlText w:val="%1%6.%7"/>
      <w:lvlJc w:val="left"/>
      <w:pPr>
        <w:tabs>
          <w:tab w:val="num" w:pos="567"/>
        </w:tabs>
        <w:ind w:left="1134" w:hanging="567"/>
      </w:pPr>
      <w:rPr>
        <w:rFonts w:hint="default"/>
      </w:rPr>
    </w:lvl>
    <w:lvl w:ilvl="7">
      <w:start w:val="1"/>
      <w:numFmt w:val="lowerLetter"/>
      <w:lvlText w:val="(%8)"/>
      <w:lvlJc w:val="left"/>
      <w:pPr>
        <w:tabs>
          <w:tab w:val="num" w:pos="1701"/>
        </w:tabs>
        <w:ind w:left="1701" w:hanging="567"/>
      </w:pPr>
      <w:rPr>
        <w:rFonts w:hint="default"/>
      </w:rPr>
    </w:lvl>
    <w:lvl w:ilvl="8">
      <w:start w:val="1"/>
      <w:numFmt w:val="lowerLetter"/>
      <w:lvlRestart w:val="3"/>
      <w:lvlText w:val="(%3%9)"/>
      <w:lvlJc w:val="left"/>
      <w:pPr>
        <w:tabs>
          <w:tab w:val="num" w:pos="1701"/>
        </w:tabs>
        <w:ind w:left="1701" w:hanging="567"/>
      </w:pPr>
      <w:rPr>
        <w:rFonts w:hint="default"/>
      </w:rPr>
    </w:lvl>
  </w:abstractNum>
  <w:abstractNum w:abstractNumId="2">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3">
    <w:nsid w:val="25097D59"/>
    <w:multiLevelType w:val="multilevel"/>
    <w:tmpl w:val="32288D7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701"/>
        </w:tabs>
        <w:ind w:left="1701" w:hanging="567"/>
      </w:pPr>
      <w:rPr>
        <w:rFonts w:hint="default"/>
        <w:b w:val="0"/>
      </w:rPr>
    </w:lvl>
    <w:lvl w:ilvl="3">
      <w:start w:val="1"/>
      <w:numFmt w:val="lowerRoman"/>
      <w:lvlText w:val="(%4)"/>
      <w:lvlJc w:val="left"/>
      <w:pPr>
        <w:tabs>
          <w:tab w:val="num" w:pos="2268"/>
        </w:tabs>
        <w:ind w:left="2268" w:hanging="567"/>
      </w:pPr>
      <w:rPr>
        <w:rFonts w:hint="default"/>
      </w:rPr>
    </w:lvl>
    <w:lvl w:ilvl="4">
      <w:start w:val="1"/>
      <w:numFmt w:val="upperLetter"/>
      <w:lvlText w:val="(%5)"/>
      <w:lvlJc w:val="left"/>
      <w:pPr>
        <w:tabs>
          <w:tab w:val="num" w:pos="2268"/>
        </w:tabs>
        <w:ind w:left="2835" w:hanging="567"/>
      </w:pPr>
      <w:rPr>
        <w:rFonts w:ascii="Arial" w:hAnsi="Arial" w:hint="default"/>
        <w:sz w:val="16"/>
        <w:szCs w:val="16"/>
      </w:rPr>
    </w:lvl>
    <w:lvl w:ilvl="5">
      <w:start w:val="1"/>
      <w:numFmt w:val="upperLetter"/>
      <w:lvlRestart w:val="1"/>
      <w:lvlText w:val="%1%6"/>
      <w:lvlJc w:val="left"/>
      <w:pPr>
        <w:tabs>
          <w:tab w:val="num" w:pos="567"/>
        </w:tabs>
        <w:ind w:left="567" w:hanging="567"/>
      </w:pPr>
      <w:rPr>
        <w:rFonts w:hint="default"/>
      </w:rPr>
    </w:lvl>
    <w:lvl w:ilvl="6">
      <w:start w:val="1"/>
      <w:numFmt w:val="decimal"/>
      <w:lvlText w:val="%1%6.%7"/>
      <w:lvlJc w:val="left"/>
      <w:pPr>
        <w:tabs>
          <w:tab w:val="num" w:pos="567"/>
        </w:tabs>
        <w:ind w:left="1134" w:hanging="567"/>
      </w:pPr>
      <w:rPr>
        <w:rFonts w:hint="default"/>
      </w:rPr>
    </w:lvl>
    <w:lvl w:ilvl="7">
      <w:start w:val="1"/>
      <w:numFmt w:val="lowerLetter"/>
      <w:lvlText w:val="(%8)"/>
      <w:lvlJc w:val="left"/>
      <w:pPr>
        <w:tabs>
          <w:tab w:val="num" w:pos="1701"/>
        </w:tabs>
        <w:ind w:left="1701" w:hanging="567"/>
      </w:pPr>
      <w:rPr>
        <w:rFonts w:hint="default"/>
      </w:rPr>
    </w:lvl>
    <w:lvl w:ilvl="8">
      <w:start w:val="1"/>
      <w:numFmt w:val="lowerLetter"/>
      <w:lvlRestart w:val="3"/>
      <w:lvlText w:val="(%3%9)"/>
      <w:lvlJc w:val="left"/>
      <w:pPr>
        <w:tabs>
          <w:tab w:val="num" w:pos="1701"/>
        </w:tabs>
        <w:ind w:left="1701" w:hanging="567"/>
      </w:pPr>
      <w:rPr>
        <w:rFonts w:hint="default"/>
      </w:rPr>
    </w:lvl>
  </w:abstractNum>
  <w:abstractNum w:abstractNumId="4">
    <w:nsid w:val="39D96921"/>
    <w:multiLevelType w:val="multilevel"/>
    <w:tmpl w:val="32288D7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701"/>
        </w:tabs>
        <w:ind w:left="1701" w:hanging="567"/>
      </w:pPr>
      <w:rPr>
        <w:rFonts w:hint="default"/>
        <w:b w:val="0"/>
      </w:rPr>
    </w:lvl>
    <w:lvl w:ilvl="3">
      <w:start w:val="1"/>
      <w:numFmt w:val="lowerRoman"/>
      <w:lvlText w:val="(%4)"/>
      <w:lvlJc w:val="left"/>
      <w:pPr>
        <w:tabs>
          <w:tab w:val="num" w:pos="2268"/>
        </w:tabs>
        <w:ind w:left="2268" w:hanging="567"/>
      </w:pPr>
      <w:rPr>
        <w:rFonts w:hint="default"/>
      </w:rPr>
    </w:lvl>
    <w:lvl w:ilvl="4">
      <w:start w:val="1"/>
      <w:numFmt w:val="upperLetter"/>
      <w:lvlText w:val="(%5)"/>
      <w:lvlJc w:val="left"/>
      <w:pPr>
        <w:tabs>
          <w:tab w:val="num" w:pos="2268"/>
        </w:tabs>
        <w:ind w:left="2835" w:hanging="567"/>
      </w:pPr>
      <w:rPr>
        <w:rFonts w:ascii="Arial" w:hAnsi="Arial" w:hint="default"/>
        <w:sz w:val="16"/>
        <w:szCs w:val="16"/>
      </w:rPr>
    </w:lvl>
    <w:lvl w:ilvl="5">
      <w:start w:val="1"/>
      <w:numFmt w:val="upperLetter"/>
      <w:lvlRestart w:val="1"/>
      <w:lvlText w:val="%1%6"/>
      <w:lvlJc w:val="left"/>
      <w:pPr>
        <w:tabs>
          <w:tab w:val="num" w:pos="567"/>
        </w:tabs>
        <w:ind w:left="567" w:hanging="567"/>
      </w:pPr>
      <w:rPr>
        <w:rFonts w:hint="default"/>
      </w:rPr>
    </w:lvl>
    <w:lvl w:ilvl="6">
      <w:start w:val="1"/>
      <w:numFmt w:val="decimal"/>
      <w:lvlText w:val="%1%6.%7"/>
      <w:lvlJc w:val="left"/>
      <w:pPr>
        <w:tabs>
          <w:tab w:val="num" w:pos="567"/>
        </w:tabs>
        <w:ind w:left="1134" w:hanging="567"/>
      </w:pPr>
      <w:rPr>
        <w:rFonts w:hint="default"/>
      </w:rPr>
    </w:lvl>
    <w:lvl w:ilvl="7">
      <w:start w:val="1"/>
      <w:numFmt w:val="lowerLetter"/>
      <w:lvlText w:val="(%8)"/>
      <w:lvlJc w:val="left"/>
      <w:pPr>
        <w:tabs>
          <w:tab w:val="num" w:pos="1701"/>
        </w:tabs>
        <w:ind w:left="1701" w:hanging="567"/>
      </w:pPr>
      <w:rPr>
        <w:rFonts w:hint="default"/>
      </w:rPr>
    </w:lvl>
    <w:lvl w:ilvl="8">
      <w:start w:val="1"/>
      <w:numFmt w:val="lowerLetter"/>
      <w:lvlRestart w:val="3"/>
      <w:lvlText w:val="(%3%9)"/>
      <w:lvlJc w:val="left"/>
      <w:pPr>
        <w:tabs>
          <w:tab w:val="num" w:pos="1701"/>
        </w:tabs>
        <w:ind w:left="1701" w:hanging="567"/>
      </w:pPr>
      <w:rPr>
        <w:rFonts w:hint="default"/>
      </w:rPr>
    </w:lvl>
  </w:abstractNum>
  <w:abstractNum w:abstractNumId="5">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7">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8">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AF76FFE"/>
    <w:multiLevelType w:val="multilevel"/>
    <w:tmpl w:val="32288D7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701"/>
        </w:tabs>
        <w:ind w:left="1701" w:hanging="567"/>
      </w:pPr>
      <w:rPr>
        <w:rFonts w:hint="default"/>
        <w:b w:val="0"/>
      </w:rPr>
    </w:lvl>
    <w:lvl w:ilvl="3">
      <w:start w:val="1"/>
      <w:numFmt w:val="lowerRoman"/>
      <w:lvlText w:val="(%4)"/>
      <w:lvlJc w:val="left"/>
      <w:pPr>
        <w:tabs>
          <w:tab w:val="num" w:pos="2268"/>
        </w:tabs>
        <w:ind w:left="2268" w:hanging="567"/>
      </w:pPr>
      <w:rPr>
        <w:rFonts w:hint="default"/>
      </w:rPr>
    </w:lvl>
    <w:lvl w:ilvl="4">
      <w:start w:val="1"/>
      <w:numFmt w:val="upperLetter"/>
      <w:lvlText w:val="(%5)"/>
      <w:lvlJc w:val="left"/>
      <w:pPr>
        <w:tabs>
          <w:tab w:val="num" w:pos="2268"/>
        </w:tabs>
        <w:ind w:left="2835" w:hanging="567"/>
      </w:pPr>
      <w:rPr>
        <w:rFonts w:ascii="Arial" w:hAnsi="Arial" w:hint="default"/>
        <w:sz w:val="16"/>
        <w:szCs w:val="16"/>
      </w:rPr>
    </w:lvl>
    <w:lvl w:ilvl="5">
      <w:start w:val="1"/>
      <w:numFmt w:val="upperLetter"/>
      <w:lvlRestart w:val="1"/>
      <w:lvlText w:val="%1%6"/>
      <w:lvlJc w:val="left"/>
      <w:pPr>
        <w:tabs>
          <w:tab w:val="num" w:pos="567"/>
        </w:tabs>
        <w:ind w:left="567" w:hanging="567"/>
      </w:pPr>
      <w:rPr>
        <w:rFonts w:hint="default"/>
      </w:rPr>
    </w:lvl>
    <w:lvl w:ilvl="6">
      <w:start w:val="1"/>
      <w:numFmt w:val="decimal"/>
      <w:lvlText w:val="%1%6.%7"/>
      <w:lvlJc w:val="left"/>
      <w:pPr>
        <w:tabs>
          <w:tab w:val="num" w:pos="567"/>
        </w:tabs>
        <w:ind w:left="1134" w:hanging="567"/>
      </w:pPr>
      <w:rPr>
        <w:rFonts w:hint="default"/>
      </w:rPr>
    </w:lvl>
    <w:lvl w:ilvl="7">
      <w:start w:val="1"/>
      <w:numFmt w:val="lowerLetter"/>
      <w:lvlText w:val="(%8)"/>
      <w:lvlJc w:val="left"/>
      <w:pPr>
        <w:tabs>
          <w:tab w:val="num" w:pos="1701"/>
        </w:tabs>
        <w:ind w:left="1701" w:hanging="567"/>
      </w:pPr>
      <w:rPr>
        <w:rFonts w:hint="default"/>
      </w:rPr>
    </w:lvl>
    <w:lvl w:ilvl="8">
      <w:start w:val="1"/>
      <w:numFmt w:val="lowerLetter"/>
      <w:lvlRestart w:val="3"/>
      <w:lvlText w:val="(%3%9)"/>
      <w:lvlJc w:val="left"/>
      <w:pPr>
        <w:tabs>
          <w:tab w:val="num" w:pos="1701"/>
        </w:tabs>
        <w:ind w:left="1701" w:hanging="567"/>
      </w:pPr>
      <w:rPr>
        <w:rFonts w:hint="default"/>
      </w:rPr>
    </w:lvl>
  </w:abstractNum>
  <w:abstractNum w:abstractNumId="10">
    <w:nsid w:val="635E53DF"/>
    <w:multiLevelType w:val="multilevel"/>
    <w:tmpl w:val="32288D7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701"/>
        </w:tabs>
        <w:ind w:left="1701" w:hanging="567"/>
      </w:pPr>
      <w:rPr>
        <w:rFonts w:hint="default"/>
        <w:b w:val="0"/>
      </w:rPr>
    </w:lvl>
    <w:lvl w:ilvl="3">
      <w:start w:val="1"/>
      <w:numFmt w:val="lowerRoman"/>
      <w:lvlText w:val="(%4)"/>
      <w:lvlJc w:val="left"/>
      <w:pPr>
        <w:tabs>
          <w:tab w:val="num" w:pos="2268"/>
        </w:tabs>
        <w:ind w:left="2268" w:hanging="567"/>
      </w:pPr>
      <w:rPr>
        <w:rFonts w:hint="default"/>
      </w:rPr>
    </w:lvl>
    <w:lvl w:ilvl="4">
      <w:start w:val="1"/>
      <w:numFmt w:val="upperLetter"/>
      <w:lvlText w:val="(%5)"/>
      <w:lvlJc w:val="left"/>
      <w:pPr>
        <w:tabs>
          <w:tab w:val="num" w:pos="2268"/>
        </w:tabs>
        <w:ind w:left="2835" w:hanging="567"/>
      </w:pPr>
      <w:rPr>
        <w:rFonts w:ascii="Arial" w:hAnsi="Arial" w:hint="default"/>
        <w:sz w:val="16"/>
        <w:szCs w:val="16"/>
      </w:rPr>
    </w:lvl>
    <w:lvl w:ilvl="5">
      <w:start w:val="1"/>
      <w:numFmt w:val="upperLetter"/>
      <w:lvlRestart w:val="1"/>
      <w:lvlText w:val="%1%6"/>
      <w:lvlJc w:val="left"/>
      <w:pPr>
        <w:tabs>
          <w:tab w:val="num" w:pos="567"/>
        </w:tabs>
        <w:ind w:left="567" w:hanging="567"/>
      </w:pPr>
      <w:rPr>
        <w:rFonts w:hint="default"/>
      </w:rPr>
    </w:lvl>
    <w:lvl w:ilvl="6">
      <w:start w:val="1"/>
      <w:numFmt w:val="decimal"/>
      <w:lvlText w:val="%1%6.%7"/>
      <w:lvlJc w:val="left"/>
      <w:pPr>
        <w:tabs>
          <w:tab w:val="num" w:pos="567"/>
        </w:tabs>
        <w:ind w:left="1134" w:hanging="567"/>
      </w:pPr>
      <w:rPr>
        <w:rFonts w:hint="default"/>
      </w:rPr>
    </w:lvl>
    <w:lvl w:ilvl="7">
      <w:start w:val="1"/>
      <w:numFmt w:val="lowerLetter"/>
      <w:lvlText w:val="(%8)"/>
      <w:lvlJc w:val="left"/>
      <w:pPr>
        <w:tabs>
          <w:tab w:val="num" w:pos="1701"/>
        </w:tabs>
        <w:ind w:left="1701" w:hanging="567"/>
      </w:pPr>
      <w:rPr>
        <w:rFonts w:hint="default"/>
      </w:rPr>
    </w:lvl>
    <w:lvl w:ilvl="8">
      <w:start w:val="1"/>
      <w:numFmt w:val="lowerLetter"/>
      <w:lvlRestart w:val="3"/>
      <w:lvlText w:val="(%3%9)"/>
      <w:lvlJc w:val="left"/>
      <w:pPr>
        <w:tabs>
          <w:tab w:val="num" w:pos="1701"/>
        </w:tabs>
        <w:ind w:left="1701" w:hanging="567"/>
      </w:pPr>
      <w:rPr>
        <w:rFonts w:hint="default"/>
      </w:rPr>
    </w:lvl>
  </w:abstractNum>
  <w:abstractNum w:abstractNumId="11">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2">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num w:numId="1">
    <w:abstractNumId w:val="12"/>
  </w:num>
  <w:num w:numId="2">
    <w:abstractNumId w:val="8"/>
  </w:num>
  <w:num w:numId="3">
    <w:abstractNumId w:val="11"/>
  </w:num>
  <w:num w:numId="4">
    <w:abstractNumId w:val="7"/>
  </w:num>
  <w:num w:numId="5">
    <w:abstractNumId w:val="2"/>
  </w:num>
  <w:num w:numId="6">
    <w:abstractNumId w:val="5"/>
  </w:num>
  <w:num w:numId="7">
    <w:abstractNumId w:val="6"/>
  </w:num>
  <w:num w:numId="8">
    <w:abstractNumId w:val="13"/>
  </w:num>
  <w:num w:numId="9">
    <w:abstractNumId w:val="0"/>
  </w:num>
  <w:num w:numId="10">
    <w:abstractNumId w:val="0"/>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567"/>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upperLetter"/>
        <w:lvlText w:val="(%5)"/>
        <w:lvlJc w:val="left"/>
        <w:pPr>
          <w:tabs>
            <w:tab w:val="num" w:pos="2268"/>
          </w:tabs>
          <w:ind w:left="2835" w:hanging="567"/>
        </w:pPr>
        <w:rPr>
          <w:rFonts w:ascii="Arial" w:hAnsi="Arial" w:hint="default"/>
          <w:sz w:val="16"/>
          <w:szCs w:val="16"/>
        </w:rPr>
      </w:lvl>
    </w:lvlOverride>
    <w:lvlOverride w:ilvl="5">
      <w:lvl w:ilvl="5">
        <w:start w:val="1"/>
        <w:numFmt w:val="upperLetter"/>
        <w:lvlRestart w:val="1"/>
        <w:lvlText w:val="%1%6"/>
        <w:lvlJc w:val="left"/>
        <w:pPr>
          <w:tabs>
            <w:tab w:val="num" w:pos="567"/>
          </w:tabs>
          <w:ind w:left="567" w:hanging="567"/>
        </w:pPr>
        <w:rPr>
          <w:rFonts w:hint="default"/>
        </w:rPr>
      </w:lvl>
    </w:lvlOverride>
    <w:lvlOverride w:ilvl="6">
      <w:lvl w:ilvl="6">
        <w:start w:val="1"/>
        <w:numFmt w:val="decimal"/>
        <w:lvlText w:val="%1%6.%7"/>
        <w:lvlJc w:val="left"/>
        <w:pPr>
          <w:tabs>
            <w:tab w:val="num" w:pos="567"/>
          </w:tabs>
          <w:ind w:left="1134" w:hanging="567"/>
        </w:pPr>
        <w:rPr>
          <w:rFonts w:hint="default"/>
        </w:rPr>
      </w:lvl>
    </w:lvlOverride>
    <w:lvlOverride w:ilvl="7">
      <w:lvl w:ilvl="7">
        <w:start w:val="1"/>
        <w:numFmt w:val="lowerLetter"/>
        <w:lvlText w:val="(%8)"/>
        <w:lvlJc w:val="left"/>
        <w:pPr>
          <w:tabs>
            <w:tab w:val="num" w:pos="1701"/>
          </w:tabs>
          <w:ind w:left="1701" w:hanging="567"/>
        </w:pPr>
        <w:rPr>
          <w:rFonts w:hint="default"/>
        </w:rPr>
      </w:lvl>
    </w:lvlOverride>
    <w:lvlOverride w:ilvl="8">
      <w:lvl w:ilvl="8">
        <w:start w:val="1"/>
        <w:numFmt w:val="lowerLetter"/>
        <w:lvlRestart w:val="3"/>
        <w:lvlText w:val="(%3%9)"/>
        <w:lvlJc w:val="left"/>
        <w:pPr>
          <w:tabs>
            <w:tab w:val="num" w:pos="1701"/>
          </w:tabs>
          <w:ind w:left="1701" w:hanging="567"/>
        </w:pPr>
        <w:rPr>
          <w:rFonts w:hint="default"/>
        </w:rPr>
      </w:lvl>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4"/>
  </w:num>
  <w:num w:numId="15">
    <w:abstractNumId w:val="10"/>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59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E6"/>
    <w:rsid w:val="0000013A"/>
    <w:rsid w:val="00002297"/>
    <w:rsid w:val="00003153"/>
    <w:rsid w:val="00006F10"/>
    <w:rsid w:val="00013F59"/>
    <w:rsid w:val="00015EC4"/>
    <w:rsid w:val="0001621D"/>
    <w:rsid w:val="00017BDF"/>
    <w:rsid w:val="000209AF"/>
    <w:rsid w:val="00021303"/>
    <w:rsid w:val="0002152D"/>
    <w:rsid w:val="00022ACE"/>
    <w:rsid w:val="00023B5E"/>
    <w:rsid w:val="00024F77"/>
    <w:rsid w:val="00025589"/>
    <w:rsid w:val="00026E9F"/>
    <w:rsid w:val="00030BD2"/>
    <w:rsid w:val="000328BF"/>
    <w:rsid w:val="000342B8"/>
    <w:rsid w:val="00034591"/>
    <w:rsid w:val="000358EC"/>
    <w:rsid w:val="00035F66"/>
    <w:rsid w:val="00040F0B"/>
    <w:rsid w:val="00041556"/>
    <w:rsid w:val="00041BBD"/>
    <w:rsid w:val="00052094"/>
    <w:rsid w:val="00054A6A"/>
    <w:rsid w:val="000551CF"/>
    <w:rsid w:val="00057F46"/>
    <w:rsid w:val="0006458F"/>
    <w:rsid w:val="00065CB0"/>
    <w:rsid w:val="0007632A"/>
    <w:rsid w:val="00076A7C"/>
    <w:rsid w:val="000771F2"/>
    <w:rsid w:val="000773E4"/>
    <w:rsid w:val="00083F3A"/>
    <w:rsid w:val="00085FE8"/>
    <w:rsid w:val="00086391"/>
    <w:rsid w:val="00087800"/>
    <w:rsid w:val="00090395"/>
    <w:rsid w:val="00093FFD"/>
    <w:rsid w:val="00096DCC"/>
    <w:rsid w:val="000A1466"/>
    <w:rsid w:val="000A4982"/>
    <w:rsid w:val="000A4CD5"/>
    <w:rsid w:val="000A5954"/>
    <w:rsid w:val="000A6058"/>
    <w:rsid w:val="000B2F6A"/>
    <w:rsid w:val="000B4836"/>
    <w:rsid w:val="000E362A"/>
    <w:rsid w:val="000E3EFD"/>
    <w:rsid w:val="000E5374"/>
    <w:rsid w:val="000E6BFC"/>
    <w:rsid w:val="000E6F7B"/>
    <w:rsid w:val="000E71C3"/>
    <w:rsid w:val="000F13BD"/>
    <w:rsid w:val="000F2551"/>
    <w:rsid w:val="000F523C"/>
    <w:rsid w:val="000F6DE7"/>
    <w:rsid w:val="00101291"/>
    <w:rsid w:val="00106C02"/>
    <w:rsid w:val="00113FDA"/>
    <w:rsid w:val="00114B84"/>
    <w:rsid w:val="001167A3"/>
    <w:rsid w:val="00126FC2"/>
    <w:rsid w:val="00130DFF"/>
    <w:rsid w:val="00135118"/>
    <w:rsid w:val="00135139"/>
    <w:rsid w:val="00135C9E"/>
    <w:rsid w:val="001361FD"/>
    <w:rsid w:val="001400FE"/>
    <w:rsid w:val="001431AB"/>
    <w:rsid w:val="00143E2E"/>
    <w:rsid w:val="00146D1A"/>
    <w:rsid w:val="00147C24"/>
    <w:rsid w:val="00150AAC"/>
    <w:rsid w:val="001553F8"/>
    <w:rsid w:val="001576EC"/>
    <w:rsid w:val="00161760"/>
    <w:rsid w:val="00163FCE"/>
    <w:rsid w:val="00164F43"/>
    <w:rsid w:val="00165E3C"/>
    <w:rsid w:val="00170D55"/>
    <w:rsid w:val="00172A47"/>
    <w:rsid w:val="00173220"/>
    <w:rsid w:val="00173B15"/>
    <w:rsid w:val="00175B2D"/>
    <w:rsid w:val="0017611D"/>
    <w:rsid w:val="0018366C"/>
    <w:rsid w:val="001843FD"/>
    <w:rsid w:val="001866A6"/>
    <w:rsid w:val="00194A82"/>
    <w:rsid w:val="001A71E6"/>
    <w:rsid w:val="001B04C2"/>
    <w:rsid w:val="001B2E92"/>
    <w:rsid w:val="001B4B6C"/>
    <w:rsid w:val="001B7068"/>
    <w:rsid w:val="001C2B5D"/>
    <w:rsid w:val="001C4F91"/>
    <w:rsid w:val="001C7A8D"/>
    <w:rsid w:val="001C7F3A"/>
    <w:rsid w:val="001D025E"/>
    <w:rsid w:val="001E076D"/>
    <w:rsid w:val="001E4990"/>
    <w:rsid w:val="001F4EBA"/>
    <w:rsid w:val="00200AB1"/>
    <w:rsid w:val="00203EF3"/>
    <w:rsid w:val="0020465D"/>
    <w:rsid w:val="002102DC"/>
    <w:rsid w:val="00214599"/>
    <w:rsid w:val="00216939"/>
    <w:rsid w:val="002210B4"/>
    <w:rsid w:val="00221151"/>
    <w:rsid w:val="00227CC3"/>
    <w:rsid w:val="00230E38"/>
    <w:rsid w:val="002312A3"/>
    <w:rsid w:val="00233AAB"/>
    <w:rsid w:val="002359AF"/>
    <w:rsid w:val="00236479"/>
    <w:rsid w:val="00240FCF"/>
    <w:rsid w:val="0024232D"/>
    <w:rsid w:val="002438B0"/>
    <w:rsid w:val="00246A76"/>
    <w:rsid w:val="00250133"/>
    <w:rsid w:val="00253CCD"/>
    <w:rsid w:val="00262753"/>
    <w:rsid w:val="002636CF"/>
    <w:rsid w:val="00264422"/>
    <w:rsid w:val="002648E0"/>
    <w:rsid w:val="00265E64"/>
    <w:rsid w:val="002715D8"/>
    <w:rsid w:val="00272C3D"/>
    <w:rsid w:val="0027677A"/>
    <w:rsid w:val="00282700"/>
    <w:rsid w:val="002830FA"/>
    <w:rsid w:val="002855DD"/>
    <w:rsid w:val="00286926"/>
    <w:rsid w:val="00296C5D"/>
    <w:rsid w:val="002A3CE6"/>
    <w:rsid w:val="002B405A"/>
    <w:rsid w:val="002B6931"/>
    <w:rsid w:val="002B6E25"/>
    <w:rsid w:val="002C2BA9"/>
    <w:rsid w:val="002C4F83"/>
    <w:rsid w:val="002D2F80"/>
    <w:rsid w:val="002D4698"/>
    <w:rsid w:val="002D7485"/>
    <w:rsid w:val="002E256D"/>
    <w:rsid w:val="002E37C1"/>
    <w:rsid w:val="002E5ADE"/>
    <w:rsid w:val="002E67DC"/>
    <w:rsid w:val="0030026D"/>
    <w:rsid w:val="0030119D"/>
    <w:rsid w:val="00302EC4"/>
    <w:rsid w:val="003070FE"/>
    <w:rsid w:val="00311B9F"/>
    <w:rsid w:val="00312CB3"/>
    <w:rsid w:val="00312FA9"/>
    <w:rsid w:val="00314816"/>
    <w:rsid w:val="00317027"/>
    <w:rsid w:val="003176A9"/>
    <w:rsid w:val="00320F0A"/>
    <w:rsid w:val="00323586"/>
    <w:rsid w:val="00324C51"/>
    <w:rsid w:val="003250BE"/>
    <w:rsid w:val="00326773"/>
    <w:rsid w:val="0033275A"/>
    <w:rsid w:val="003330A9"/>
    <w:rsid w:val="003338F5"/>
    <w:rsid w:val="00333D9F"/>
    <w:rsid w:val="003340BD"/>
    <w:rsid w:val="00337B34"/>
    <w:rsid w:val="00341601"/>
    <w:rsid w:val="00344653"/>
    <w:rsid w:val="00347ADD"/>
    <w:rsid w:val="003536E4"/>
    <w:rsid w:val="0035606A"/>
    <w:rsid w:val="003575ED"/>
    <w:rsid w:val="003577A9"/>
    <w:rsid w:val="003649FB"/>
    <w:rsid w:val="003661B3"/>
    <w:rsid w:val="00370120"/>
    <w:rsid w:val="00374E36"/>
    <w:rsid w:val="00382212"/>
    <w:rsid w:val="00382411"/>
    <w:rsid w:val="0038325C"/>
    <w:rsid w:val="003851A1"/>
    <w:rsid w:val="00392814"/>
    <w:rsid w:val="00393241"/>
    <w:rsid w:val="00395152"/>
    <w:rsid w:val="003A217B"/>
    <w:rsid w:val="003A6BF2"/>
    <w:rsid w:val="003A6EB5"/>
    <w:rsid w:val="003B15FC"/>
    <w:rsid w:val="003B4736"/>
    <w:rsid w:val="003C28B9"/>
    <w:rsid w:val="003C2D16"/>
    <w:rsid w:val="003C3AE8"/>
    <w:rsid w:val="003C4B0B"/>
    <w:rsid w:val="003C4EC6"/>
    <w:rsid w:val="003D0D5C"/>
    <w:rsid w:val="003D2062"/>
    <w:rsid w:val="003D7578"/>
    <w:rsid w:val="003D787E"/>
    <w:rsid w:val="003E0C3C"/>
    <w:rsid w:val="003E1701"/>
    <w:rsid w:val="003E277C"/>
    <w:rsid w:val="003E5299"/>
    <w:rsid w:val="003E5F53"/>
    <w:rsid w:val="003F3EE8"/>
    <w:rsid w:val="003F403B"/>
    <w:rsid w:val="003F6841"/>
    <w:rsid w:val="003F7B2D"/>
    <w:rsid w:val="003F7DE2"/>
    <w:rsid w:val="00401940"/>
    <w:rsid w:val="00407EA4"/>
    <w:rsid w:val="004116D2"/>
    <w:rsid w:val="00411B23"/>
    <w:rsid w:val="0041548D"/>
    <w:rsid w:val="0041591E"/>
    <w:rsid w:val="00417B9A"/>
    <w:rsid w:val="004210FE"/>
    <w:rsid w:val="004235A5"/>
    <w:rsid w:val="00427AE3"/>
    <w:rsid w:val="00431F04"/>
    <w:rsid w:val="00432413"/>
    <w:rsid w:val="0043394C"/>
    <w:rsid w:val="00436C17"/>
    <w:rsid w:val="004406BF"/>
    <w:rsid w:val="00440A2D"/>
    <w:rsid w:val="00441119"/>
    <w:rsid w:val="00441777"/>
    <w:rsid w:val="00441F51"/>
    <w:rsid w:val="004448F4"/>
    <w:rsid w:val="00445AAB"/>
    <w:rsid w:val="00450E91"/>
    <w:rsid w:val="0045196E"/>
    <w:rsid w:val="00451D8B"/>
    <w:rsid w:val="00455A33"/>
    <w:rsid w:val="004569E3"/>
    <w:rsid w:val="00460CA0"/>
    <w:rsid w:val="0047153B"/>
    <w:rsid w:val="00474CC6"/>
    <w:rsid w:val="004769F4"/>
    <w:rsid w:val="00477FFD"/>
    <w:rsid w:val="00482E23"/>
    <w:rsid w:val="0048308A"/>
    <w:rsid w:val="004834EA"/>
    <w:rsid w:val="004851CE"/>
    <w:rsid w:val="00486509"/>
    <w:rsid w:val="00486B48"/>
    <w:rsid w:val="0048764A"/>
    <w:rsid w:val="00491066"/>
    <w:rsid w:val="00494B38"/>
    <w:rsid w:val="004952A9"/>
    <w:rsid w:val="004B0C47"/>
    <w:rsid w:val="004B0F67"/>
    <w:rsid w:val="004C25B7"/>
    <w:rsid w:val="004C2665"/>
    <w:rsid w:val="004C2E0C"/>
    <w:rsid w:val="004C37A3"/>
    <w:rsid w:val="004C520C"/>
    <w:rsid w:val="004D223F"/>
    <w:rsid w:val="004D5484"/>
    <w:rsid w:val="004D5DE0"/>
    <w:rsid w:val="004E1709"/>
    <w:rsid w:val="004E1878"/>
    <w:rsid w:val="004E2AEA"/>
    <w:rsid w:val="004E3EE3"/>
    <w:rsid w:val="004F0F38"/>
    <w:rsid w:val="004F1B26"/>
    <w:rsid w:val="0050155E"/>
    <w:rsid w:val="0050405B"/>
    <w:rsid w:val="005049A5"/>
    <w:rsid w:val="005056AB"/>
    <w:rsid w:val="00507DC6"/>
    <w:rsid w:val="005215A6"/>
    <w:rsid w:val="00523DE3"/>
    <w:rsid w:val="00525103"/>
    <w:rsid w:val="00525F5B"/>
    <w:rsid w:val="00531E78"/>
    <w:rsid w:val="005322E0"/>
    <w:rsid w:val="0053380C"/>
    <w:rsid w:val="00534735"/>
    <w:rsid w:val="00537DA8"/>
    <w:rsid w:val="005417C0"/>
    <w:rsid w:val="00541FB8"/>
    <w:rsid w:val="0054216C"/>
    <w:rsid w:val="00542507"/>
    <w:rsid w:val="00545856"/>
    <w:rsid w:val="00545C14"/>
    <w:rsid w:val="005460DC"/>
    <w:rsid w:val="00546BE4"/>
    <w:rsid w:val="00551824"/>
    <w:rsid w:val="00555D8C"/>
    <w:rsid w:val="005601D9"/>
    <w:rsid w:val="00561294"/>
    <w:rsid w:val="00566C2D"/>
    <w:rsid w:val="00570257"/>
    <w:rsid w:val="00572679"/>
    <w:rsid w:val="005733D2"/>
    <w:rsid w:val="00575345"/>
    <w:rsid w:val="005851BB"/>
    <w:rsid w:val="0059042D"/>
    <w:rsid w:val="0059142B"/>
    <w:rsid w:val="00591528"/>
    <w:rsid w:val="005933C6"/>
    <w:rsid w:val="00593700"/>
    <w:rsid w:val="005A4426"/>
    <w:rsid w:val="005A6302"/>
    <w:rsid w:val="005B29FB"/>
    <w:rsid w:val="005B4C84"/>
    <w:rsid w:val="005C1048"/>
    <w:rsid w:val="005C2BD4"/>
    <w:rsid w:val="005C7A86"/>
    <w:rsid w:val="005D057A"/>
    <w:rsid w:val="005D0864"/>
    <w:rsid w:val="005E1088"/>
    <w:rsid w:val="005E4B1F"/>
    <w:rsid w:val="005E73D0"/>
    <w:rsid w:val="005E78A0"/>
    <w:rsid w:val="005F06AE"/>
    <w:rsid w:val="005F2099"/>
    <w:rsid w:val="005F51CD"/>
    <w:rsid w:val="006015F3"/>
    <w:rsid w:val="006066E6"/>
    <w:rsid w:val="0060792F"/>
    <w:rsid w:val="006127FB"/>
    <w:rsid w:val="0061290C"/>
    <w:rsid w:val="00613B3E"/>
    <w:rsid w:val="0061621E"/>
    <w:rsid w:val="00620FFF"/>
    <w:rsid w:val="00625602"/>
    <w:rsid w:val="00630213"/>
    <w:rsid w:val="00630590"/>
    <w:rsid w:val="00630D18"/>
    <w:rsid w:val="00630F88"/>
    <w:rsid w:val="006362D9"/>
    <w:rsid w:val="0064187A"/>
    <w:rsid w:val="006423E1"/>
    <w:rsid w:val="00645437"/>
    <w:rsid w:val="00646354"/>
    <w:rsid w:val="0064656E"/>
    <w:rsid w:val="00647F31"/>
    <w:rsid w:val="00654289"/>
    <w:rsid w:val="00655BC9"/>
    <w:rsid w:val="00656EEA"/>
    <w:rsid w:val="0065716F"/>
    <w:rsid w:val="00662D73"/>
    <w:rsid w:val="006659D3"/>
    <w:rsid w:val="00677C27"/>
    <w:rsid w:val="00685BD3"/>
    <w:rsid w:val="00687690"/>
    <w:rsid w:val="006878B3"/>
    <w:rsid w:val="006878E3"/>
    <w:rsid w:val="00690988"/>
    <w:rsid w:val="006A0C26"/>
    <w:rsid w:val="006A2134"/>
    <w:rsid w:val="006A52D1"/>
    <w:rsid w:val="006A55C8"/>
    <w:rsid w:val="006B177B"/>
    <w:rsid w:val="006B1946"/>
    <w:rsid w:val="006B6321"/>
    <w:rsid w:val="006C14C8"/>
    <w:rsid w:val="006C6CAA"/>
    <w:rsid w:val="006D2DC3"/>
    <w:rsid w:val="006D320E"/>
    <w:rsid w:val="006E38C3"/>
    <w:rsid w:val="006F46D8"/>
    <w:rsid w:val="006F52DF"/>
    <w:rsid w:val="006F5348"/>
    <w:rsid w:val="006F75F0"/>
    <w:rsid w:val="00700983"/>
    <w:rsid w:val="00700C42"/>
    <w:rsid w:val="00701075"/>
    <w:rsid w:val="00706750"/>
    <w:rsid w:val="0070686B"/>
    <w:rsid w:val="007125FD"/>
    <w:rsid w:val="0071311A"/>
    <w:rsid w:val="00714553"/>
    <w:rsid w:val="00714FF5"/>
    <w:rsid w:val="007239B5"/>
    <w:rsid w:val="007270B7"/>
    <w:rsid w:val="0073176A"/>
    <w:rsid w:val="00733307"/>
    <w:rsid w:val="00737EEA"/>
    <w:rsid w:val="007402E2"/>
    <w:rsid w:val="00740314"/>
    <w:rsid w:val="00741596"/>
    <w:rsid w:val="00741E23"/>
    <w:rsid w:val="0075259F"/>
    <w:rsid w:val="00755B11"/>
    <w:rsid w:val="00757A29"/>
    <w:rsid w:val="00761819"/>
    <w:rsid w:val="0076207B"/>
    <w:rsid w:val="00764ED4"/>
    <w:rsid w:val="007665C5"/>
    <w:rsid w:val="00773FE6"/>
    <w:rsid w:val="007760DF"/>
    <w:rsid w:val="0077760F"/>
    <w:rsid w:val="00781223"/>
    <w:rsid w:val="00783246"/>
    <w:rsid w:val="007834DE"/>
    <w:rsid w:val="00784E6F"/>
    <w:rsid w:val="00785590"/>
    <w:rsid w:val="00792F70"/>
    <w:rsid w:val="00796128"/>
    <w:rsid w:val="007A18B8"/>
    <w:rsid w:val="007A7CDD"/>
    <w:rsid w:val="007B531E"/>
    <w:rsid w:val="007B55B7"/>
    <w:rsid w:val="007B5AE1"/>
    <w:rsid w:val="007C2468"/>
    <w:rsid w:val="007C296A"/>
    <w:rsid w:val="007D0D60"/>
    <w:rsid w:val="007D4DBC"/>
    <w:rsid w:val="007D7690"/>
    <w:rsid w:val="007D76B6"/>
    <w:rsid w:val="007E624E"/>
    <w:rsid w:val="007E707D"/>
    <w:rsid w:val="007F3BE1"/>
    <w:rsid w:val="0080331A"/>
    <w:rsid w:val="00804F55"/>
    <w:rsid w:val="00806C0C"/>
    <w:rsid w:val="0080700A"/>
    <w:rsid w:val="00807ABB"/>
    <w:rsid w:val="008101B6"/>
    <w:rsid w:val="0081069D"/>
    <w:rsid w:val="00812E74"/>
    <w:rsid w:val="0082007C"/>
    <w:rsid w:val="0082261D"/>
    <w:rsid w:val="00823852"/>
    <w:rsid w:val="00823A62"/>
    <w:rsid w:val="00825290"/>
    <w:rsid w:val="00825F7F"/>
    <w:rsid w:val="00831AF3"/>
    <w:rsid w:val="008379C6"/>
    <w:rsid w:val="0084100D"/>
    <w:rsid w:val="00850480"/>
    <w:rsid w:val="008537DF"/>
    <w:rsid w:val="00853D97"/>
    <w:rsid w:val="00853EF9"/>
    <w:rsid w:val="008565BE"/>
    <w:rsid w:val="0085757B"/>
    <w:rsid w:val="00860BC2"/>
    <w:rsid w:val="00862A2D"/>
    <w:rsid w:val="00862B3D"/>
    <w:rsid w:val="0086750F"/>
    <w:rsid w:val="0087054C"/>
    <w:rsid w:val="00871621"/>
    <w:rsid w:val="008772FB"/>
    <w:rsid w:val="00877D0D"/>
    <w:rsid w:val="0088375C"/>
    <w:rsid w:val="008845D8"/>
    <w:rsid w:val="008852C6"/>
    <w:rsid w:val="00886892"/>
    <w:rsid w:val="00892391"/>
    <w:rsid w:val="00897165"/>
    <w:rsid w:val="00897D84"/>
    <w:rsid w:val="008A0C3C"/>
    <w:rsid w:val="008A33EA"/>
    <w:rsid w:val="008A3B4D"/>
    <w:rsid w:val="008A7F6C"/>
    <w:rsid w:val="008B1A5F"/>
    <w:rsid w:val="008B28E6"/>
    <w:rsid w:val="008B4206"/>
    <w:rsid w:val="008B700B"/>
    <w:rsid w:val="008B7AB7"/>
    <w:rsid w:val="008C23BC"/>
    <w:rsid w:val="008C7EDE"/>
    <w:rsid w:val="008D2E0C"/>
    <w:rsid w:val="008D398D"/>
    <w:rsid w:val="008D4A1D"/>
    <w:rsid w:val="008D7FF6"/>
    <w:rsid w:val="008E1E1B"/>
    <w:rsid w:val="008E20F0"/>
    <w:rsid w:val="008E21F6"/>
    <w:rsid w:val="008E58A6"/>
    <w:rsid w:val="008E6145"/>
    <w:rsid w:val="008F44CC"/>
    <w:rsid w:val="009012BC"/>
    <w:rsid w:val="009014B0"/>
    <w:rsid w:val="00901C30"/>
    <w:rsid w:val="00904253"/>
    <w:rsid w:val="0090482B"/>
    <w:rsid w:val="00906E72"/>
    <w:rsid w:val="0091113D"/>
    <w:rsid w:val="00913286"/>
    <w:rsid w:val="00915DCB"/>
    <w:rsid w:val="00920D8C"/>
    <w:rsid w:val="0092282C"/>
    <w:rsid w:val="0092425B"/>
    <w:rsid w:val="0092691B"/>
    <w:rsid w:val="009353C7"/>
    <w:rsid w:val="00936A0C"/>
    <w:rsid w:val="00943ABB"/>
    <w:rsid w:val="00951141"/>
    <w:rsid w:val="00953564"/>
    <w:rsid w:val="009560CB"/>
    <w:rsid w:val="00957EF7"/>
    <w:rsid w:val="00960AF8"/>
    <w:rsid w:val="00960F2C"/>
    <w:rsid w:val="0096440C"/>
    <w:rsid w:val="009720E3"/>
    <w:rsid w:val="0097272C"/>
    <w:rsid w:val="009727F7"/>
    <w:rsid w:val="00972C59"/>
    <w:rsid w:val="00977A5D"/>
    <w:rsid w:val="00983175"/>
    <w:rsid w:val="009837A9"/>
    <w:rsid w:val="00983F96"/>
    <w:rsid w:val="009840D3"/>
    <w:rsid w:val="009843B1"/>
    <w:rsid w:val="0098715E"/>
    <w:rsid w:val="0099322F"/>
    <w:rsid w:val="00994AB6"/>
    <w:rsid w:val="00995E2A"/>
    <w:rsid w:val="0099614F"/>
    <w:rsid w:val="00996C6F"/>
    <w:rsid w:val="009A0E40"/>
    <w:rsid w:val="009A27EF"/>
    <w:rsid w:val="009A2BA3"/>
    <w:rsid w:val="009A2C2B"/>
    <w:rsid w:val="009A43BE"/>
    <w:rsid w:val="009B1404"/>
    <w:rsid w:val="009B19BA"/>
    <w:rsid w:val="009B2FAB"/>
    <w:rsid w:val="009B6212"/>
    <w:rsid w:val="009C36F3"/>
    <w:rsid w:val="009D0C32"/>
    <w:rsid w:val="009D1453"/>
    <w:rsid w:val="009D2813"/>
    <w:rsid w:val="009D54BD"/>
    <w:rsid w:val="009E0C6B"/>
    <w:rsid w:val="009E270E"/>
    <w:rsid w:val="009E45A0"/>
    <w:rsid w:val="009E47D4"/>
    <w:rsid w:val="009E4BA4"/>
    <w:rsid w:val="009E741C"/>
    <w:rsid w:val="009F02CB"/>
    <w:rsid w:val="009F4319"/>
    <w:rsid w:val="009F62D4"/>
    <w:rsid w:val="009F7593"/>
    <w:rsid w:val="009F7E90"/>
    <w:rsid w:val="00A02B4D"/>
    <w:rsid w:val="00A042A9"/>
    <w:rsid w:val="00A0652F"/>
    <w:rsid w:val="00A0659D"/>
    <w:rsid w:val="00A06822"/>
    <w:rsid w:val="00A160B3"/>
    <w:rsid w:val="00A177B8"/>
    <w:rsid w:val="00A223CC"/>
    <w:rsid w:val="00A24441"/>
    <w:rsid w:val="00A27090"/>
    <w:rsid w:val="00A27A9E"/>
    <w:rsid w:val="00A30916"/>
    <w:rsid w:val="00A30D03"/>
    <w:rsid w:val="00A346E5"/>
    <w:rsid w:val="00A360F8"/>
    <w:rsid w:val="00A36A51"/>
    <w:rsid w:val="00A37EA7"/>
    <w:rsid w:val="00A40CF1"/>
    <w:rsid w:val="00A41943"/>
    <w:rsid w:val="00A42BA3"/>
    <w:rsid w:val="00A43117"/>
    <w:rsid w:val="00A4339A"/>
    <w:rsid w:val="00A43BA4"/>
    <w:rsid w:val="00A45ACD"/>
    <w:rsid w:val="00A53737"/>
    <w:rsid w:val="00A5509A"/>
    <w:rsid w:val="00A56BA6"/>
    <w:rsid w:val="00A56C38"/>
    <w:rsid w:val="00A64FFA"/>
    <w:rsid w:val="00A651A9"/>
    <w:rsid w:val="00A7291F"/>
    <w:rsid w:val="00A73680"/>
    <w:rsid w:val="00A769EB"/>
    <w:rsid w:val="00A778B9"/>
    <w:rsid w:val="00A82EBC"/>
    <w:rsid w:val="00A83258"/>
    <w:rsid w:val="00A84ABF"/>
    <w:rsid w:val="00A857BA"/>
    <w:rsid w:val="00A873BF"/>
    <w:rsid w:val="00A87C3B"/>
    <w:rsid w:val="00A90B01"/>
    <w:rsid w:val="00A93205"/>
    <w:rsid w:val="00A977FA"/>
    <w:rsid w:val="00AA4E19"/>
    <w:rsid w:val="00AB19A9"/>
    <w:rsid w:val="00AB1A70"/>
    <w:rsid w:val="00AB274C"/>
    <w:rsid w:val="00AB3FE2"/>
    <w:rsid w:val="00AB79CD"/>
    <w:rsid w:val="00AC5033"/>
    <w:rsid w:val="00AC6489"/>
    <w:rsid w:val="00AC6A42"/>
    <w:rsid w:val="00AC791D"/>
    <w:rsid w:val="00AD23CC"/>
    <w:rsid w:val="00AD26E6"/>
    <w:rsid w:val="00AD353D"/>
    <w:rsid w:val="00AD3885"/>
    <w:rsid w:val="00AE0219"/>
    <w:rsid w:val="00AE312D"/>
    <w:rsid w:val="00AF17B7"/>
    <w:rsid w:val="00AF440F"/>
    <w:rsid w:val="00AF790C"/>
    <w:rsid w:val="00AF7A46"/>
    <w:rsid w:val="00B008CE"/>
    <w:rsid w:val="00B01B53"/>
    <w:rsid w:val="00B027C1"/>
    <w:rsid w:val="00B0371E"/>
    <w:rsid w:val="00B05274"/>
    <w:rsid w:val="00B053A9"/>
    <w:rsid w:val="00B134CD"/>
    <w:rsid w:val="00B163F6"/>
    <w:rsid w:val="00B2122A"/>
    <w:rsid w:val="00B21C5F"/>
    <w:rsid w:val="00B23BEB"/>
    <w:rsid w:val="00B23D9A"/>
    <w:rsid w:val="00B26867"/>
    <w:rsid w:val="00B27B3E"/>
    <w:rsid w:val="00B27F67"/>
    <w:rsid w:val="00B32515"/>
    <w:rsid w:val="00B33655"/>
    <w:rsid w:val="00B37AD3"/>
    <w:rsid w:val="00B411D0"/>
    <w:rsid w:val="00B41FA3"/>
    <w:rsid w:val="00B4282C"/>
    <w:rsid w:val="00B46D6D"/>
    <w:rsid w:val="00B47FC4"/>
    <w:rsid w:val="00B5311D"/>
    <w:rsid w:val="00B53200"/>
    <w:rsid w:val="00B5361A"/>
    <w:rsid w:val="00B63EF2"/>
    <w:rsid w:val="00B768ED"/>
    <w:rsid w:val="00B77674"/>
    <w:rsid w:val="00B80314"/>
    <w:rsid w:val="00B849CA"/>
    <w:rsid w:val="00B9034A"/>
    <w:rsid w:val="00B90E1E"/>
    <w:rsid w:val="00B91DA2"/>
    <w:rsid w:val="00B92D53"/>
    <w:rsid w:val="00B93AB5"/>
    <w:rsid w:val="00B966E0"/>
    <w:rsid w:val="00BA2E4C"/>
    <w:rsid w:val="00BB4199"/>
    <w:rsid w:val="00BB45E3"/>
    <w:rsid w:val="00BB6542"/>
    <w:rsid w:val="00BB65E7"/>
    <w:rsid w:val="00BB73CF"/>
    <w:rsid w:val="00BB76F2"/>
    <w:rsid w:val="00BC2FD8"/>
    <w:rsid w:val="00BC31E4"/>
    <w:rsid w:val="00BC5595"/>
    <w:rsid w:val="00BC761F"/>
    <w:rsid w:val="00BD379C"/>
    <w:rsid w:val="00BD4C7A"/>
    <w:rsid w:val="00BE19A6"/>
    <w:rsid w:val="00BE3021"/>
    <w:rsid w:val="00BE5264"/>
    <w:rsid w:val="00BE6EFC"/>
    <w:rsid w:val="00BF0BCD"/>
    <w:rsid w:val="00BF1AD6"/>
    <w:rsid w:val="00BF6012"/>
    <w:rsid w:val="00BF6825"/>
    <w:rsid w:val="00C0553E"/>
    <w:rsid w:val="00C20552"/>
    <w:rsid w:val="00C21686"/>
    <w:rsid w:val="00C24AE0"/>
    <w:rsid w:val="00C328F9"/>
    <w:rsid w:val="00C33ACB"/>
    <w:rsid w:val="00C3689F"/>
    <w:rsid w:val="00C37483"/>
    <w:rsid w:val="00C42A2C"/>
    <w:rsid w:val="00C47D5C"/>
    <w:rsid w:val="00C538EE"/>
    <w:rsid w:val="00C54D19"/>
    <w:rsid w:val="00C63B91"/>
    <w:rsid w:val="00C67CCF"/>
    <w:rsid w:val="00C67E8E"/>
    <w:rsid w:val="00C707D3"/>
    <w:rsid w:val="00C7774D"/>
    <w:rsid w:val="00C80BFF"/>
    <w:rsid w:val="00C85F9E"/>
    <w:rsid w:val="00C86956"/>
    <w:rsid w:val="00C91953"/>
    <w:rsid w:val="00C91E37"/>
    <w:rsid w:val="00C921E4"/>
    <w:rsid w:val="00C94C4A"/>
    <w:rsid w:val="00C95287"/>
    <w:rsid w:val="00C95C3A"/>
    <w:rsid w:val="00CA3C74"/>
    <w:rsid w:val="00CA4568"/>
    <w:rsid w:val="00CA7157"/>
    <w:rsid w:val="00CB0BE2"/>
    <w:rsid w:val="00CB486A"/>
    <w:rsid w:val="00CC03E6"/>
    <w:rsid w:val="00CC2661"/>
    <w:rsid w:val="00CC487B"/>
    <w:rsid w:val="00CC5645"/>
    <w:rsid w:val="00CC6094"/>
    <w:rsid w:val="00CE06F2"/>
    <w:rsid w:val="00CE26E4"/>
    <w:rsid w:val="00CE671B"/>
    <w:rsid w:val="00CE7EE6"/>
    <w:rsid w:val="00CF0D50"/>
    <w:rsid w:val="00CF49DB"/>
    <w:rsid w:val="00D06C6F"/>
    <w:rsid w:val="00D10DF6"/>
    <w:rsid w:val="00D15F6B"/>
    <w:rsid w:val="00D17E12"/>
    <w:rsid w:val="00D20C00"/>
    <w:rsid w:val="00D23156"/>
    <w:rsid w:val="00D2316A"/>
    <w:rsid w:val="00D23EA3"/>
    <w:rsid w:val="00D24206"/>
    <w:rsid w:val="00D253D2"/>
    <w:rsid w:val="00D274AD"/>
    <w:rsid w:val="00D3094C"/>
    <w:rsid w:val="00D32193"/>
    <w:rsid w:val="00D340F5"/>
    <w:rsid w:val="00D40DD4"/>
    <w:rsid w:val="00D41735"/>
    <w:rsid w:val="00D4417B"/>
    <w:rsid w:val="00D47499"/>
    <w:rsid w:val="00D500A0"/>
    <w:rsid w:val="00D52398"/>
    <w:rsid w:val="00D5288D"/>
    <w:rsid w:val="00D5478F"/>
    <w:rsid w:val="00D5501C"/>
    <w:rsid w:val="00D55A42"/>
    <w:rsid w:val="00D56C4D"/>
    <w:rsid w:val="00D60E83"/>
    <w:rsid w:val="00D677F4"/>
    <w:rsid w:val="00D71B52"/>
    <w:rsid w:val="00D738ED"/>
    <w:rsid w:val="00D73EC2"/>
    <w:rsid w:val="00D7415F"/>
    <w:rsid w:val="00D7468B"/>
    <w:rsid w:val="00D77CE4"/>
    <w:rsid w:val="00D830A9"/>
    <w:rsid w:val="00D87982"/>
    <w:rsid w:val="00D949FF"/>
    <w:rsid w:val="00D961CD"/>
    <w:rsid w:val="00DA29E6"/>
    <w:rsid w:val="00DA52EB"/>
    <w:rsid w:val="00DA57A2"/>
    <w:rsid w:val="00DA6D86"/>
    <w:rsid w:val="00DA7150"/>
    <w:rsid w:val="00DA76A4"/>
    <w:rsid w:val="00DB02A8"/>
    <w:rsid w:val="00DB087C"/>
    <w:rsid w:val="00DB0A5D"/>
    <w:rsid w:val="00DB1C47"/>
    <w:rsid w:val="00DB261D"/>
    <w:rsid w:val="00DB336B"/>
    <w:rsid w:val="00DB45D7"/>
    <w:rsid w:val="00DB4CE5"/>
    <w:rsid w:val="00DB61CB"/>
    <w:rsid w:val="00DC17B7"/>
    <w:rsid w:val="00DC26E8"/>
    <w:rsid w:val="00DC5C66"/>
    <w:rsid w:val="00DC6D75"/>
    <w:rsid w:val="00DD1096"/>
    <w:rsid w:val="00DE0BE7"/>
    <w:rsid w:val="00DE1EDB"/>
    <w:rsid w:val="00DE3F2F"/>
    <w:rsid w:val="00DE4D3E"/>
    <w:rsid w:val="00DE5790"/>
    <w:rsid w:val="00DF1B70"/>
    <w:rsid w:val="00DF1CF8"/>
    <w:rsid w:val="00DF3FA5"/>
    <w:rsid w:val="00DF5C6C"/>
    <w:rsid w:val="00DF601A"/>
    <w:rsid w:val="00DF7271"/>
    <w:rsid w:val="00E011D2"/>
    <w:rsid w:val="00E02B2A"/>
    <w:rsid w:val="00E04428"/>
    <w:rsid w:val="00E060F2"/>
    <w:rsid w:val="00E06B39"/>
    <w:rsid w:val="00E15297"/>
    <w:rsid w:val="00E2046C"/>
    <w:rsid w:val="00E2768D"/>
    <w:rsid w:val="00E27B91"/>
    <w:rsid w:val="00E33C40"/>
    <w:rsid w:val="00E35FAA"/>
    <w:rsid w:val="00E40451"/>
    <w:rsid w:val="00E41079"/>
    <w:rsid w:val="00E422A1"/>
    <w:rsid w:val="00E433EF"/>
    <w:rsid w:val="00E434B8"/>
    <w:rsid w:val="00E50956"/>
    <w:rsid w:val="00E51665"/>
    <w:rsid w:val="00E53DB1"/>
    <w:rsid w:val="00E55A7D"/>
    <w:rsid w:val="00E55C32"/>
    <w:rsid w:val="00E614EF"/>
    <w:rsid w:val="00E620C9"/>
    <w:rsid w:val="00E62FDA"/>
    <w:rsid w:val="00E66D93"/>
    <w:rsid w:val="00E67542"/>
    <w:rsid w:val="00E67D29"/>
    <w:rsid w:val="00E7485D"/>
    <w:rsid w:val="00E76475"/>
    <w:rsid w:val="00E8264C"/>
    <w:rsid w:val="00E847CD"/>
    <w:rsid w:val="00E87F0F"/>
    <w:rsid w:val="00E900E7"/>
    <w:rsid w:val="00E943CB"/>
    <w:rsid w:val="00E9588F"/>
    <w:rsid w:val="00E970D8"/>
    <w:rsid w:val="00EA04A8"/>
    <w:rsid w:val="00EA67BB"/>
    <w:rsid w:val="00EB1C2A"/>
    <w:rsid w:val="00EB270E"/>
    <w:rsid w:val="00EB4AE0"/>
    <w:rsid w:val="00EB4E56"/>
    <w:rsid w:val="00EB69F9"/>
    <w:rsid w:val="00EC295B"/>
    <w:rsid w:val="00EC2AA6"/>
    <w:rsid w:val="00EC3697"/>
    <w:rsid w:val="00EC417A"/>
    <w:rsid w:val="00EC6DE7"/>
    <w:rsid w:val="00ED18A6"/>
    <w:rsid w:val="00ED1D67"/>
    <w:rsid w:val="00ED1FE9"/>
    <w:rsid w:val="00ED22A4"/>
    <w:rsid w:val="00ED2471"/>
    <w:rsid w:val="00ED31F9"/>
    <w:rsid w:val="00ED3290"/>
    <w:rsid w:val="00ED52A3"/>
    <w:rsid w:val="00EE14D6"/>
    <w:rsid w:val="00EE4B08"/>
    <w:rsid w:val="00EF14C1"/>
    <w:rsid w:val="00EF2201"/>
    <w:rsid w:val="00EF27C4"/>
    <w:rsid w:val="00EF2C95"/>
    <w:rsid w:val="00EF36B9"/>
    <w:rsid w:val="00EF3ACD"/>
    <w:rsid w:val="00EF5992"/>
    <w:rsid w:val="00F00722"/>
    <w:rsid w:val="00F1101A"/>
    <w:rsid w:val="00F1309A"/>
    <w:rsid w:val="00F13AED"/>
    <w:rsid w:val="00F13AFB"/>
    <w:rsid w:val="00F16BF9"/>
    <w:rsid w:val="00F21916"/>
    <w:rsid w:val="00F21E1E"/>
    <w:rsid w:val="00F22949"/>
    <w:rsid w:val="00F231C3"/>
    <w:rsid w:val="00F235B6"/>
    <w:rsid w:val="00F30848"/>
    <w:rsid w:val="00F34584"/>
    <w:rsid w:val="00F34595"/>
    <w:rsid w:val="00F446B3"/>
    <w:rsid w:val="00F51436"/>
    <w:rsid w:val="00F60DA6"/>
    <w:rsid w:val="00F62466"/>
    <w:rsid w:val="00F647F0"/>
    <w:rsid w:val="00F658D3"/>
    <w:rsid w:val="00F71605"/>
    <w:rsid w:val="00F71DA5"/>
    <w:rsid w:val="00F7401F"/>
    <w:rsid w:val="00F76D36"/>
    <w:rsid w:val="00F806E8"/>
    <w:rsid w:val="00F8083A"/>
    <w:rsid w:val="00F80CDB"/>
    <w:rsid w:val="00F860C4"/>
    <w:rsid w:val="00F87E41"/>
    <w:rsid w:val="00F9107A"/>
    <w:rsid w:val="00F931A2"/>
    <w:rsid w:val="00FA3AB8"/>
    <w:rsid w:val="00FA416E"/>
    <w:rsid w:val="00FA49B9"/>
    <w:rsid w:val="00FA733B"/>
    <w:rsid w:val="00FA7627"/>
    <w:rsid w:val="00FA7C4F"/>
    <w:rsid w:val="00FB2119"/>
    <w:rsid w:val="00FB4ABA"/>
    <w:rsid w:val="00FC5CA1"/>
    <w:rsid w:val="00FC737C"/>
    <w:rsid w:val="00FD1A90"/>
    <w:rsid w:val="00FE15D6"/>
    <w:rsid w:val="00FE1788"/>
    <w:rsid w:val="00FF4C41"/>
    <w:rsid w:val="00FF5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59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uiPriority w:val="9"/>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NormalLetter">
    <w:name w:val="Normal Letter"/>
    <w:basedOn w:val="Normal"/>
    <w:rsid w:val="00086391"/>
    <w:pPr>
      <w:widowControl/>
      <w:spacing w:before="120" w:after="120"/>
      <w:jc w:val="both"/>
    </w:pPr>
    <w:rPr>
      <w:rFonts w:ascii="Arial" w:eastAsia="Times New Roman" w:hAnsi="Arial"/>
      <w:szCs w:val="20"/>
      <w:lang w:val="en-AU"/>
    </w:rPr>
  </w:style>
  <w:style w:type="paragraph" w:customStyle="1" w:styleId="Heading1A">
    <w:name w:val="Heading 1A"/>
    <w:basedOn w:val="Heading1"/>
    <w:next w:val="BodyText"/>
    <w:qFormat/>
    <w:rsid w:val="00086391"/>
    <w:pPr>
      <w:widowControl/>
      <w:tabs>
        <w:tab w:val="num" w:pos="567"/>
      </w:tabs>
      <w:spacing w:before="0" w:after="240" w:line="240" w:lineRule="atLeast"/>
      <w:ind w:left="567" w:hanging="567"/>
    </w:pPr>
    <w:rPr>
      <w:rFonts w:ascii="Times New Roman" w:hAnsi="Times New Roman"/>
      <w:bCs w:val="0"/>
      <w:color w:val="000000" w:themeColor="text1"/>
      <w:kern w:val="28"/>
      <w:sz w:val="24"/>
      <w:szCs w:val="28"/>
      <w:lang w:val="en-AU"/>
    </w:rPr>
  </w:style>
  <w:style w:type="paragraph" w:customStyle="1" w:styleId="Heading2A">
    <w:name w:val="Heading 2A"/>
    <w:basedOn w:val="Heading2"/>
    <w:next w:val="BodyText"/>
    <w:qFormat/>
    <w:rsid w:val="00086391"/>
    <w:pPr>
      <w:widowControl/>
      <w:tabs>
        <w:tab w:val="num" w:pos="567"/>
      </w:tabs>
      <w:spacing w:before="0" w:after="240" w:line="240" w:lineRule="atLeast"/>
      <w:ind w:left="1134" w:hanging="567"/>
    </w:pPr>
    <w:rPr>
      <w:rFonts w:ascii="Times New Roman" w:eastAsia="Times New Roman" w:hAnsi="Times New Roman"/>
      <w:sz w:val="24"/>
      <w:szCs w:val="20"/>
      <w:lang w:val="en-AU"/>
    </w:rPr>
  </w:style>
  <w:style w:type="paragraph" w:customStyle="1" w:styleId="Heading3A">
    <w:name w:val="Heading 3A"/>
    <w:basedOn w:val="Heading3"/>
    <w:qFormat/>
    <w:rsid w:val="00086391"/>
    <w:pPr>
      <w:keepNext w:val="0"/>
      <w:widowControl/>
      <w:tabs>
        <w:tab w:val="num" w:pos="1701"/>
      </w:tabs>
      <w:spacing w:before="0" w:after="240" w:line="240" w:lineRule="atLeast"/>
      <w:ind w:left="1701" w:hanging="567"/>
    </w:pPr>
    <w:rPr>
      <w:rFonts w:ascii="Times New Roman" w:hAnsi="Times New Roman"/>
      <w:b w:val="0"/>
      <w:bCs w:val="0"/>
      <w:sz w:val="24"/>
      <w:szCs w:val="20"/>
      <w:lang w:val="en-AU"/>
    </w:rPr>
  </w:style>
  <w:style w:type="paragraph" w:customStyle="1" w:styleId="Heading3aa">
    <w:name w:val="Heading 3 aa"/>
    <w:basedOn w:val="BodyText"/>
    <w:qFormat/>
    <w:rsid w:val="00086391"/>
    <w:pPr>
      <w:widowControl/>
      <w:tabs>
        <w:tab w:val="num" w:pos="1701"/>
      </w:tabs>
      <w:spacing w:after="240" w:line="240" w:lineRule="atLeast"/>
      <w:ind w:left="1701" w:hanging="567"/>
    </w:pPr>
    <w:rPr>
      <w:rFonts w:cs="Times New Roman"/>
      <w:sz w:val="24"/>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uiPriority w:val="9"/>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NormalLetter">
    <w:name w:val="Normal Letter"/>
    <w:basedOn w:val="Normal"/>
    <w:rsid w:val="00086391"/>
    <w:pPr>
      <w:widowControl/>
      <w:spacing w:before="120" w:after="120"/>
      <w:jc w:val="both"/>
    </w:pPr>
    <w:rPr>
      <w:rFonts w:ascii="Arial" w:eastAsia="Times New Roman" w:hAnsi="Arial"/>
      <w:szCs w:val="20"/>
      <w:lang w:val="en-AU"/>
    </w:rPr>
  </w:style>
  <w:style w:type="paragraph" w:customStyle="1" w:styleId="Heading1A">
    <w:name w:val="Heading 1A"/>
    <w:basedOn w:val="Heading1"/>
    <w:next w:val="BodyText"/>
    <w:qFormat/>
    <w:rsid w:val="00086391"/>
    <w:pPr>
      <w:widowControl/>
      <w:tabs>
        <w:tab w:val="num" w:pos="567"/>
      </w:tabs>
      <w:spacing w:before="0" w:after="240" w:line="240" w:lineRule="atLeast"/>
      <w:ind w:left="567" w:hanging="567"/>
    </w:pPr>
    <w:rPr>
      <w:rFonts w:ascii="Times New Roman" w:hAnsi="Times New Roman"/>
      <w:bCs w:val="0"/>
      <w:color w:val="000000" w:themeColor="text1"/>
      <w:kern w:val="28"/>
      <w:sz w:val="24"/>
      <w:szCs w:val="28"/>
      <w:lang w:val="en-AU"/>
    </w:rPr>
  </w:style>
  <w:style w:type="paragraph" w:customStyle="1" w:styleId="Heading2A">
    <w:name w:val="Heading 2A"/>
    <w:basedOn w:val="Heading2"/>
    <w:next w:val="BodyText"/>
    <w:qFormat/>
    <w:rsid w:val="00086391"/>
    <w:pPr>
      <w:widowControl/>
      <w:tabs>
        <w:tab w:val="num" w:pos="567"/>
      </w:tabs>
      <w:spacing w:before="0" w:after="240" w:line="240" w:lineRule="atLeast"/>
      <w:ind w:left="1134" w:hanging="567"/>
    </w:pPr>
    <w:rPr>
      <w:rFonts w:ascii="Times New Roman" w:eastAsia="Times New Roman" w:hAnsi="Times New Roman"/>
      <w:sz w:val="24"/>
      <w:szCs w:val="20"/>
      <w:lang w:val="en-AU"/>
    </w:rPr>
  </w:style>
  <w:style w:type="paragraph" w:customStyle="1" w:styleId="Heading3A">
    <w:name w:val="Heading 3A"/>
    <w:basedOn w:val="Heading3"/>
    <w:qFormat/>
    <w:rsid w:val="00086391"/>
    <w:pPr>
      <w:keepNext w:val="0"/>
      <w:widowControl/>
      <w:tabs>
        <w:tab w:val="num" w:pos="1701"/>
      </w:tabs>
      <w:spacing w:before="0" w:after="240" w:line="240" w:lineRule="atLeast"/>
      <w:ind w:left="1701" w:hanging="567"/>
    </w:pPr>
    <w:rPr>
      <w:rFonts w:ascii="Times New Roman" w:hAnsi="Times New Roman"/>
      <w:b w:val="0"/>
      <w:bCs w:val="0"/>
      <w:sz w:val="24"/>
      <w:szCs w:val="20"/>
      <w:lang w:val="en-AU"/>
    </w:rPr>
  </w:style>
  <w:style w:type="paragraph" w:customStyle="1" w:styleId="Heading3aa">
    <w:name w:val="Heading 3 aa"/>
    <w:basedOn w:val="BodyText"/>
    <w:qFormat/>
    <w:rsid w:val="00086391"/>
    <w:pPr>
      <w:widowControl/>
      <w:tabs>
        <w:tab w:val="num" w:pos="1701"/>
      </w:tabs>
      <w:spacing w:after="240" w:line="240" w:lineRule="atLeast"/>
      <w:ind w:left="1701" w:hanging="567"/>
    </w:pPr>
    <w:rPr>
      <w:rFonts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F108B-BABA-4CC7-A4E1-79BF733C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Northern Territory Government S70 2016</vt:lpstr>
    </vt:vector>
  </TitlesOfParts>
  <Company>NTG</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S70 2016</dc:title>
  <dc:creator>Northern Territory Government</dc:creator>
  <cp:lastModifiedBy>mahec</cp:lastModifiedBy>
  <cp:revision>15</cp:revision>
  <cp:lastPrinted>2016-07-19T05:19:00Z</cp:lastPrinted>
  <dcterms:created xsi:type="dcterms:W3CDTF">2016-07-14T05:51:00Z</dcterms:created>
  <dcterms:modified xsi:type="dcterms:W3CDTF">2016-07-19T05:19:00Z</dcterms:modified>
</cp:coreProperties>
</file>