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183" w:rsidRPr="006B6806" w:rsidRDefault="00615183" w:rsidP="00615183">
      <w:pPr>
        <w:pStyle w:val="Paragraph"/>
        <w:widowControl/>
        <w:spacing w:after="240" w:line="240" w:lineRule="auto"/>
        <w:ind w:left="720" w:hanging="720"/>
        <w:jc w:val="center"/>
        <w:rPr>
          <w:rFonts w:ascii="Arial" w:hAnsi="Arial" w:cs="Arial"/>
          <w:b/>
          <w:sz w:val="22"/>
          <w:szCs w:val="22"/>
        </w:rPr>
      </w:pPr>
      <w:bookmarkStart w:id="0" w:name="OLE_LINK1"/>
      <w:bookmarkStart w:id="1" w:name="OLE_LINK2"/>
      <w:bookmarkStart w:id="2" w:name="_GoBack"/>
      <w:bookmarkEnd w:id="2"/>
      <w:r w:rsidRPr="006B6806">
        <w:rPr>
          <w:rFonts w:ascii="Arial" w:hAnsi="Arial" w:cs="Arial"/>
          <w:b/>
          <w:sz w:val="22"/>
          <w:szCs w:val="22"/>
        </w:rPr>
        <w:t>NORTHERN TERRITORY OF AUSTRALIA</w:t>
      </w:r>
    </w:p>
    <w:p w:rsidR="00615183" w:rsidRPr="006B6806" w:rsidRDefault="00615183" w:rsidP="00615183">
      <w:pPr>
        <w:pStyle w:val="Paragraph"/>
        <w:widowControl/>
        <w:spacing w:after="240" w:line="240" w:lineRule="auto"/>
        <w:ind w:left="720" w:hanging="720"/>
        <w:jc w:val="center"/>
        <w:rPr>
          <w:rFonts w:ascii="Arial" w:hAnsi="Arial" w:cs="Arial"/>
          <w:b/>
          <w:i/>
          <w:sz w:val="22"/>
          <w:szCs w:val="22"/>
        </w:rPr>
      </w:pPr>
      <w:r w:rsidRPr="006B6806">
        <w:rPr>
          <w:rFonts w:ascii="Arial" w:hAnsi="Arial" w:cs="Arial"/>
          <w:b/>
          <w:i/>
          <w:sz w:val="22"/>
          <w:szCs w:val="22"/>
        </w:rPr>
        <w:t>Mineral Titles Act</w:t>
      </w:r>
    </w:p>
    <w:p w:rsidR="00615183" w:rsidRPr="006B6806" w:rsidRDefault="00615183" w:rsidP="00615183">
      <w:pPr>
        <w:pStyle w:val="Paragraph"/>
        <w:widowControl/>
        <w:spacing w:after="240" w:line="240" w:lineRule="auto"/>
        <w:ind w:left="720" w:hanging="720"/>
        <w:jc w:val="center"/>
        <w:rPr>
          <w:rFonts w:ascii="Arial" w:hAnsi="Arial" w:cs="Arial"/>
          <w:b/>
          <w:sz w:val="22"/>
          <w:szCs w:val="22"/>
        </w:rPr>
      </w:pPr>
      <w:r w:rsidRPr="006B6806">
        <w:rPr>
          <w:rFonts w:ascii="Arial" w:hAnsi="Arial" w:cs="Arial"/>
          <w:b/>
          <w:sz w:val="22"/>
          <w:szCs w:val="22"/>
        </w:rPr>
        <w:t>MINERAL EXPLORATION LICENCE</w:t>
      </w:r>
    </w:p>
    <w:p w:rsidR="00615183" w:rsidRPr="006B6806" w:rsidRDefault="00615183" w:rsidP="00615183">
      <w:pPr>
        <w:pStyle w:val="Paragraph"/>
        <w:widowControl/>
        <w:spacing w:after="240" w:line="240" w:lineRule="auto"/>
        <w:ind w:left="720" w:hanging="720"/>
        <w:rPr>
          <w:rFonts w:ascii="Arial" w:hAnsi="Arial" w:cs="Arial"/>
          <w:sz w:val="22"/>
          <w:szCs w:val="24"/>
        </w:rPr>
      </w:pPr>
      <w:r w:rsidRPr="006B6806">
        <w:rPr>
          <w:rFonts w:ascii="Arial" w:hAnsi="Arial" w:cs="Arial"/>
          <w:sz w:val="22"/>
          <w:szCs w:val="24"/>
        </w:rPr>
        <w:t xml:space="preserve">TITLE HOLDER: </w:t>
      </w:r>
    </w:p>
    <w:p w:rsidR="00615183" w:rsidRPr="0034652A" w:rsidRDefault="00615183" w:rsidP="00615183">
      <w:pPr>
        <w:pStyle w:val="Paragraph"/>
        <w:widowControl/>
        <w:spacing w:after="240" w:line="240" w:lineRule="auto"/>
        <w:ind w:left="720" w:hanging="720"/>
        <w:rPr>
          <w:rFonts w:ascii="Arial" w:hAnsi="Arial" w:cs="Arial"/>
          <w:sz w:val="22"/>
          <w:szCs w:val="24"/>
        </w:rPr>
      </w:pPr>
      <w:r w:rsidRPr="0034652A">
        <w:rPr>
          <w:rFonts w:ascii="Arial" w:hAnsi="Arial" w:cs="Arial"/>
          <w:sz w:val="22"/>
          <w:szCs w:val="24"/>
        </w:rPr>
        <w:t xml:space="preserve">ACN: </w:t>
      </w:r>
    </w:p>
    <w:bookmarkEnd w:id="0"/>
    <w:bookmarkEnd w:id="1"/>
    <w:p w:rsidR="00615183" w:rsidRPr="006B6806" w:rsidRDefault="00615183" w:rsidP="00615183">
      <w:pPr>
        <w:pStyle w:val="Paragraph"/>
        <w:widowControl/>
        <w:spacing w:before="120" w:line="240" w:lineRule="auto"/>
        <w:ind w:left="720" w:hanging="720"/>
        <w:jc w:val="center"/>
        <w:rPr>
          <w:rFonts w:ascii="Arial" w:hAnsi="Arial" w:cs="Arial"/>
          <w:b/>
          <w:sz w:val="22"/>
          <w:szCs w:val="24"/>
        </w:rPr>
      </w:pPr>
      <w:r w:rsidRPr="006B6806">
        <w:rPr>
          <w:rFonts w:ascii="Arial" w:hAnsi="Arial" w:cs="Arial"/>
          <w:b/>
          <w:sz w:val="22"/>
          <w:szCs w:val="24"/>
        </w:rPr>
        <w:t>FIRST SCHEDULE</w:t>
      </w:r>
    </w:p>
    <w:p w:rsidR="00615183" w:rsidRPr="006B6806" w:rsidRDefault="00615183" w:rsidP="00615183">
      <w:pPr>
        <w:pStyle w:val="Paragraph"/>
        <w:widowControl/>
        <w:spacing w:before="120" w:line="240" w:lineRule="auto"/>
        <w:ind w:left="720" w:hanging="720"/>
        <w:jc w:val="center"/>
        <w:rPr>
          <w:rFonts w:ascii="Arial" w:hAnsi="Arial" w:cs="Arial"/>
          <w:sz w:val="22"/>
          <w:szCs w:val="24"/>
        </w:rPr>
      </w:pPr>
      <w:r w:rsidRPr="006B6806">
        <w:rPr>
          <w:rFonts w:ascii="Arial" w:hAnsi="Arial" w:cs="Arial"/>
          <w:b/>
          <w:sz w:val="22"/>
          <w:szCs w:val="24"/>
        </w:rPr>
        <w:t>GENERAL CONDITIONS OF GRANT</w:t>
      </w:r>
    </w:p>
    <w:p w:rsidR="00615183" w:rsidRPr="006B6806" w:rsidRDefault="00615183" w:rsidP="00615183">
      <w:pPr>
        <w:pStyle w:val="Paragraph"/>
        <w:widowControl/>
        <w:spacing w:line="240" w:lineRule="auto"/>
        <w:ind w:left="720" w:hanging="720"/>
        <w:jc w:val="center"/>
        <w:rPr>
          <w:rFonts w:ascii="Arial" w:hAnsi="Arial" w:cs="Arial"/>
          <w:b/>
          <w:sz w:val="22"/>
          <w:szCs w:val="24"/>
        </w:rPr>
      </w:pPr>
    </w:p>
    <w:p w:rsidR="00615183" w:rsidRPr="006B6806" w:rsidRDefault="00615183" w:rsidP="00615183">
      <w:pPr>
        <w:pStyle w:val="numindent"/>
        <w:widowControl/>
        <w:numPr>
          <w:ilvl w:val="0"/>
          <w:numId w:val="14"/>
        </w:numPr>
        <w:tabs>
          <w:tab w:val="clear" w:pos="720"/>
          <w:tab w:val="left" w:pos="400"/>
        </w:tabs>
        <w:spacing w:after="200" w:line="240" w:lineRule="auto"/>
        <w:rPr>
          <w:rFonts w:ascii="Arial" w:hAnsi="Arial" w:cs="Arial"/>
          <w:b/>
          <w:i/>
          <w:color w:val="auto"/>
          <w:sz w:val="22"/>
          <w:szCs w:val="24"/>
        </w:rPr>
      </w:pPr>
      <w:r w:rsidRPr="006B6806">
        <w:rPr>
          <w:rFonts w:ascii="Arial" w:hAnsi="Arial" w:cs="Arial"/>
          <w:color w:val="auto"/>
          <w:sz w:val="22"/>
          <w:szCs w:val="24"/>
        </w:rPr>
        <w:t xml:space="preserve">The title holder is advised that as soon as practicable after the grant of adjoining exploration licence (insert number) these mineral titles must be amalgamated under the provisions of section 102 of the </w:t>
      </w:r>
      <w:r w:rsidRPr="006B6806">
        <w:rPr>
          <w:rFonts w:ascii="Arial" w:hAnsi="Arial" w:cs="Arial"/>
          <w:i/>
          <w:color w:val="auto"/>
          <w:sz w:val="22"/>
          <w:szCs w:val="24"/>
        </w:rPr>
        <w:t>Mineral Titles Act.</w:t>
      </w:r>
    </w:p>
    <w:p w:rsidR="00615183" w:rsidRPr="006B6806" w:rsidRDefault="00615183" w:rsidP="00615183">
      <w:pPr>
        <w:pStyle w:val="numindent"/>
        <w:widowControl/>
        <w:numPr>
          <w:ilvl w:val="0"/>
          <w:numId w:val="14"/>
        </w:numPr>
        <w:tabs>
          <w:tab w:val="clear" w:pos="720"/>
          <w:tab w:val="left" w:pos="400"/>
        </w:tabs>
        <w:spacing w:after="200" w:line="240" w:lineRule="auto"/>
        <w:rPr>
          <w:rFonts w:ascii="Arial" w:hAnsi="Arial" w:cs="Arial"/>
          <w:color w:val="auto"/>
          <w:sz w:val="22"/>
          <w:szCs w:val="24"/>
        </w:rPr>
      </w:pPr>
      <w:r w:rsidRPr="006B6806">
        <w:rPr>
          <w:rFonts w:ascii="Arial" w:hAnsi="Arial" w:cs="Arial"/>
          <w:color w:val="auto"/>
          <w:sz w:val="22"/>
          <w:szCs w:val="24"/>
        </w:rPr>
        <w:t>The title holder must ensure that a minimum amount of $X in the first operational year and $X in the second operational year is expended in carrying out exploration activities in the title area.</w:t>
      </w:r>
    </w:p>
    <w:p w:rsidR="00615183" w:rsidRPr="006B6806" w:rsidRDefault="00615183" w:rsidP="00615183">
      <w:pPr>
        <w:pStyle w:val="numindent"/>
        <w:widowControl/>
        <w:numPr>
          <w:ilvl w:val="0"/>
          <w:numId w:val="14"/>
        </w:numPr>
        <w:tabs>
          <w:tab w:val="clear" w:pos="720"/>
          <w:tab w:val="left" w:pos="400"/>
        </w:tabs>
        <w:spacing w:after="200" w:line="240" w:lineRule="auto"/>
        <w:rPr>
          <w:rFonts w:ascii="Arial" w:hAnsi="Arial" w:cs="Arial"/>
          <w:color w:val="auto"/>
          <w:sz w:val="22"/>
          <w:szCs w:val="24"/>
        </w:rPr>
      </w:pPr>
      <w:r w:rsidRPr="006B6806">
        <w:rPr>
          <w:rFonts w:ascii="Arial" w:hAnsi="Arial" w:cs="Arial"/>
          <w:color w:val="auto"/>
          <w:sz w:val="22"/>
          <w:szCs w:val="24"/>
        </w:rPr>
        <w:t xml:space="preserve">The title holder must also ensure that subsequent expenditure requirements, as specified in the annual expenditure report required at item 3, are expended in carrying out exploration activities in the title area. </w:t>
      </w:r>
    </w:p>
    <w:p w:rsidR="00615183" w:rsidRPr="006B6806" w:rsidRDefault="00615183" w:rsidP="00615183">
      <w:pPr>
        <w:numPr>
          <w:ilvl w:val="0"/>
          <w:numId w:val="14"/>
        </w:numPr>
        <w:tabs>
          <w:tab w:val="left" w:pos="360"/>
          <w:tab w:val="left" w:pos="400"/>
        </w:tabs>
        <w:jc w:val="both"/>
        <w:rPr>
          <w:rFonts w:cs="Arial"/>
          <w:szCs w:val="24"/>
        </w:rPr>
      </w:pPr>
      <w:r w:rsidRPr="006B6806">
        <w:rPr>
          <w:rFonts w:cs="Arial"/>
          <w:szCs w:val="24"/>
        </w:rPr>
        <w:t>The title holder must submit</w:t>
      </w:r>
      <w:r w:rsidRPr="006B6806" w:rsidDel="00E14C81">
        <w:rPr>
          <w:rFonts w:cs="Arial"/>
          <w:szCs w:val="24"/>
        </w:rPr>
        <w:t xml:space="preserve"> </w:t>
      </w:r>
      <w:r w:rsidRPr="006B6806">
        <w:rPr>
          <w:rFonts w:cs="Arial"/>
          <w:szCs w:val="24"/>
        </w:rPr>
        <w:t>an expenditure report in the approved form, within thirty (30) days after the end of each operational year, specifying:</w:t>
      </w:r>
    </w:p>
    <w:p w:rsidR="00615183" w:rsidRPr="006B6806" w:rsidRDefault="00615183" w:rsidP="00615183">
      <w:pPr>
        <w:numPr>
          <w:ilvl w:val="1"/>
          <w:numId w:val="14"/>
        </w:numPr>
        <w:tabs>
          <w:tab w:val="clear" w:pos="1440"/>
          <w:tab w:val="left" w:pos="360"/>
          <w:tab w:val="left" w:pos="400"/>
          <w:tab w:val="num" w:pos="709"/>
        </w:tabs>
        <w:ind w:left="709" w:hanging="309"/>
        <w:jc w:val="both"/>
        <w:rPr>
          <w:rFonts w:cs="Arial"/>
          <w:szCs w:val="24"/>
        </w:rPr>
      </w:pPr>
      <w:r w:rsidRPr="006B6806">
        <w:rPr>
          <w:rFonts w:cs="Arial"/>
          <w:szCs w:val="24"/>
        </w:rPr>
        <w:t>the amount expended on technical work carried out during the operational year for which the report is given; and</w:t>
      </w:r>
    </w:p>
    <w:p w:rsidR="00615183" w:rsidRPr="006B6806" w:rsidRDefault="00615183" w:rsidP="00615183">
      <w:pPr>
        <w:numPr>
          <w:ilvl w:val="1"/>
          <w:numId w:val="14"/>
        </w:numPr>
        <w:tabs>
          <w:tab w:val="clear" w:pos="1440"/>
          <w:tab w:val="left" w:pos="360"/>
          <w:tab w:val="left" w:pos="400"/>
          <w:tab w:val="num" w:pos="709"/>
        </w:tabs>
        <w:ind w:left="709" w:hanging="309"/>
        <w:jc w:val="both"/>
        <w:rPr>
          <w:rFonts w:cs="Arial"/>
          <w:szCs w:val="24"/>
        </w:rPr>
      </w:pPr>
      <w:proofErr w:type="gramStart"/>
      <w:r w:rsidRPr="006B6806">
        <w:rPr>
          <w:rFonts w:cs="Arial"/>
          <w:szCs w:val="24"/>
        </w:rPr>
        <w:t>the</w:t>
      </w:r>
      <w:proofErr w:type="gramEnd"/>
      <w:r w:rsidRPr="006B6806">
        <w:rPr>
          <w:rFonts w:cs="Arial"/>
          <w:szCs w:val="24"/>
        </w:rPr>
        <w:t xml:space="preserve"> amount the title holder proposes to expend on carrying out technical work for the next operational year.</w:t>
      </w:r>
    </w:p>
    <w:p w:rsidR="00615183" w:rsidRPr="006B6806" w:rsidRDefault="00615183" w:rsidP="00615183">
      <w:pPr>
        <w:pStyle w:val="numindent"/>
        <w:widowControl/>
        <w:numPr>
          <w:ilvl w:val="0"/>
          <w:numId w:val="14"/>
        </w:numPr>
        <w:tabs>
          <w:tab w:val="clear" w:pos="720"/>
          <w:tab w:val="left" w:pos="400"/>
        </w:tabs>
        <w:spacing w:after="200" w:line="240" w:lineRule="auto"/>
        <w:rPr>
          <w:rFonts w:ascii="Arial" w:hAnsi="Arial" w:cs="Arial"/>
          <w:color w:val="auto"/>
          <w:sz w:val="22"/>
          <w:szCs w:val="24"/>
        </w:rPr>
      </w:pPr>
      <w:r w:rsidRPr="006B6806">
        <w:rPr>
          <w:rFonts w:ascii="Arial" w:hAnsi="Arial" w:cs="Arial"/>
          <w:color w:val="auto"/>
          <w:sz w:val="22"/>
          <w:szCs w:val="24"/>
        </w:rPr>
        <w:t xml:space="preserve">Despite any agreement entered into by the title holder with any other person in relation to the title area (including but not limited to use, access or carrying out of exploration activities) the title holder remains responsible for compliance with all relevant requirements of the </w:t>
      </w:r>
      <w:r w:rsidRPr="006B6806">
        <w:rPr>
          <w:rFonts w:ascii="Arial" w:hAnsi="Arial" w:cs="Arial"/>
          <w:i/>
          <w:color w:val="auto"/>
          <w:sz w:val="22"/>
          <w:szCs w:val="24"/>
        </w:rPr>
        <w:t xml:space="preserve">Mineral Titles Act </w:t>
      </w:r>
      <w:r w:rsidRPr="006B6806">
        <w:rPr>
          <w:rFonts w:ascii="Arial" w:hAnsi="Arial" w:cs="Arial"/>
          <w:color w:val="auto"/>
          <w:sz w:val="22"/>
          <w:szCs w:val="24"/>
        </w:rPr>
        <w:t>and all other laws in force in the Territory, particularly in relation to the use of land or natural resources, and the title holder will be held liable for any non-compliances, breaches or offences of any person claiming to have a right or interest in the title area through the title holder.</w:t>
      </w:r>
    </w:p>
    <w:p w:rsidR="00615183" w:rsidRPr="006B6806" w:rsidRDefault="00615183" w:rsidP="00615183">
      <w:pPr>
        <w:pStyle w:val="numindent"/>
        <w:widowControl/>
        <w:numPr>
          <w:ilvl w:val="0"/>
          <w:numId w:val="14"/>
        </w:numPr>
        <w:spacing w:after="200" w:line="240" w:lineRule="auto"/>
        <w:rPr>
          <w:rFonts w:ascii="Arial" w:hAnsi="Arial" w:cs="Arial"/>
          <w:color w:val="auto"/>
          <w:sz w:val="22"/>
          <w:szCs w:val="24"/>
        </w:rPr>
      </w:pPr>
      <w:r w:rsidRPr="006B6806">
        <w:rPr>
          <w:rFonts w:ascii="Arial" w:hAnsi="Arial" w:cs="Arial"/>
          <w:color w:val="auto"/>
          <w:sz w:val="22"/>
          <w:szCs w:val="24"/>
        </w:rPr>
        <w:t>The title holder must indemnify and at all times hold indemnified the Territory, its employees, contractors and agents from claims, actions, suits and demands whether debt damages, costs or otherwise arising out of a breach of the duties and obligations, whether expressed or implied, of the title holder at common law, or of the Claim or of any law in force in the Territory that is applicable and whether such breach is that of the title holder or any of its employees, contractors, or agents.</w:t>
      </w:r>
    </w:p>
    <w:p w:rsidR="00615183" w:rsidRPr="006B6806" w:rsidRDefault="00615183" w:rsidP="00615183">
      <w:pPr>
        <w:pStyle w:val="numindent"/>
        <w:widowControl/>
        <w:numPr>
          <w:ilvl w:val="0"/>
          <w:numId w:val="14"/>
        </w:numPr>
        <w:tabs>
          <w:tab w:val="clear" w:pos="360"/>
          <w:tab w:val="clear" w:pos="720"/>
          <w:tab w:val="num" w:pos="300"/>
          <w:tab w:val="left" w:pos="400"/>
        </w:tabs>
        <w:spacing w:after="200" w:line="240" w:lineRule="auto"/>
        <w:jc w:val="left"/>
        <w:rPr>
          <w:rFonts w:ascii="Arial" w:hAnsi="Arial" w:cs="Arial"/>
          <w:color w:val="auto"/>
          <w:sz w:val="22"/>
          <w:szCs w:val="24"/>
        </w:rPr>
      </w:pPr>
      <w:r w:rsidRPr="006B6806">
        <w:rPr>
          <w:rFonts w:ascii="Arial" w:hAnsi="Arial" w:cs="Arial"/>
          <w:color w:val="auto"/>
          <w:sz w:val="22"/>
          <w:szCs w:val="24"/>
        </w:rPr>
        <w:tab/>
        <w:t xml:space="preserve">Before carrying out any exploration activities or works involving substantial disturbance on the licence area, the title holder must hold a valid Authorisation granted under Part 4, Division 2 of the </w:t>
      </w:r>
      <w:r w:rsidRPr="006B6806">
        <w:rPr>
          <w:rFonts w:ascii="Arial" w:hAnsi="Arial" w:cs="Arial"/>
          <w:i/>
          <w:color w:val="auto"/>
          <w:sz w:val="22"/>
          <w:szCs w:val="24"/>
        </w:rPr>
        <w:t>Mining Management Act</w:t>
      </w:r>
      <w:r w:rsidRPr="006B6806">
        <w:rPr>
          <w:rFonts w:ascii="Arial" w:hAnsi="Arial" w:cs="Arial"/>
          <w:color w:val="auto"/>
          <w:sz w:val="22"/>
          <w:szCs w:val="24"/>
        </w:rPr>
        <w:t xml:space="preserve">. </w:t>
      </w:r>
    </w:p>
    <w:p w:rsidR="00615183" w:rsidRPr="006B6806" w:rsidRDefault="00615183" w:rsidP="00615183">
      <w:pPr>
        <w:numPr>
          <w:ilvl w:val="0"/>
          <w:numId w:val="14"/>
        </w:numPr>
        <w:jc w:val="both"/>
        <w:rPr>
          <w:rFonts w:cs="Arial"/>
          <w:szCs w:val="24"/>
        </w:rPr>
      </w:pPr>
      <w:r w:rsidRPr="006B6806">
        <w:rPr>
          <w:rFonts w:cs="Arial"/>
          <w:szCs w:val="24"/>
        </w:rPr>
        <w:lastRenderedPageBreak/>
        <w:t xml:space="preserve">The title holder must not, without obtaining the prior written approval of the Minister responsible for the </w:t>
      </w:r>
      <w:r w:rsidRPr="006B6806">
        <w:rPr>
          <w:rFonts w:cs="Arial"/>
          <w:i/>
          <w:szCs w:val="24"/>
        </w:rPr>
        <w:t xml:space="preserve">Energy Pipelines Act </w:t>
      </w:r>
      <w:r w:rsidRPr="006B6806">
        <w:rPr>
          <w:rFonts w:cs="Arial"/>
          <w:szCs w:val="24"/>
        </w:rPr>
        <w:t>and the pipeline operator, carry out any exploration activities or works including significant disturbance or blasting within a distance of 200 metres (either side of the centreline, having a total width of 400 metres); from a gas or oil pipeline.</w:t>
      </w:r>
    </w:p>
    <w:p w:rsidR="00615183" w:rsidRPr="006B6806" w:rsidRDefault="00615183" w:rsidP="00615183">
      <w:pPr>
        <w:numPr>
          <w:ilvl w:val="0"/>
          <w:numId w:val="14"/>
        </w:numPr>
        <w:jc w:val="both"/>
        <w:rPr>
          <w:rFonts w:cs="Arial"/>
          <w:szCs w:val="24"/>
        </w:rPr>
      </w:pPr>
      <w:r w:rsidRPr="006B6806">
        <w:rPr>
          <w:rFonts w:cs="Arial"/>
          <w:szCs w:val="24"/>
        </w:rPr>
        <w:t>The title holder must not conduct any exploration activities within a distance of twenty-five (25) metres from the centreline of the Darwin-Adelaide Single Mode Optical Fibre Cable.</w:t>
      </w:r>
    </w:p>
    <w:p w:rsidR="00615183" w:rsidRPr="006B6806" w:rsidRDefault="00615183" w:rsidP="00615183">
      <w:pPr>
        <w:numPr>
          <w:ilvl w:val="0"/>
          <w:numId w:val="14"/>
        </w:numPr>
        <w:ind w:left="357" w:hanging="357"/>
        <w:jc w:val="both"/>
        <w:rPr>
          <w:rFonts w:cs="Arial"/>
          <w:szCs w:val="24"/>
        </w:rPr>
      </w:pPr>
      <w:r w:rsidRPr="006B6806">
        <w:rPr>
          <w:rFonts w:cs="Arial"/>
          <w:szCs w:val="24"/>
        </w:rPr>
        <w:t>The title holder must not:</w:t>
      </w:r>
    </w:p>
    <w:p w:rsidR="00615183" w:rsidRDefault="00615183" w:rsidP="00615183">
      <w:pPr>
        <w:numPr>
          <w:ilvl w:val="1"/>
          <w:numId w:val="14"/>
        </w:numPr>
        <w:tabs>
          <w:tab w:val="clear" w:pos="1440"/>
          <w:tab w:val="left" w:pos="360"/>
          <w:tab w:val="left" w:pos="400"/>
          <w:tab w:val="num" w:pos="709"/>
        </w:tabs>
        <w:ind w:left="709" w:hanging="309"/>
        <w:jc w:val="both"/>
        <w:rPr>
          <w:rFonts w:cs="Arial"/>
          <w:szCs w:val="24"/>
        </w:rPr>
      </w:pPr>
      <w:r w:rsidRPr="006B6806">
        <w:rPr>
          <w:rFonts w:cs="Arial"/>
          <w:szCs w:val="24"/>
        </w:rPr>
        <w:t xml:space="preserve">conduct any exploration activity which involves any substantial disturbance (as defined in the </w:t>
      </w:r>
      <w:r w:rsidRPr="006B6806">
        <w:rPr>
          <w:rFonts w:cs="Arial"/>
          <w:i/>
          <w:szCs w:val="24"/>
        </w:rPr>
        <w:t>Mining Management (Amendment) Act</w:t>
      </w:r>
      <w:r w:rsidRPr="006B6806">
        <w:rPr>
          <w:rFonts w:cs="Arial"/>
          <w:szCs w:val="24"/>
        </w:rPr>
        <w:t xml:space="preserve">) within the site of any easement for the Darwin to Katherine Power Transmission Line (being 17 metres wide on either side of the centreline, having a total width of 34 metres); </w:t>
      </w:r>
    </w:p>
    <w:p w:rsidR="00870028" w:rsidRPr="00615183" w:rsidRDefault="00615183" w:rsidP="00615183">
      <w:pPr>
        <w:numPr>
          <w:ilvl w:val="1"/>
          <w:numId w:val="14"/>
        </w:numPr>
        <w:tabs>
          <w:tab w:val="clear" w:pos="1440"/>
          <w:tab w:val="left" w:pos="360"/>
          <w:tab w:val="left" w:pos="400"/>
          <w:tab w:val="num" w:pos="709"/>
        </w:tabs>
        <w:ind w:left="709" w:hanging="309"/>
        <w:jc w:val="both"/>
        <w:rPr>
          <w:rFonts w:cs="Arial"/>
          <w:szCs w:val="24"/>
        </w:rPr>
      </w:pPr>
      <w:proofErr w:type="gramStart"/>
      <w:r w:rsidRPr="00615183">
        <w:rPr>
          <w:rFonts w:cs="Arial"/>
          <w:szCs w:val="24"/>
        </w:rPr>
        <w:t>at</w:t>
      </w:r>
      <w:proofErr w:type="gramEnd"/>
      <w:r w:rsidRPr="00615183">
        <w:rPr>
          <w:rFonts w:cs="Arial"/>
          <w:szCs w:val="24"/>
        </w:rPr>
        <w:t xml:space="preserve"> any time prevent, impair or impede access by Power and Water Authority to the site of the easement and any plant, equipment or transmission line</w:t>
      </w:r>
      <w:r>
        <w:rPr>
          <w:rFonts w:cs="Arial"/>
          <w:szCs w:val="24"/>
        </w:rPr>
        <w:t xml:space="preserve"> </w:t>
      </w:r>
      <w:r w:rsidRPr="006B6806">
        <w:rPr>
          <w:rFonts w:cs="Arial"/>
          <w:szCs w:val="24"/>
        </w:rPr>
        <w:t>located within the easement.</w:t>
      </w:r>
    </w:p>
    <w:sectPr w:rsidR="00870028" w:rsidRPr="00615183" w:rsidSect="00EF6D12">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62B" w:rsidRDefault="0009362B" w:rsidP="007332FF">
      <w:r>
        <w:separator/>
      </w:r>
    </w:p>
  </w:endnote>
  <w:endnote w:type="continuationSeparator" w:id="0">
    <w:p w:rsidR="0009362B" w:rsidRDefault="0009362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EA5AFF">
                <w:rPr>
                  <w:rStyle w:val="PageNumber"/>
                  <w:b/>
                </w:rPr>
                <w:t>Industry, Tourism and Trade</w:t>
              </w:r>
            </w:sdtContent>
          </w:sdt>
        </w:p>
        <w:p w:rsidR="00D47DC7" w:rsidRPr="00CE6614" w:rsidRDefault="0009362B"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1-02-05T00:00:00Z">
                <w:dateFormat w:val="d MMMM yyyy"/>
                <w:lid w:val="en-AU"/>
                <w:storeMappedDataAs w:val="dateTime"/>
                <w:calendar w:val="gregorian"/>
              </w:date>
            </w:sdtPr>
            <w:sdtEndPr>
              <w:rPr>
                <w:rStyle w:val="PageNumber"/>
              </w:rPr>
            </w:sdtEndPr>
            <w:sdtContent>
              <w:r w:rsidR="00D94CBB">
                <w:rPr>
                  <w:rStyle w:val="PageNumber"/>
                </w:rPr>
                <w:t>5 February 2021</w:t>
              </w:r>
            </w:sdtContent>
          </w:sdt>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67A0E">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67A0E">
            <w:rPr>
              <w:rStyle w:val="PageNumber"/>
              <w:noProof/>
            </w:rPr>
            <w:t>2</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EA5AFF">
                <w:rPr>
                  <w:rStyle w:val="PageNumber"/>
                  <w:b/>
                </w:rPr>
                <w:t>Industry, Tourism and Trade</w:t>
              </w:r>
            </w:sdtContent>
          </w:sdt>
        </w:p>
        <w:p w:rsidR="00D47DC7" w:rsidRPr="00CE6614" w:rsidRDefault="0009362B"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02-05T00:00:00Z">
                <w:dateFormat w:val="d MMMM yyyy"/>
                <w:lid w:val="en-AU"/>
                <w:storeMappedDataAs w:val="dateTime"/>
                <w:calendar w:val="gregorian"/>
              </w:date>
            </w:sdtPr>
            <w:sdtEndPr>
              <w:rPr>
                <w:rStyle w:val="PageNumber"/>
              </w:rPr>
            </w:sdtEndPr>
            <w:sdtContent>
              <w:r w:rsidR="00D94CBB">
                <w:rPr>
                  <w:rStyle w:val="PageNumber"/>
                </w:rPr>
                <w:t>5 February 2021</w:t>
              </w:r>
            </w:sdtContent>
          </w:sdt>
        </w:p>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67A0E">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67A0E">
            <w:rPr>
              <w:rStyle w:val="PageNumber"/>
              <w:noProof/>
            </w:rPr>
            <w:t>2</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62B" w:rsidRDefault="0009362B" w:rsidP="007332FF">
      <w:r>
        <w:separator/>
      </w:r>
    </w:p>
  </w:footnote>
  <w:footnote w:type="continuationSeparator" w:id="0">
    <w:p w:rsidR="0009362B" w:rsidRDefault="0009362B"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09362B"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615183">
          <w:t>General grant conditions of an Exploration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Default="00615183" w:rsidP="00435082">
        <w:pPr>
          <w:pStyle w:val="Title"/>
        </w:pPr>
        <w:r>
          <w:rPr>
            <w:rStyle w:val="TitleChar"/>
          </w:rPr>
          <w:t>General grant conditions of an Exploration Licence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2567"/>
    <w:multiLevelType w:val="hybridMultilevel"/>
    <w:tmpl w:val="1AE2C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7C0013"/>
    <w:multiLevelType w:val="hybridMultilevel"/>
    <w:tmpl w:val="D6866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2FB16051"/>
    <w:multiLevelType w:val="hybridMultilevel"/>
    <w:tmpl w:val="ECEA4C20"/>
    <w:lvl w:ilvl="0" w:tplc="EF8C59E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ADE0E64"/>
    <w:multiLevelType w:val="hybridMultilevel"/>
    <w:tmpl w:val="BF98C1CA"/>
    <w:lvl w:ilvl="0" w:tplc="B9F45C08">
      <w:start w:val="1"/>
      <w:numFmt w:val="decimal"/>
      <w:lvlText w:val="%1."/>
      <w:lvlJc w:val="left"/>
      <w:pPr>
        <w:tabs>
          <w:tab w:val="num" w:pos="360"/>
        </w:tabs>
        <w:ind w:left="360" w:hanging="360"/>
      </w:pPr>
      <w:rPr>
        <w:rFonts w:hint="default"/>
        <w:b w:val="0"/>
        <w:i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40E3C61"/>
    <w:multiLevelType w:val="hybridMultilevel"/>
    <w:tmpl w:val="DC962000"/>
    <w:lvl w:ilvl="0" w:tplc="83083748">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AA304D3"/>
    <w:multiLevelType w:val="hybridMultilevel"/>
    <w:tmpl w:val="8F8A34E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3"/>
  </w:num>
  <w:num w:numId="3">
    <w:abstractNumId w:val="38"/>
  </w:num>
  <w:num w:numId="4">
    <w:abstractNumId w:val="26"/>
  </w:num>
  <w:num w:numId="5">
    <w:abstractNumId w:val="17"/>
  </w:num>
  <w:num w:numId="6">
    <w:abstractNumId w:val="9"/>
  </w:num>
  <w:num w:numId="7">
    <w:abstractNumId w:val="28"/>
  </w:num>
  <w:num w:numId="8">
    <w:abstractNumId w:val="16"/>
  </w:num>
  <w:num w:numId="9">
    <w:abstractNumId w:val="0"/>
  </w:num>
  <w:num w:numId="10">
    <w:abstractNumId w:val="39"/>
  </w:num>
  <w:num w:numId="11">
    <w:abstractNumId w:val="1"/>
  </w:num>
  <w:num w:numId="12">
    <w:abstractNumId w:val="34"/>
  </w:num>
  <w:num w:numId="13">
    <w:abstractNumId w:val="20"/>
  </w:num>
  <w:num w:numId="14">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28"/>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362B"/>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67A0E"/>
    <w:rsid w:val="001713E5"/>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0571"/>
    <w:rsid w:val="002926BC"/>
    <w:rsid w:val="00293A72"/>
    <w:rsid w:val="002A0160"/>
    <w:rsid w:val="002A30C3"/>
    <w:rsid w:val="002A6F6A"/>
    <w:rsid w:val="002A7712"/>
    <w:rsid w:val="002B38F7"/>
    <w:rsid w:val="002B4F50"/>
    <w:rsid w:val="002B5591"/>
    <w:rsid w:val="002B6AA4"/>
    <w:rsid w:val="002C1FE9"/>
    <w:rsid w:val="002D3A57"/>
    <w:rsid w:val="002D5209"/>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86E04"/>
    <w:rsid w:val="00390862"/>
    <w:rsid w:val="00390CE3"/>
    <w:rsid w:val="00394876"/>
    <w:rsid w:val="00394AAF"/>
    <w:rsid w:val="00394CE5"/>
    <w:rsid w:val="003A6341"/>
    <w:rsid w:val="003B404F"/>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B5C8E"/>
    <w:rsid w:val="005C2833"/>
    <w:rsid w:val="005E144D"/>
    <w:rsid w:val="005E1500"/>
    <w:rsid w:val="005E3A43"/>
    <w:rsid w:val="005F0B17"/>
    <w:rsid w:val="005F6602"/>
    <w:rsid w:val="005F77C7"/>
    <w:rsid w:val="00615183"/>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2335"/>
    <w:rsid w:val="00755248"/>
    <w:rsid w:val="0076190B"/>
    <w:rsid w:val="0076355D"/>
    <w:rsid w:val="00763A2D"/>
    <w:rsid w:val="0076615E"/>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A30"/>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5579"/>
    <w:rsid w:val="0085797F"/>
    <w:rsid w:val="00861DC3"/>
    <w:rsid w:val="00867019"/>
    <w:rsid w:val="00870028"/>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D5EDC"/>
    <w:rsid w:val="008E03FC"/>
    <w:rsid w:val="008E510B"/>
    <w:rsid w:val="00902B13"/>
    <w:rsid w:val="00911941"/>
    <w:rsid w:val="0092024D"/>
    <w:rsid w:val="009241AB"/>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CF7EA4"/>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4CBB"/>
    <w:rsid w:val="00D96804"/>
    <w:rsid w:val="00D975C0"/>
    <w:rsid w:val="00DA5285"/>
    <w:rsid w:val="00DB191D"/>
    <w:rsid w:val="00DB4F91"/>
    <w:rsid w:val="00DB6D0A"/>
    <w:rsid w:val="00DC06BE"/>
    <w:rsid w:val="00DC1F0F"/>
    <w:rsid w:val="00DC3117"/>
    <w:rsid w:val="00DC4E2A"/>
    <w:rsid w:val="00DC5DD9"/>
    <w:rsid w:val="00DC6D2D"/>
    <w:rsid w:val="00DD2B63"/>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5CE"/>
    <w:rsid w:val="00E84C5A"/>
    <w:rsid w:val="00E861DB"/>
    <w:rsid w:val="00E908F1"/>
    <w:rsid w:val="00E93406"/>
    <w:rsid w:val="00E956C5"/>
    <w:rsid w:val="00E95C39"/>
    <w:rsid w:val="00EA2C39"/>
    <w:rsid w:val="00EA5AFF"/>
    <w:rsid w:val="00EB0A3C"/>
    <w:rsid w:val="00EB0A96"/>
    <w:rsid w:val="00EB77F9"/>
    <w:rsid w:val="00EC5769"/>
    <w:rsid w:val="00EC7D00"/>
    <w:rsid w:val="00ED0304"/>
    <w:rsid w:val="00ED3091"/>
    <w:rsid w:val="00ED4FF7"/>
    <w:rsid w:val="00ED5B7B"/>
    <w:rsid w:val="00EE38FA"/>
    <w:rsid w:val="00EE3E2C"/>
    <w:rsid w:val="00EE5D23"/>
    <w:rsid w:val="00EE750D"/>
    <w:rsid w:val="00EF3CA4"/>
    <w:rsid w:val="00EF49A8"/>
    <w:rsid w:val="00EF6D12"/>
    <w:rsid w:val="00EF7859"/>
    <w:rsid w:val="00F014DA"/>
    <w:rsid w:val="00F0256B"/>
    <w:rsid w:val="00F02591"/>
    <w:rsid w:val="00F30AE1"/>
    <w:rsid w:val="00F5696E"/>
    <w:rsid w:val="00F60EFF"/>
    <w:rsid w:val="00F67D2D"/>
    <w:rsid w:val="00F858F2"/>
    <w:rsid w:val="00F860CC"/>
    <w:rsid w:val="00F94398"/>
    <w:rsid w:val="00FB2B56"/>
    <w:rsid w:val="00FB55D5"/>
    <w:rsid w:val="00FC12BF"/>
    <w:rsid w:val="00FC2C60"/>
    <w:rsid w:val="00FD0D4E"/>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E036DB-6966-43EF-A65B-12EF3FD9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0"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ShellBodyText">
    <w:name w:val="Shell Body Text"/>
    <w:basedOn w:val="Normal"/>
    <w:rsid w:val="00870028"/>
    <w:pPr>
      <w:keepNext/>
      <w:spacing w:before="120" w:after="240" w:line="300" w:lineRule="auto"/>
      <w:jc w:val="both"/>
      <w:outlineLvl w:val="1"/>
    </w:pPr>
    <w:rPr>
      <w:rFonts w:ascii="Arial" w:eastAsia="Times New Roman" w:hAnsi="Arial"/>
      <w:szCs w:val="24"/>
    </w:rPr>
  </w:style>
  <w:style w:type="character" w:styleId="Strong">
    <w:name w:val="Strong"/>
    <w:basedOn w:val="DefaultParagraphFont"/>
    <w:qFormat/>
    <w:rsid w:val="00870028"/>
    <w:rPr>
      <w:b/>
      <w:bCs/>
    </w:rPr>
  </w:style>
  <w:style w:type="paragraph" w:styleId="EndnoteText">
    <w:name w:val="endnote text"/>
    <w:basedOn w:val="Normal"/>
    <w:link w:val="EndnoteTextChar"/>
    <w:uiPriority w:val="99"/>
    <w:semiHidden/>
    <w:unhideWhenUsed/>
    <w:rsid w:val="00EA5AFF"/>
    <w:pPr>
      <w:spacing w:after="0"/>
    </w:pPr>
    <w:rPr>
      <w:sz w:val="20"/>
      <w:szCs w:val="20"/>
    </w:rPr>
  </w:style>
  <w:style w:type="character" w:customStyle="1" w:styleId="EndnoteTextChar">
    <w:name w:val="Endnote Text Char"/>
    <w:basedOn w:val="DefaultParagraphFont"/>
    <w:link w:val="EndnoteText"/>
    <w:uiPriority w:val="99"/>
    <w:semiHidden/>
    <w:rsid w:val="00EA5AFF"/>
    <w:rPr>
      <w:rFonts w:ascii="Lato" w:hAnsi="Lato"/>
      <w:sz w:val="20"/>
      <w:szCs w:val="20"/>
    </w:rPr>
  </w:style>
  <w:style w:type="character" w:styleId="EndnoteReference">
    <w:name w:val="endnote reference"/>
    <w:basedOn w:val="DefaultParagraphFont"/>
    <w:uiPriority w:val="99"/>
    <w:semiHidden/>
    <w:unhideWhenUsed/>
    <w:rsid w:val="00EA5AFF"/>
    <w:rPr>
      <w:vertAlign w:val="superscript"/>
    </w:rPr>
  </w:style>
  <w:style w:type="paragraph" w:styleId="FootnoteText">
    <w:name w:val="footnote text"/>
    <w:basedOn w:val="Normal"/>
    <w:link w:val="FootnoteTextChar"/>
    <w:uiPriority w:val="99"/>
    <w:semiHidden/>
    <w:unhideWhenUsed/>
    <w:rsid w:val="00EA5AFF"/>
    <w:pPr>
      <w:spacing w:after="0"/>
    </w:pPr>
    <w:rPr>
      <w:sz w:val="20"/>
      <w:szCs w:val="20"/>
    </w:rPr>
  </w:style>
  <w:style w:type="character" w:customStyle="1" w:styleId="FootnoteTextChar">
    <w:name w:val="Footnote Text Char"/>
    <w:basedOn w:val="DefaultParagraphFont"/>
    <w:link w:val="FootnoteText"/>
    <w:uiPriority w:val="99"/>
    <w:semiHidden/>
    <w:rsid w:val="00EA5AFF"/>
    <w:rPr>
      <w:rFonts w:ascii="Lato" w:hAnsi="Lato"/>
      <w:sz w:val="20"/>
      <w:szCs w:val="20"/>
    </w:rPr>
  </w:style>
  <w:style w:type="character" w:styleId="FootnoteReference">
    <w:name w:val="footnote reference"/>
    <w:basedOn w:val="DefaultParagraphFont"/>
    <w:uiPriority w:val="99"/>
    <w:semiHidden/>
    <w:unhideWhenUsed/>
    <w:rsid w:val="00EA5AFF"/>
    <w:rPr>
      <w:vertAlign w:val="superscript"/>
    </w:rPr>
  </w:style>
  <w:style w:type="character" w:styleId="FollowedHyperlink">
    <w:name w:val="FollowedHyperlink"/>
    <w:basedOn w:val="DefaultParagraphFont"/>
    <w:uiPriority w:val="99"/>
    <w:semiHidden/>
    <w:unhideWhenUsed/>
    <w:rsid w:val="00D94CBB"/>
    <w:rPr>
      <w:color w:val="8C4799" w:themeColor="followedHyperlink"/>
      <w:u w:val="single"/>
    </w:rPr>
  </w:style>
  <w:style w:type="paragraph" w:customStyle="1" w:styleId="Paragraph">
    <w:name w:val="Paragraph"/>
    <w:rsid w:val="00615183"/>
    <w:pPr>
      <w:widowControl w:val="0"/>
      <w:spacing w:after="0" w:line="280" w:lineRule="atLeast"/>
      <w:jc w:val="both"/>
    </w:pPr>
    <w:rPr>
      <w:rFonts w:ascii="Times" w:eastAsia="Times New Roman" w:hAnsi="Times"/>
      <w:sz w:val="24"/>
      <w:szCs w:val="20"/>
      <w:lang w:eastAsia="en-AU"/>
    </w:rPr>
  </w:style>
  <w:style w:type="paragraph" w:customStyle="1" w:styleId="numindent">
    <w:name w:val="numindent"/>
    <w:rsid w:val="00615183"/>
    <w:pPr>
      <w:widowControl w:val="0"/>
      <w:tabs>
        <w:tab w:val="left" w:pos="720"/>
      </w:tabs>
      <w:spacing w:after="320" w:line="240" w:lineRule="atLeast"/>
      <w:ind w:left="720" w:hanging="720"/>
      <w:jc w:val="both"/>
    </w:pPr>
    <w:rPr>
      <w:rFonts w:ascii="Times" w:eastAsia="Times New Roman" w:hAnsi="Times"/>
      <w:color w:val="FFFFFF"/>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Titles\Customer%20Services%20-%20Mineral%20Titles%20Act\Templates%20-%20Memos%20&amp;%20Letters\General%20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C536CB-687A-4739-90E6-B6A76B3A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Template.dotx</Template>
  <TotalTime>4</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General grant conditions of an Exploration Licence</vt:lpstr>
    </vt:vector>
  </TitlesOfParts>
  <Company>Industry, Tourism and Trade</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grant conditions of an Exploration Licence</dc:title>
  <dc:creator>Northern Territory Government</dc:creator>
  <cp:lastModifiedBy>Andrea Ruske</cp:lastModifiedBy>
  <cp:revision>5</cp:revision>
  <cp:lastPrinted>2021-02-15T04:40:00Z</cp:lastPrinted>
  <dcterms:created xsi:type="dcterms:W3CDTF">2021-02-05T00:33:00Z</dcterms:created>
  <dcterms:modified xsi:type="dcterms:W3CDTF">2021-02-15T05:55:00Z</dcterms:modified>
</cp:coreProperties>
</file>