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76" w:rsidRDefault="000D4376" w:rsidP="000D4376">
      <w:pPr>
        <w:tabs>
          <w:tab w:val="left" w:pos="6946"/>
        </w:tabs>
        <w:rPr>
          <w:b/>
          <w:color w:val="C00000"/>
        </w:rPr>
      </w:pPr>
      <w:r w:rsidRPr="00B67CB6">
        <w:rPr>
          <w:b/>
          <w:sz w:val="32"/>
          <w:szCs w:val="32"/>
        </w:rPr>
        <w:t>Guidance Note No:</w:t>
      </w:r>
      <w:r w:rsidRPr="000D4376">
        <w:rPr>
          <w:b/>
          <w:sz w:val="32"/>
          <w:szCs w:val="32"/>
        </w:rPr>
        <w:t xml:space="preserve"> </w:t>
      </w:r>
      <w:r w:rsidRPr="00B67CB6">
        <w:rPr>
          <w:b/>
          <w:sz w:val="32"/>
          <w:szCs w:val="32"/>
        </w:rPr>
        <w:t>61/01</w:t>
      </w:r>
      <w:r w:rsidRPr="000D4376">
        <w:rPr>
          <w:b/>
          <w:sz w:val="32"/>
          <w:szCs w:val="32"/>
        </w:rPr>
        <w:t xml:space="preserve"> </w:t>
      </w:r>
      <w:r>
        <w:rPr>
          <w:b/>
          <w:sz w:val="32"/>
          <w:szCs w:val="32"/>
        </w:rPr>
        <w:tab/>
      </w:r>
      <w:r w:rsidRPr="00B67CB6">
        <w:rPr>
          <w:b/>
          <w:sz w:val="32"/>
          <w:szCs w:val="32"/>
        </w:rPr>
        <w:t>Revision No:</w:t>
      </w:r>
      <w:r w:rsidRPr="000D4376">
        <w:rPr>
          <w:b/>
          <w:sz w:val="32"/>
          <w:szCs w:val="32"/>
        </w:rPr>
        <w:t xml:space="preserve"> </w:t>
      </w:r>
      <w:r w:rsidRPr="00B67CB6">
        <w:rPr>
          <w:b/>
          <w:sz w:val="32"/>
          <w:szCs w:val="32"/>
        </w:rPr>
        <w:t>6</w:t>
      </w:r>
    </w:p>
    <w:p w:rsidR="00B67CB6" w:rsidRPr="00B67CB6" w:rsidRDefault="00B67CB6" w:rsidP="00B67CB6">
      <w:pPr>
        <w:rPr>
          <w:b/>
          <w:color w:val="C00000"/>
        </w:rPr>
      </w:pPr>
      <w:r w:rsidRPr="00B67CB6">
        <w:rPr>
          <w:b/>
          <w:color w:val="C00000"/>
        </w:rPr>
        <w:t>This Guidance Notice only applies to vessels that were operating commercially on 30 June 2013</w:t>
      </w:r>
    </w:p>
    <w:p w:rsidR="00B67CB6" w:rsidRPr="00B67CB6" w:rsidRDefault="004B7ABE" w:rsidP="00B67CB6">
      <w:pPr>
        <w:pStyle w:val="Heading1"/>
      </w:pPr>
      <w:r>
        <w:t>Requirements for survey and</w:t>
      </w:r>
      <w:r w:rsidR="00B67CB6" w:rsidRPr="00B67CB6">
        <w:t xml:space="preserve"> manning exempt </w:t>
      </w:r>
      <w:r w:rsidR="00B67CB6">
        <w:t>fishing vessels Class 3C and 3B</w:t>
      </w:r>
      <w:r w:rsidR="00B67CB6" w:rsidRPr="00B67CB6">
        <w:t xml:space="preserve"> less than 6.2 metres in length and operating within 5 nautical miles of a mother vessel which is operating beyond 5 nautical miles of the coast</w:t>
      </w:r>
    </w:p>
    <w:p w:rsidR="00B67CB6" w:rsidRPr="00B67CB6" w:rsidRDefault="00B67CB6" w:rsidP="00B67CB6">
      <w:pPr>
        <w:rPr>
          <w:b/>
        </w:rPr>
      </w:pPr>
      <w:r w:rsidRPr="00B67CB6">
        <w:rPr>
          <w:b/>
        </w:rPr>
        <w:t>Fishing Tour Operators are Class 2 vessels and are not covered by this Guidance Note.</w:t>
      </w:r>
    </w:p>
    <w:p w:rsidR="00B67CB6" w:rsidRPr="00B67CB6" w:rsidRDefault="00B67CB6" w:rsidP="00B67CB6">
      <w:r w:rsidRPr="00B67CB6">
        <w:t>In accordance with amendments to Sections 23 and 75 of the NT Marine Act which came into force on the 2nd April 2001:</w:t>
      </w:r>
    </w:p>
    <w:p w:rsidR="00B67CB6" w:rsidRPr="00B67CB6" w:rsidRDefault="00B67CB6" w:rsidP="00B67CB6">
      <w:r w:rsidRPr="00B67CB6">
        <w:t xml:space="preserve">“Fishing vessels  less than 6.2 metres in length that are operating in conjunction with a mother vessel and are within a limit of 5 nautical miles of the mother vessel” are not required to be in survey nor be operated by a coxswain, however, they are required to carry safety equipment as detailed below.  </w:t>
      </w:r>
    </w:p>
    <w:p w:rsidR="00B67CB6" w:rsidRPr="00B67CB6" w:rsidRDefault="00B67CB6" w:rsidP="00B67CB6">
      <w:r w:rsidRPr="00B67CB6">
        <w:t xml:space="preserve">Under Sections 96 to 101; </w:t>
      </w:r>
      <w:r w:rsidR="00416EB1" w:rsidRPr="00B67CB6">
        <w:t>109 to</w:t>
      </w:r>
      <w:r w:rsidRPr="00B67CB6">
        <w:t xml:space="preserve"> 115 B and 117</w:t>
      </w:r>
      <w:r w:rsidR="00416EB1" w:rsidRPr="00B67CB6">
        <w:t>, the</w:t>
      </w:r>
      <w:r w:rsidRPr="00B67CB6">
        <w:t xml:space="preserve"> non-carriage of specified safety equipment </w:t>
      </w:r>
      <w:r w:rsidR="00416EB1" w:rsidRPr="00B67CB6">
        <w:t>and operating</w:t>
      </w:r>
      <w:r w:rsidRPr="00B67CB6">
        <w:t xml:space="preserve"> an unsafe vessel are offences and penalties apply</w:t>
      </w:r>
    </w:p>
    <w:tbl>
      <w:tblPr>
        <w:tblW w:w="0" w:type="auto"/>
        <w:tblBorders>
          <w:top w:val="single" w:sz="12" w:space="0" w:color="auto"/>
          <w:bottom w:val="single" w:sz="12" w:space="0" w:color="auto"/>
          <w:insideH w:val="single" w:sz="12" w:space="0" w:color="auto"/>
        </w:tblBorders>
        <w:tblLayout w:type="fixed"/>
        <w:tblCellMar>
          <w:top w:w="108" w:type="dxa"/>
          <w:bottom w:w="108" w:type="dxa"/>
        </w:tblCellMar>
        <w:tblLook w:val="0000" w:firstRow="0" w:lastRow="0" w:firstColumn="0" w:lastColumn="0" w:noHBand="0" w:noVBand="0"/>
      </w:tblPr>
      <w:tblGrid>
        <w:gridCol w:w="9983"/>
      </w:tblGrid>
      <w:tr w:rsidR="00B67CB6" w:rsidRPr="00B67CB6" w:rsidTr="00B67CB6">
        <w:trPr>
          <w:cantSplit/>
        </w:trPr>
        <w:tc>
          <w:tcPr>
            <w:tcW w:w="9983" w:type="dxa"/>
          </w:tcPr>
          <w:p w:rsidR="00B67CB6" w:rsidRPr="00B67CB6" w:rsidRDefault="00B67CB6" w:rsidP="00B67CB6">
            <w:pPr>
              <w:jc w:val="center"/>
              <w:rPr>
                <w:b/>
              </w:rPr>
            </w:pPr>
            <w:r w:rsidRPr="00B67CB6">
              <w:rPr>
                <w:b/>
              </w:rPr>
              <w:t>Bailer</w:t>
            </w:r>
          </w:p>
          <w:p w:rsidR="00B67CB6" w:rsidRPr="00B67CB6" w:rsidRDefault="00B67CB6" w:rsidP="00B67CB6">
            <w:pPr>
              <w:pStyle w:val="NoSpacing"/>
              <w:jc w:val="center"/>
            </w:pPr>
            <w:r w:rsidRPr="00B67CB6">
              <w:t>One  with lanyard of minimum 4 litre capacity</w:t>
            </w:r>
          </w:p>
        </w:tc>
      </w:tr>
      <w:tr w:rsidR="00B67CB6" w:rsidRPr="00B67CB6" w:rsidTr="00B67CB6">
        <w:trPr>
          <w:cantSplit/>
        </w:trPr>
        <w:tc>
          <w:tcPr>
            <w:tcW w:w="9983" w:type="dxa"/>
          </w:tcPr>
          <w:p w:rsidR="00B67CB6" w:rsidRPr="00B67CB6" w:rsidRDefault="00B67CB6" w:rsidP="00B67CB6">
            <w:pPr>
              <w:jc w:val="center"/>
              <w:rPr>
                <w:b/>
              </w:rPr>
            </w:pPr>
            <w:r w:rsidRPr="00B67CB6">
              <w:rPr>
                <w:b/>
              </w:rPr>
              <w:t>Bilge alarm</w:t>
            </w:r>
          </w:p>
          <w:p w:rsidR="00B67CB6" w:rsidRPr="00B67CB6" w:rsidRDefault="00B67CB6" w:rsidP="00B67CB6">
            <w:pPr>
              <w:pStyle w:val="NoSpacing"/>
              <w:jc w:val="center"/>
            </w:pPr>
            <w:r w:rsidRPr="00B67CB6">
              <w:t>One to be fitted in any space containing inboard propelling machinery.  (Not required on vessels powered by outboard motors.)</w:t>
            </w:r>
          </w:p>
        </w:tc>
      </w:tr>
      <w:tr w:rsidR="00B67CB6" w:rsidRPr="00B67CB6" w:rsidTr="00B67CB6">
        <w:trPr>
          <w:cantSplit/>
        </w:trPr>
        <w:tc>
          <w:tcPr>
            <w:tcW w:w="9983" w:type="dxa"/>
          </w:tcPr>
          <w:p w:rsidR="00B67CB6" w:rsidRPr="00B67CB6" w:rsidRDefault="00B67CB6" w:rsidP="00B67CB6">
            <w:pPr>
              <w:jc w:val="center"/>
              <w:rPr>
                <w:b/>
              </w:rPr>
            </w:pPr>
            <w:r w:rsidRPr="00B67CB6">
              <w:rPr>
                <w:b/>
              </w:rPr>
              <w:t>Bilge pumps</w:t>
            </w:r>
          </w:p>
          <w:p w:rsidR="00B67CB6" w:rsidRPr="00B67CB6" w:rsidRDefault="00B67CB6" w:rsidP="00B67CB6">
            <w:pPr>
              <w:pStyle w:val="NoSpacing"/>
              <w:jc w:val="center"/>
            </w:pPr>
            <w:r w:rsidRPr="00B67CB6">
              <w:t>One bilge pump of at least 4000 litres per hour capacity</w:t>
            </w:r>
          </w:p>
        </w:tc>
      </w:tr>
      <w:tr w:rsidR="00B67CB6" w:rsidRPr="00B67CB6" w:rsidTr="00B67CB6">
        <w:trPr>
          <w:cantSplit/>
        </w:trPr>
        <w:tc>
          <w:tcPr>
            <w:tcW w:w="9983" w:type="dxa"/>
          </w:tcPr>
          <w:p w:rsidR="00B67CB6" w:rsidRPr="00B67CB6" w:rsidRDefault="00B67CB6" w:rsidP="00B67CB6">
            <w:pPr>
              <w:jc w:val="center"/>
              <w:rPr>
                <w:b/>
              </w:rPr>
            </w:pPr>
            <w:r w:rsidRPr="00B67CB6">
              <w:rPr>
                <w:b/>
              </w:rPr>
              <w:t>Charts and nautical publications</w:t>
            </w:r>
          </w:p>
          <w:p w:rsidR="00B67CB6" w:rsidRPr="00B67CB6" w:rsidRDefault="00B67CB6" w:rsidP="00B67CB6">
            <w:pPr>
              <w:pStyle w:val="NoSpacing"/>
              <w:jc w:val="center"/>
            </w:pPr>
            <w:r w:rsidRPr="00B67CB6">
              <w:t>To be suitable for the area of operation of vessel</w:t>
            </w:r>
          </w:p>
        </w:tc>
      </w:tr>
      <w:tr w:rsidR="00B67CB6" w:rsidRPr="00B67CB6" w:rsidTr="00B67CB6">
        <w:trPr>
          <w:cantSplit/>
        </w:trPr>
        <w:tc>
          <w:tcPr>
            <w:tcW w:w="9983" w:type="dxa"/>
          </w:tcPr>
          <w:p w:rsidR="00B67CB6" w:rsidRPr="00B67CB6" w:rsidRDefault="00B67CB6" w:rsidP="00B67CB6">
            <w:pPr>
              <w:jc w:val="center"/>
              <w:rPr>
                <w:b/>
              </w:rPr>
            </w:pPr>
            <w:r w:rsidRPr="00B67CB6">
              <w:br w:type="page"/>
            </w:r>
            <w:r w:rsidRPr="00B67CB6">
              <w:rPr>
                <w:b/>
              </w:rPr>
              <w:t>Clock</w:t>
            </w:r>
          </w:p>
          <w:p w:rsidR="00B67CB6" w:rsidRPr="00B67CB6" w:rsidRDefault="00B67CB6" w:rsidP="00B67CB6">
            <w:pPr>
              <w:pStyle w:val="NoSpacing"/>
              <w:jc w:val="center"/>
            </w:pPr>
            <w:r w:rsidRPr="00B67CB6">
              <w:t>Clock or wristwatch</w:t>
            </w:r>
          </w:p>
        </w:tc>
      </w:tr>
      <w:tr w:rsidR="00B67CB6" w:rsidRPr="00B67CB6" w:rsidTr="00B67CB6">
        <w:trPr>
          <w:cantSplit/>
        </w:trPr>
        <w:tc>
          <w:tcPr>
            <w:tcW w:w="9983" w:type="dxa"/>
          </w:tcPr>
          <w:p w:rsidR="00B67CB6" w:rsidRPr="00B67CB6" w:rsidRDefault="00B67CB6" w:rsidP="00B67CB6">
            <w:pPr>
              <w:jc w:val="center"/>
              <w:rPr>
                <w:b/>
              </w:rPr>
            </w:pPr>
            <w:r w:rsidRPr="00B67CB6">
              <w:rPr>
                <w:b/>
              </w:rPr>
              <w:t>Code flags</w:t>
            </w:r>
          </w:p>
          <w:p w:rsidR="00B67CB6" w:rsidRPr="00B67CB6" w:rsidRDefault="00B67CB6" w:rsidP="00B67CB6">
            <w:pPr>
              <w:pStyle w:val="NoSpacing"/>
              <w:jc w:val="center"/>
            </w:pPr>
            <w:r w:rsidRPr="00B67CB6">
              <w:t>Flags “N” and “C”</w:t>
            </w:r>
          </w:p>
        </w:tc>
      </w:tr>
      <w:tr w:rsidR="00B67CB6" w:rsidRPr="00B67CB6" w:rsidTr="00B67CB6">
        <w:trPr>
          <w:cantSplit/>
        </w:trPr>
        <w:tc>
          <w:tcPr>
            <w:tcW w:w="9983" w:type="dxa"/>
          </w:tcPr>
          <w:p w:rsidR="00B67CB6" w:rsidRPr="00B67CB6" w:rsidRDefault="00B67CB6" w:rsidP="00B67CB6">
            <w:pPr>
              <w:jc w:val="center"/>
              <w:rPr>
                <w:b/>
              </w:rPr>
            </w:pPr>
            <w:r w:rsidRPr="00B67CB6">
              <w:rPr>
                <w:b/>
              </w:rPr>
              <w:t>Compass</w:t>
            </w:r>
          </w:p>
          <w:p w:rsidR="00B67CB6" w:rsidRPr="00B67CB6" w:rsidRDefault="00B67CB6" w:rsidP="00B67CB6">
            <w:pPr>
              <w:pStyle w:val="NoSpacing"/>
              <w:jc w:val="center"/>
            </w:pPr>
            <w:r w:rsidRPr="00B67CB6">
              <w:t>At least one (1)  hand held</w:t>
            </w:r>
          </w:p>
        </w:tc>
      </w:tr>
      <w:tr w:rsidR="00B67CB6" w:rsidRPr="00B67CB6" w:rsidTr="00B67CB6">
        <w:trPr>
          <w:cantSplit/>
        </w:trPr>
        <w:tc>
          <w:tcPr>
            <w:tcW w:w="9983" w:type="dxa"/>
          </w:tcPr>
          <w:p w:rsidR="00B67CB6" w:rsidRPr="00B67CB6" w:rsidRDefault="00B67CB6" w:rsidP="00B67CB6">
            <w:pPr>
              <w:jc w:val="center"/>
              <w:rPr>
                <w:b/>
              </w:rPr>
            </w:pPr>
            <w:r w:rsidRPr="00B67CB6">
              <w:rPr>
                <w:b/>
              </w:rPr>
              <w:lastRenderedPageBreak/>
              <w:t>Depth sounding device</w:t>
            </w:r>
          </w:p>
          <w:p w:rsidR="00B67CB6" w:rsidRPr="00B67CB6" w:rsidRDefault="00B67CB6" w:rsidP="00B67CB6">
            <w:pPr>
              <w:pStyle w:val="NoSpacing"/>
              <w:jc w:val="center"/>
            </w:pPr>
            <w:r w:rsidRPr="00B67CB6">
              <w:t>Mechanical depth sounding device or hand lead line</w:t>
            </w:r>
          </w:p>
        </w:tc>
      </w:tr>
      <w:tr w:rsidR="00B67CB6" w:rsidRPr="00B67CB6" w:rsidTr="00B67CB6">
        <w:trPr>
          <w:cantSplit/>
        </w:trPr>
        <w:tc>
          <w:tcPr>
            <w:tcW w:w="9983" w:type="dxa"/>
          </w:tcPr>
          <w:p w:rsidR="00B67CB6" w:rsidRPr="00B67CB6" w:rsidRDefault="00B67CB6" w:rsidP="00B67CB6">
            <w:pPr>
              <w:jc w:val="center"/>
              <w:rPr>
                <w:b/>
              </w:rPr>
            </w:pPr>
            <w:r w:rsidRPr="00B67CB6">
              <w:rPr>
                <w:b/>
              </w:rPr>
              <w:t>Distress signals</w:t>
            </w:r>
          </w:p>
          <w:p w:rsidR="00B67CB6" w:rsidRPr="00B67CB6" w:rsidRDefault="00B67CB6" w:rsidP="00B67CB6">
            <w:pPr>
              <w:pStyle w:val="NoSpacing"/>
              <w:jc w:val="center"/>
            </w:pPr>
            <w:r w:rsidRPr="00B67CB6">
              <w:t>Three parachute distress rockets</w:t>
            </w:r>
          </w:p>
          <w:p w:rsidR="00B67CB6" w:rsidRPr="00B67CB6" w:rsidRDefault="00B67CB6" w:rsidP="00B67CB6">
            <w:pPr>
              <w:pStyle w:val="NoSpacing"/>
              <w:jc w:val="center"/>
            </w:pPr>
            <w:r w:rsidRPr="00B67CB6">
              <w:t>Two red hand flares</w:t>
            </w:r>
          </w:p>
          <w:p w:rsidR="00B67CB6" w:rsidRPr="00B67CB6" w:rsidRDefault="00B67CB6" w:rsidP="00B67CB6">
            <w:pPr>
              <w:jc w:val="center"/>
            </w:pPr>
            <w:r w:rsidRPr="00B67CB6">
              <w:t>One hand held orange smoke signal</w:t>
            </w:r>
          </w:p>
          <w:p w:rsidR="00B67CB6" w:rsidRPr="00B67CB6" w:rsidRDefault="00B67CB6" w:rsidP="00B67CB6">
            <w:pPr>
              <w:pStyle w:val="NoSpacing"/>
              <w:jc w:val="center"/>
            </w:pPr>
            <w:r w:rsidRPr="00B67CB6">
              <w:t>Note: Expiry date of rockets and flares must be valid.</w:t>
            </w:r>
          </w:p>
        </w:tc>
      </w:tr>
      <w:tr w:rsidR="00B67CB6" w:rsidRPr="00B67CB6" w:rsidTr="00B67CB6">
        <w:trPr>
          <w:cantSplit/>
        </w:trPr>
        <w:tc>
          <w:tcPr>
            <w:tcW w:w="9983" w:type="dxa"/>
          </w:tcPr>
          <w:p w:rsidR="00B67CB6" w:rsidRPr="00B67CB6" w:rsidRDefault="00B67CB6" w:rsidP="00B67CB6">
            <w:pPr>
              <w:jc w:val="center"/>
              <w:rPr>
                <w:b/>
              </w:rPr>
            </w:pPr>
            <w:r w:rsidRPr="00B67CB6">
              <w:rPr>
                <w:b/>
              </w:rPr>
              <w:t>Electric installation/equipment – emergency</w:t>
            </w:r>
          </w:p>
          <w:p w:rsidR="00B67CB6" w:rsidRPr="00B67CB6" w:rsidRDefault="00B67CB6" w:rsidP="00B67CB6">
            <w:pPr>
              <w:pStyle w:val="NoSpacing"/>
              <w:jc w:val="center"/>
            </w:pPr>
            <w:r w:rsidRPr="00B67CB6">
              <w:t>At least one torch</w:t>
            </w:r>
          </w:p>
        </w:tc>
      </w:tr>
      <w:tr w:rsidR="00B67CB6" w:rsidRPr="00B67CB6" w:rsidTr="00B67CB6">
        <w:trPr>
          <w:cantSplit/>
        </w:trPr>
        <w:tc>
          <w:tcPr>
            <w:tcW w:w="9983" w:type="dxa"/>
          </w:tcPr>
          <w:p w:rsidR="00B67CB6" w:rsidRPr="00B67CB6" w:rsidRDefault="00B67CB6" w:rsidP="00B67CB6">
            <w:pPr>
              <w:jc w:val="center"/>
              <w:rPr>
                <w:b/>
              </w:rPr>
            </w:pPr>
            <w:r w:rsidRPr="00B67CB6">
              <w:rPr>
                <w:b/>
              </w:rPr>
              <w:t>Emergency Position Indicating Radio Beacon (EPIRB)</w:t>
            </w:r>
          </w:p>
          <w:p w:rsidR="00B67CB6" w:rsidRPr="00B67CB6" w:rsidRDefault="00B67CB6" w:rsidP="00B67CB6">
            <w:pPr>
              <w:jc w:val="center"/>
            </w:pPr>
            <w:r w:rsidRPr="00B67CB6">
              <w:t>406 MHz EPIRB to AS/NZS 4208 requirements.</w:t>
            </w:r>
          </w:p>
          <w:p w:rsidR="00B67CB6" w:rsidRPr="00B67CB6" w:rsidRDefault="00B67CB6" w:rsidP="00B67CB6">
            <w:pPr>
              <w:pStyle w:val="NoSpacing"/>
              <w:jc w:val="center"/>
            </w:pPr>
            <w:r w:rsidRPr="00B67CB6">
              <w:t>Note:  Expiry date of battery must be valid.</w:t>
            </w:r>
          </w:p>
        </w:tc>
      </w:tr>
      <w:tr w:rsidR="00B67CB6" w:rsidRPr="00B67CB6" w:rsidTr="00B67CB6">
        <w:trPr>
          <w:cantSplit/>
        </w:trPr>
        <w:tc>
          <w:tcPr>
            <w:tcW w:w="9983" w:type="dxa"/>
          </w:tcPr>
          <w:p w:rsidR="00B67CB6" w:rsidRPr="00B67CB6" w:rsidRDefault="00B67CB6" w:rsidP="00B67CB6">
            <w:pPr>
              <w:jc w:val="center"/>
              <w:rPr>
                <w:b/>
              </w:rPr>
            </w:pPr>
            <w:r w:rsidRPr="00B67CB6">
              <w:rPr>
                <w:b/>
              </w:rPr>
              <w:t>Gas detector</w:t>
            </w:r>
          </w:p>
          <w:p w:rsidR="00B67CB6" w:rsidRPr="00B67CB6" w:rsidRDefault="00B67CB6" w:rsidP="00B67CB6">
            <w:pPr>
              <w:pStyle w:val="NoSpacing"/>
              <w:jc w:val="center"/>
            </w:pPr>
            <w:r w:rsidRPr="00B67CB6">
              <w:t>For LPG installations a gas detector shall be fitted with sensors as close as possible to the source of entry below deck.</w:t>
            </w:r>
          </w:p>
        </w:tc>
      </w:tr>
      <w:tr w:rsidR="00B67CB6" w:rsidRPr="00B67CB6" w:rsidTr="00B67CB6">
        <w:trPr>
          <w:cantSplit/>
        </w:trPr>
        <w:tc>
          <w:tcPr>
            <w:tcW w:w="9983" w:type="dxa"/>
          </w:tcPr>
          <w:p w:rsidR="00B67CB6" w:rsidRPr="00B67CB6" w:rsidRDefault="00B67CB6" w:rsidP="00B67CB6">
            <w:pPr>
              <w:jc w:val="center"/>
              <w:rPr>
                <w:b/>
              </w:rPr>
            </w:pPr>
            <w:r w:rsidRPr="00B67CB6">
              <w:rPr>
                <w:b/>
              </w:rPr>
              <w:t>Lifebuoys</w:t>
            </w:r>
          </w:p>
          <w:p w:rsidR="00B67CB6" w:rsidRPr="00B67CB6" w:rsidRDefault="00B67CB6" w:rsidP="00B67CB6">
            <w:pPr>
              <w:pStyle w:val="NoSpacing"/>
              <w:jc w:val="center"/>
            </w:pPr>
            <w:r w:rsidRPr="00B67CB6">
              <w:t>One lifebuoy with light</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Life jackets</w:t>
            </w:r>
          </w:p>
          <w:p w:rsidR="00B67CB6" w:rsidRPr="00B67CB6" w:rsidRDefault="00B67CB6" w:rsidP="00B67CB6">
            <w:pPr>
              <w:pStyle w:val="NoSpacing"/>
              <w:jc w:val="center"/>
            </w:pPr>
            <w:r w:rsidRPr="00B67CB6">
              <w:t>SOLAS life jacket with light and whistle for every person.</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Navigation lights and shapes</w:t>
            </w:r>
          </w:p>
          <w:p w:rsidR="00B67CB6" w:rsidRPr="00B67CB6" w:rsidRDefault="00B67CB6" w:rsidP="00B67CB6">
            <w:pPr>
              <w:pStyle w:val="NoSpacing"/>
              <w:jc w:val="center"/>
            </w:pPr>
            <w:r w:rsidRPr="00B67CB6">
              <w:t>A white light visible all round and separate or combined sidelights.  The white all round light shall be carried at least 1 metre above the sidelights.  Vessels with maximum speed not exceeding 7 knots need not exhibit separate or combined sidelights.</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Medicines and medical stores</w:t>
            </w:r>
          </w:p>
          <w:p w:rsidR="00B67CB6" w:rsidRPr="00B67CB6" w:rsidRDefault="00B67CB6" w:rsidP="00B67CB6">
            <w:pPr>
              <w:pStyle w:val="NoSpacing"/>
              <w:jc w:val="center"/>
            </w:pPr>
            <w:r w:rsidRPr="00B67CB6">
              <w:t>Scale G</w:t>
            </w:r>
          </w:p>
          <w:p w:rsidR="00B67CB6" w:rsidRPr="00B67CB6" w:rsidRDefault="00B67CB6" w:rsidP="00B67CB6">
            <w:pPr>
              <w:pStyle w:val="NoSpacing"/>
              <w:jc w:val="center"/>
            </w:pPr>
            <w:r w:rsidRPr="00B67CB6">
              <w:t>See appendix</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Radiotelephony</w:t>
            </w:r>
          </w:p>
          <w:p w:rsidR="00B67CB6" w:rsidRPr="00B67CB6" w:rsidRDefault="00B67CB6" w:rsidP="00B67CB6">
            <w:pPr>
              <w:pStyle w:val="NoSpacing"/>
              <w:jc w:val="center"/>
            </w:pPr>
            <w:r w:rsidRPr="00B67CB6">
              <w:t>VHF Walkie talkie to communicate with mother ship.</w:t>
            </w:r>
          </w:p>
          <w:p w:rsidR="00B67CB6" w:rsidRPr="00B67CB6" w:rsidRDefault="00B67CB6" w:rsidP="00B67CB6">
            <w:pPr>
              <w:pStyle w:val="NoSpacing"/>
              <w:jc w:val="center"/>
            </w:pPr>
            <w:r w:rsidRPr="00B67CB6">
              <w:t>Must be checked by radio surveyor during mother vessel radio installation survey.</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Remote stops for other machinery</w:t>
            </w:r>
          </w:p>
          <w:p w:rsidR="00B67CB6" w:rsidRPr="00B67CB6" w:rsidRDefault="00B67CB6" w:rsidP="00B67CB6">
            <w:pPr>
              <w:pStyle w:val="NoSpacing"/>
              <w:jc w:val="center"/>
            </w:pPr>
            <w:r w:rsidRPr="00B67CB6">
              <w:t>To be provided for oil fuel, lubricating oil and hydraulic oil pumps and also separators.</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lastRenderedPageBreak/>
              <w:t>Signalling light</w:t>
            </w:r>
          </w:p>
          <w:p w:rsidR="00B67CB6" w:rsidRPr="00B67CB6" w:rsidRDefault="00B67CB6" w:rsidP="00B67CB6">
            <w:pPr>
              <w:pStyle w:val="NoSpacing"/>
              <w:jc w:val="center"/>
            </w:pPr>
            <w:r w:rsidRPr="00B67CB6">
              <w:t>A signalling light or suitable approved torch fitted with a flashing button in addition to an ON/OFF button.  An ordinary torch is NOT acceptable.</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Sound signal</w:t>
            </w:r>
          </w:p>
          <w:p w:rsidR="00B67CB6" w:rsidRPr="00B67CB6" w:rsidRDefault="00B67CB6" w:rsidP="00B67CB6">
            <w:pPr>
              <w:pStyle w:val="NoSpacing"/>
              <w:jc w:val="center"/>
            </w:pPr>
            <w:r w:rsidRPr="00B67CB6">
              <w:t>Portable sound signal.</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Windlass, anchors and cables</w:t>
            </w:r>
          </w:p>
          <w:p w:rsidR="00B67CB6" w:rsidRPr="00B67CB6" w:rsidRDefault="00B67CB6" w:rsidP="00B67CB6">
            <w:pPr>
              <w:pStyle w:val="NoSpacing"/>
              <w:jc w:val="center"/>
            </w:pPr>
            <w:r w:rsidRPr="00B67CB6">
              <w:t xml:space="preserve">One </w:t>
            </w:r>
            <w:proofErr w:type="spellStart"/>
            <w:r w:rsidRPr="00B67CB6">
              <w:t>Danforth</w:t>
            </w:r>
            <w:proofErr w:type="spellEnd"/>
            <w:r w:rsidRPr="00B67CB6">
              <w:t xml:space="preserve"> or CQR Anchor OF minimum 17 LBS attached to 3 m of 8mm chain attached to 70 metres of 12 mm rope. Reef anchor if carried will be in addition to above.</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Operational and safety procedure handbooks</w:t>
            </w:r>
          </w:p>
          <w:p w:rsidR="00B67CB6" w:rsidRPr="00B67CB6" w:rsidRDefault="00B67CB6" w:rsidP="00B67CB6">
            <w:pPr>
              <w:pStyle w:val="NoSpacing"/>
              <w:jc w:val="center"/>
            </w:pPr>
            <w:r w:rsidRPr="00B67CB6">
              <w:t>Operational and Safety procedure handbooks developed by owners / operators/ NTFIC in conjunction with appropriate individuals and organisations must be kept on board.</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Internal buoyancy</w:t>
            </w:r>
          </w:p>
          <w:p w:rsidR="00B67CB6" w:rsidRPr="00B67CB6" w:rsidRDefault="00B67CB6" w:rsidP="00B67CB6">
            <w:pPr>
              <w:pStyle w:val="NoSpacing"/>
              <w:jc w:val="center"/>
            </w:pPr>
            <w:r w:rsidRPr="00B67CB6">
              <w:t xml:space="preserve">Minimum </w:t>
            </w:r>
            <w:proofErr w:type="gramStart"/>
            <w:r w:rsidRPr="00B67CB6">
              <w:t>manufacturers</w:t>
            </w:r>
            <w:proofErr w:type="gramEnd"/>
            <w:r w:rsidRPr="00B67CB6">
              <w:t xml:space="preserve"> standard internal buoyancy. If vessel is not a standard production model, the owner must fit buoyancy to Appendix N Section 10 of USL Code.</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Heliograph</w:t>
            </w:r>
          </w:p>
          <w:p w:rsidR="00B67CB6" w:rsidRPr="00B67CB6" w:rsidRDefault="00B67CB6" w:rsidP="00B67CB6">
            <w:pPr>
              <w:pStyle w:val="NoSpacing"/>
              <w:jc w:val="center"/>
            </w:pPr>
            <w:r w:rsidRPr="00B67CB6">
              <w:t>One heliograph</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Work vest</w:t>
            </w:r>
          </w:p>
          <w:p w:rsidR="00B67CB6" w:rsidRPr="00B67CB6" w:rsidRDefault="00B67CB6" w:rsidP="00B67CB6">
            <w:pPr>
              <w:pStyle w:val="NoSpacing"/>
              <w:jc w:val="center"/>
            </w:pPr>
            <w:r w:rsidRPr="00B67CB6">
              <w:t>One number work vest to AS 1499 must be worn at all times by every person on board.</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Drinking water</w:t>
            </w:r>
          </w:p>
          <w:p w:rsidR="00B67CB6" w:rsidRPr="00B67CB6" w:rsidRDefault="00B67CB6" w:rsidP="00B67CB6">
            <w:pPr>
              <w:pStyle w:val="NoSpacing"/>
              <w:jc w:val="center"/>
            </w:pPr>
            <w:r w:rsidRPr="00B67CB6">
              <w:t>At least 5 litres of freshwater per day per person must be carried.</w:t>
            </w:r>
          </w:p>
        </w:tc>
      </w:tr>
      <w:tr w:rsidR="00B67CB6" w:rsidRPr="00B67CB6" w:rsidTr="00B67CB6">
        <w:trPr>
          <w:cantSplit/>
        </w:trPr>
        <w:tc>
          <w:tcPr>
            <w:tcW w:w="9983" w:type="dxa"/>
            <w:tcBorders>
              <w:top w:val="single" w:sz="12" w:space="0" w:color="auto"/>
              <w:left w:val="nil"/>
              <w:bottom w:val="single" w:sz="12" w:space="0" w:color="auto"/>
              <w:right w:val="nil"/>
            </w:tcBorders>
          </w:tcPr>
          <w:p w:rsidR="00B67CB6" w:rsidRPr="00B67CB6" w:rsidRDefault="00B67CB6" w:rsidP="00B67CB6">
            <w:pPr>
              <w:jc w:val="center"/>
              <w:rPr>
                <w:b/>
              </w:rPr>
            </w:pPr>
            <w:r w:rsidRPr="00B67CB6">
              <w:rPr>
                <w:b/>
              </w:rPr>
              <w:t xml:space="preserve">Watertight </w:t>
            </w:r>
            <w:proofErr w:type="spellStart"/>
            <w:r w:rsidRPr="00B67CB6">
              <w:rPr>
                <w:b/>
              </w:rPr>
              <w:t>containe</w:t>
            </w:r>
            <w:proofErr w:type="spellEnd"/>
          </w:p>
          <w:p w:rsidR="00B67CB6" w:rsidRPr="00B67CB6" w:rsidRDefault="00B67CB6" w:rsidP="00B67CB6">
            <w:pPr>
              <w:pStyle w:val="NoSpacing"/>
              <w:jc w:val="center"/>
            </w:pPr>
            <w:r w:rsidRPr="00B67CB6">
              <w:t>One watertight buoyant container for carrying small gear like flares, heliograph.</w:t>
            </w:r>
          </w:p>
        </w:tc>
      </w:tr>
    </w:tbl>
    <w:p w:rsidR="00B67CB6" w:rsidRPr="00B67CB6" w:rsidRDefault="00B67CB6" w:rsidP="00B67CB6"/>
    <w:p w:rsidR="00B67CB6" w:rsidRPr="00B67CB6" w:rsidRDefault="00B67CB6" w:rsidP="00B67CB6">
      <w:r w:rsidRPr="00B67CB6">
        <w:t>For further information please contact this office.</w:t>
      </w:r>
    </w:p>
    <w:p w:rsidR="00B67CB6" w:rsidRPr="00B67CB6" w:rsidRDefault="00B67CB6" w:rsidP="004B7ABE">
      <w:pPr>
        <w:spacing w:after="0"/>
      </w:pPr>
      <w:r w:rsidRPr="00B67CB6">
        <w:t>Signed by: Sri Srinivas, Principal Marine Surveyor</w:t>
      </w:r>
      <w:r>
        <w:br/>
      </w:r>
      <w:r w:rsidRPr="00B67CB6">
        <w:t>Date Issued:  28 July 2011</w:t>
      </w:r>
    </w:p>
    <w:tbl>
      <w:tblPr>
        <w:tblW w:w="0" w:type="auto"/>
        <w:tblInd w:w="108" w:type="dxa"/>
        <w:tblLayout w:type="fixed"/>
        <w:tblCellMar>
          <w:top w:w="28" w:type="dxa"/>
          <w:bottom w:w="28" w:type="dxa"/>
        </w:tblCellMar>
        <w:tblLook w:val="0000" w:firstRow="0" w:lastRow="0" w:firstColumn="0" w:lastColumn="0" w:noHBand="0" w:noVBand="0"/>
        <w:tblDescription w:val="Contacts"/>
      </w:tblPr>
      <w:tblGrid>
        <w:gridCol w:w="10065"/>
      </w:tblGrid>
      <w:tr w:rsidR="00B67CB6" w:rsidRPr="00B67CB6" w:rsidTr="000D4376">
        <w:trPr>
          <w:cantSplit/>
          <w:tblHeader/>
        </w:trPr>
        <w:tc>
          <w:tcPr>
            <w:tcW w:w="10065" w:type="dxa"/>
            <w:tcBorders>
              <w:top w:val="single" w:sz="18" w:space="0" w:color="auto"/>
            </w:tcBorders>
          </w:tcPr>
          <w:p w:rsidR="00B67CB6" w:rsidRPr="00B67CB6" w:rsidRDefault="00B67CB6" w:rsidP="00B67CB6">
            <w:pPr>
              <w:pStyle w:val="NoSpacing"/>
              <w:jc w:val="center"/>
              <w:rPr>
                <w:b/>
                <w:sz w:val="18"/>
                <w:szCs w:val="18"/>
              </w:rPr>
            </w:pPr>
            <w:r w:rsidRPr="00B67CB6">
              <w:rPr>
                <w:b/>
                <w:sz w:val="18"/>
                <w:szCs w:val="18"/>
              </w:rPr>
              <w:t>For further information contact Marine Safety Branch:</w:t>
            </w:r>
          </w:p>
        </w:tc>
      </w:tr>
      <w:tr w:rsidR="00B67CB6" w:rsidRPr="00B67CB6" w:rsidTr="000D4376">
        <w:trPr>
          <w:cantSplit/>
        </w:trPr>
        <w:tc>
          <w:tcPr>
            <w:tcW w:w="10065" w:type="dxa"/>
          </w:tcPr>
          <w:p w:rsidR="00B67CB6" w:rsidRPr="00B67CB6" w:rsidRDefault="00B67CB6" w:rsidP="00B67CB6">
            <w:pPr>
              <w:pStyle w:val="NoSpacing"/>
              <w:jc w:val="center"/>
              <w:rPr>
                <w:sz w:val="18"/>
                <w:szCs w:val="18"/>
              </w:rPr>
            </w:pPr>
            <w:r w:rsidRPr="00B67CB6">
              <w:rPr>
                <w:sz w:val="18"/>
                <w:szCs w:val="18"/>
              </w:rPr>
              <w:t xml:space="preserve">2nd Floor, Energy House, 18-20 </w:t>
            </w:r>
            <w:proofErr w:type="spellStart"/>
            <w:r w:rsidRPr="00B67CB6">
              <w:rPr>
                <w:sz w:val="18"/>
                <w:szCs w:val="18"/>
              </w:rPr>
              <w:t>Cavenagh</w:t>
            </w:r>
            <w:proofErr w:type="spellEnd"/>
            <w:r w:rsidRPr="00B67CB6">
              <w:rPr>
                <w:sz w:val="18"/>
                <w:szCs w:val="18"/>
              </w:rPr>
              <w:t>, Darwin   NT  0800, GPO Box 2520, Darwin  NT  0801</w:t>
            </w:r>
          </w:p>
        </w:tc>
      </w:tr>
      <w:tr w:rsidR="00B67CB6" w:rsidRPr="00B67CB6" w:rsidTr="000D4376">
        <w:trPr>
          <w:cantSplit/>
        </w:trPr>
        <w:tc>
          <w:tcPr>
            <w:tcW w:w="10065" w:type="dxa"/>
          </w:tcPr>
          <w:p w:rsidR="00B67CB6" w:rsidRPr="00B67CB6" w:rsidRDefault="00B67CB6" w:rsidP="00B67CB6">
            <w:pPr>
              <w:pStyle w:val="NoSpacing"/>
              <w:jc w:val="center"/>
              <w:rPr>
                <w:sz w:val="18"/>
                <w:szCs w:val="18"/>
              </w:rPr>
            </w:pPr>
            <w:r w:rsidRPr="00B67CB6">
              <w:rPr>
                <w:sz w:val="18"/>
                <w:szCs w:val="18"/>
              </w:rPr>
              <w:t>Telephone:  08 8924 7100, Facsimile: 08 8924 7009</w:t>
            </w:r>
          </w:p>
        </w:tc>
      </w:tr>
      <w:tr w:rsidR="00B67CB6" w:rsidRPr="00B67CB6" w:rsidTr="000D4376">
        <w:trPr>
          <w:cantSplit/>
        </w:trPr>
        <w:tc>
          <w:tcPr>
            <w:tcW w:w="10065" w:type="dxa"/>
            <w:tcBorders>
              <w:bottom w:val="single" w:sz="18" w:space="0" w:color="auto"/>
            </w:tcBorders>
          </w:tcPr>
          <w:p w:rsidR="00B67CB6" w:rsidRPr="00B67CB6" w:rsidRDefault="00B67CB6" w:rsidP="00B67CB6">
            <w:pPr>
              <w:pStyle w:val="NoSpacing"/>
              <w:jc w:val="center"/>
              <w:rPr>
                <w:sz w:val="18"/>
                <w:szCs w:val="18"/>
              </w:rPr>
            </w:pPr>
            <w:r w:rsidRPr="00B67CB6">
              <w:rPr>
                <w:sz w:val="18"/>
                <w:szCs w:val="18"/>
              </w:rPr>
              <w:t>Email: marinesafety@nt.gov.au</w:t>
            </w:r>
          </w:p>
        </w:tc>
      </w:tr>
    </w:tbl>
    <w:p w:rsidR="00B67CB6" w:rsidRPr="00B67CB6" w:rsidRDefault="00B67CB6" w:rsidP="00416EB1">
      <w:pPr>
        <w:pStyle w:val="NoSpacing"/>
        <w:spacing w:before="200"/>
      </w:pPr>
      <w:r w:rsidRPr="00B67CB6">
        <w:rPr>
          <w:b/>
          <w:sz w:val="18"/>
          <w:szCs w:val="18"/>
        </w:rPr>
        <w:t xml:space="preserve">Disclaimer: </w:t>
      </w:r>
      <w:r w:rsidRPr="00B67CB6">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r w:rsidR="00416EB1" w:rsidRPr="00B67CB6">
        <w:t xml:space="preserve"> </w:t>
      </w:r>
    </w:p>
    <w:p w:rsidR="00B67CB6" w:rsidRPr="004B7ABE" w:rsidRDefault="00416EB1" w:rsidP="004B7ABE">
      <w:pPr>
        <w:pStyle w:val="Heading2"/>
      </w:pPr>
      <w:r>
        <w:br w:type="page"/>
      </w:r>
      <w:bookmarkStart w:id="0" w:name="_GoBack"/>
      <w:r w:rsidR="00B67CB6" w:rsidRPr="00B67CB6">
        <w:lastRenderedPageBreak/>
        <w:t>Appendix</w:t>
      </w:r>
      <w:bookmarkEnd w:id="0"/>
    </w:p>
    <w:p w:rsidR="00B67CB6" w:rsidRPr="00B67CB6" w:rsidRDefault="00B67CB6" w:rsidP="00B67CB6">
      <w:pPr>
        <w:pStyle w:val="Heading3"/>
      </w:pPr>
      <w:r>
        <w:t>Medicines and medical stores –</w:t>
      </w:r>
      <w:r w:rsidRPr="00B67CB6">
        <w:t xml:space="preserve"> Scale G</w:t>
      </w:r>
    </w:p>
    <w:tbl>
      <w:tblPr>
        <w:tblW w:w="9760" w:type="dxa"/>
        <w:tblInd w:w="95" w:type="dxa"/>
        <w:tblLook w:val="0000" w:firstRow="0" w:lastRow="0" w:firstColumn="0" w:lastColumn="0" w:noHBand="0" w:noVBand="0"/>
        <w:tblDescription w:val="Medicines and medical stores – Scale G"/>
      </w:tblPr>
      <w:tblGrid>
        <w:gridCol w:w="4399"/>
        <w:gridCol w:w="947"/>
        <w:gridCol w:w="1330"/>
        <w:gridCol w:w="3084"/>
      </w:tblGrid>
      <w:tr w:rsidR="00B67CB6" w:rsidRPr="00B67CB6" w:rsidTr="000D4376">
        <w:trPr>
          <w:trHeight w:val="270"/>
          <w:tblHeader/>
        </w:trPr>
        <w:tc>
          <w:tcPr>
            <w:tcW w:w="4399" w:type="dxa"/>
            <w:tcBorders>
              <w:top w:val="single" w:sz="8" w:space="0" w:color="auto"/>
              <w:left w:val="single" w:sz="8" w:space="0" w:color="auto"/>
              <w:bottom w:val="single" w:sz="8" w:space="0" w:color="auto"/>
              <w:right w:val="single" w:sz="8" w:space="0" w:color="auto"/>
            </w:tcBorders>
            <w:vAlign w:val="bottom"/>
          </w:tcPr>
          <w:p w:rsidR="00B67CB6" w:rsidRPr="00B67CB6" w:rsidRDefault="00B67CB6" w:rsidP="00B67CB6">
            <w:pPr>
              <w:pStyle w:val="NoSpacing"/>
              <w:jc w:val="center"/>
              <w:rPr>
                <w:b/>
                <w:sz w:val="18"/>
                <w:szCs w:val="18"/>
              </w:rPr>
            </w:pPr>
            <w:r w:rsidRPr="00B67CB6">
              <w:rPr>
                <w:b/>
                <w:sz w:val="18"/>
                <w:szCs w:val="18"/>
              </w:rPr>
              <w:t>Description</w:t>
            </w:r>
          </w:p>
        </w:tc>
        <w:tc>
          <w:tcPr>
            <w:tcW w:w="947" w:type="dxa"/>
            <w:tcBorders>
              <w:top w:val="single" w:sz="8" w:space="0" w:color="auto"/>
              <w:left w:val="nil"/>
              <w:bottom w:val="single" w:sz="8" w:space="0" w:color="auto"/>
              <w:right w:val="single" w:sz="8" w:space="0" w:color="auto"/>
            </w:tcBorders>
            <w:vAlign w:val="bottom"/>
          </w:tcPr>
          <w:p w:rsidR="00B67CB6" w:rsidRPr="00B67CB6" w:rsidRDefault="00B67CB6" w:rsidP="00B67CB6">
            <w:pPr>
              <w:pStyle w:val="NoSpacing"/>
              <w:jc w:val="center"/>
              <w:rPr>
                <w:b/>
                <w:sz w:val="18"/>
                <w:szCs w:val="18"/>
              </w:rPr>
            </w:pPr>
            <w:r w:rsidRPr="00B67CB6">
              <w:rPr>
                <w:b/>
                <w:sz w:val="18"/>
                <w:szCs w:val="18"/>
              </w:rPr>
              <w:t>Quantity</w:t>
            </w:r>
          </w:p>
        </w:tc>
        <w:tc>
          <w:tcPr>
            <w:tcW w:w="1330" w:type="dxa"/>
            <w:tcBorders>
              <w:top w:val="single" w:sz="8" w:space="0" w:color="auto"/>
              <w:left w:val="nil"/>
              <w:bottom w:val="single" w:sz="8" w:space="0" w:color="auto"/>
              <w:right w:val="single" w:sz="8" w:space="0" w:color="auto"/>
            </w:tcBorders>
            <w:vAlign w:val="bottom"/>
          </w:tcPr>
          <w:p w:rsidR="00B67CB6" w:rsidRPr="00B67CB6" w:rsidRDefault="00B67CB6" w:rsidP="00B67CB6">
            <w:pPr>
              <w:pStyle w:val="NoSpacing"/>
              <w:jc w:val="center"/>
              <w:rPr>
                <w:b/>
                <w:sz w:val="18"/>
                <w:szCs w:val="18"/>
              </w:rPr>
            </w:pPr>
            <w:r w:rsidRPr="00B67CB6">
              <w:rPr>
                <w:b/>
                <w:sz w:val="18"/>
                <w:szCs w:val="18"/>
              </w:rPr>
              <w:t>Expiry</w:t>
            </w:r>
            <w:r w:rsidR="000D4376">
              <w:rPr>
                <w:b/>
                <w:sz w:val="18"/>
                <w:szCs w:val="18"/>
              </w:rPr>
              <w:t xml:space="preserve"> dated</w:t>
            </w:r>
          </w:p>
        </w:tc>
        <w:tc>
          <w:tcPr>
            <w:tcW w:w="3084" w:type="dxa"/>
            <w:tcBorders>
              <w:top w:val="single" w:sz="8" w:space="0" w:color="auto"/>
              <w:left w:val="nil"/>
              <w:bottom w:val="single" w:sz="8" w:space="0" w:color="auto"/>
              <w:right w:val="single" w:sz="8" w:space="0" w:color="auto"/>
            </w:tcBorders>
            <w:vAlign w:val="bottom"/>
          </w:tcPr>
          <w:p w:rsidR="00B67CB6" w:rsidRPr="00B67CB6" w:rsidRDefault="00B67CB6" w:rsidP="00B67CB6">
            <w:pPr>
              <w:pStyle w:val="NoSpacing"/>
              <w:jc w:val="center"/>
              <w:rPr>
                <w:b/>
                <w:sz w:val="18"/>
                <w:szCs w:val="18"/>
              </w:rPr>
            </w:pPr>
            <w:r w:rsidRPr="00B67CB6">
              <w:rPr>
                <w:b/>
                <w:sz w:val="18"/>
                <w:szCs w:val="18"/>
              </w:rPr>
              <w:t>Comments</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Bandage, conforming 5 cm</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secure dressing and support</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Bandage, conforming 10 cm</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secure dressing and support</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Bandage, heavy crepe 7.5 cm</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2</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support bandage</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Bandage, triangular</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4</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sling</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Dressing, combine 10 x 10 cm, sterile</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3</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bleeding control</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Dressing, combine 10 x 20 cm, sterile</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2</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bleeding control, large</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Dressing, non-adherent (10 x 10 cm or similar)</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5</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wound cover</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 xml:space="preserve">Dressing, </w:t>
            </w:r>
            <w:proofErr w:type="spellStart"/>
            <w:r w:rsidRPr="00B67CB6">
              <w:rPr>
                <w:sz w:val="18"/>
                <w:szCs w:val="18"/>
              </w:rPr>
              <w:t>hydroactive</w:t>
            </w:r>
            <w:proofErr w:type="spellEnd"/>
            <w:r w:rsidRPr="00B67CB6">
              <w:rPr>
                <w:sz w:val="18"/>
                <w:szCs w:val="18"/>
              </w:rPr>
              <w:t xml:space="preserve"> (10 x 10 cm or similar)</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blisters, burns and minor</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Wound dressing, combination, large</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2</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Major wounds</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Wound dressing, combination, small</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2</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Major wounds</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Adhesive roll non-woven fabric 5 cm x 10 m</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securing dressings</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Dressings, elastic fabric strips</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50</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minor wound cover</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 xml:space="preserve">Gauze swabs, sterile (single use </w:t>
            </w:r>
            <w:proofErr w:type="spellStart"/>
            <w:r w:rsidRPr="00B67CB6">
              <w:rPr>
                <w:sz w:val="18"/>
                <w:szCs w:val="18"/>
              </w:rPr>
              <w:t>pkt</w:t>
            </w:r>
            <w:proofErr w:type="spellEnd"/>
            <w:r w:rsidRPr="00B67CB6">
              <w:rPr>
                <w:sz w:val="18"/>
                <w:szCs w:val="18"/>
              </w:rPr>
              <w:t xml:space="preserve"> of 3)</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3</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cleansing/dressing wound</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Eye pad, sterile</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2</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eye cover</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Wound closure strips, wide, 6 x 38 mm</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securing wound sides</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Tape surgical waterproof 2.5 cm x 5 m</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Secure dressing</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Tape surgical waterproof 5 cm x 5 m</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Secure dressing</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 xml:space="preserve">Towels, disposable, </w:t>
            </w:r>
            <w:proofErr w:type="spellStart"/>
            <w:r w:rsidRPr="00B67CB6">
              <w:rPr>
                <w:sz w:val="18"/>
                <w:szCs w:val="18"/>
              </w:rPr>
              <w:t>pkt</w:t>
            </w:r>
            <w:proofErr w:type="spellEnd"/>
            <w:r w:rsidRPr="00B67CB6">
              <w:rPr>
                <w:sz w:val="18"/>
                <w:szCs w:val="18"/>
              </w:rPr>
              <w:t xml:space="preserve"> of 2</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2</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 xml:space="preserve">Plastic bag set (3 </w:t>
            </w:r>
            <w:proofErr w:type="spellStart"/>
            <w:r w:rsidRPr="00B67CB6">
              <w:rPr>
                <w:sz w:val="18"/>
                <w:szCs w:val="18"/>
              </w:rPr>
              <w:t>asst</w:t>
            </w:r>
            <w:proofErr w:type="spellEnd"/>
            <w:r w:rsidRPr="00B67CB6">
              <w:rPr>
                <w:sz w:val="18"/>
                <w:szCs w:val="18"/>
              </w:rPr>
              <w:t xml:space="preserve"> L, M and S)</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Amputated parts</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Plastic bag</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2</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disposal of soiled dressings</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Gloves, disposable, large</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10</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 xml:space="preserve">Safety pins, stainless, assorted </w:t>
            </w:r>
            <w:proofErr w:type="spellStart"/>
            <w:r w:rsidRPr="00B67CB6">
              <w:rPr>
                <w:sz w:val="18"/>
                <w:szCs w:val="18"/>
              </w:rPr>
              <w:t>pkt</w:t>
            </w:r>
            <w:proofErr w:type="spellEnd"/>
            <w:r w:rsidRPr="00B67CB6">
              <w:rPr>
                <w:sz w:val="18"/>
                <w:szCs w:val="18"/>
              </w:rPr>
              <w:t xml:space="preserve"> of 12</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Blanket, emergency thermal</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Hypothermia and shock</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Ice pack, instant</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Resuscitation mask, disposable</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Splinter probes, sterile, disposable</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5</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Splinter forceps, 12.5 cm</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Shears, stainless, 19 cm minimum</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Splint malleable, universal</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 xml:space="preserve">Normal saline, sterile 30 ml </w:t>
            </w:r>
            <w:proofErr w:type="spellStart"/>
            <w:r w:rsidRPr="00B67CB6">
              <w:rPr>
                <w:sz w:val="18"/>
                <w:szCs w:val="18"/>
              </w:rPr>
              <w:t>polyamp</w:t>
            </w:r>
            <w:proofErr w:type="spellEnd"/>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6</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eye irrigation / wound cleaning</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proofErr w:type="spellStart"/>
            <w:r w:rsidRPr="00B67CB6">
              <w:rPr>
                <w:sz w:val="18"/>
                <w:szCs w:val="18"/>
              </w:rPr>
              <w:t>Povidone</w:t>
            </w:r>
            <w:proofErr w:type="spellEnd"/>
            <w:r w:rsidRPr="00B67CB6">
              <w:rPr>
                <w:sz w:val="18"/>
                <w:szCs w:val="18"/>
              </w:rPr>
              <w:t xml:space="preserve"> iodine swabs (single use)</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10</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Antiseptic</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Anaesthetic + antiseptic cream 30 g</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Paracetamol 500 mg tabs or caps</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24</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mild pain relief</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proofErr w:type="spellStart"/>
            <w:r w:rsidRPr="00B67CB6">
              <w:rPr>
                <w:sz w:val="18"/>
                <w:szCs w:val="18"/>
              </w:rPr>
              <w:t>Hyoscine</w:t>
            </w:r>
            <w:proofErr w:type="spellEnd"/>
            <w:r w:rsidRPr="00B67CB6">
              <w:rPr>
                <w:sz w:val="18"/>
                <w:szCs w:val="18"/>
              </w:rPr>
              <w:t xml:space="preserve"> </w:t>
            </w:r>
            <w:proofErr w:type="spellStart"/>
            <w:r w:rsidRPr="00B67CB6">
              <w:rPr>
                <w:sz w:val="18"/>
                <w:szCs w:val="18"/>
              </w:rPr>
              <w:t>hydrobromide</w:t>
            </w:r>
            <w:proofErr w:type="spellEnd"/>
            <w:r w:rsidRPr="00B67CB6">
              <w:rPr>
                <w:sz w:val="18"/>
                <w:szCs w:val="18"/>
              </w:rPr>
              <w:t xml:space="preserve"> 0.3mg tablets</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10</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Seasickness</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proofErr w:type="spellStart"/>
            <w:r w:rsidRPr="00B67CB6">
              <w:rPr>
                <w:sz w:val="18"/>
                <w:szCs w:val="18"/>
              </w:rPr>
              <w:t>Loperimide</w:t>
            </w:r>
            <w:proofErr w:type="spellEnd"/>
            <w:r w:rsidRPr="00B67CB6">
              <w:rPr>
                <w:sz w:val="18"/>
                <w:szCs w:val="18"/>
              </w:rPr>
              <w:t xml:space="preserve"> 2mg tablets</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16</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diarrhoea</w:t>
            </w:r>
          </w:p>
        </w:tc>
      </w:tr>
      <w:tr w:rsidR="00B67CB6" w:rsidRPr="00B67CB6" w:rsidTr="000D4376">
        <w:trPr>
          <w:trHeight w:val="255"/>
        </w:trPr>
        <w:tc>
          <w:tcPr>
            <w:tcW w:w="4399" w:type="dxa"/>
            <w:tcBorders>
              <w:top w:val="nil"/>
              <w:left w:val="single" w:sz="8" w:space="0" w:color="auto"/>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Antacid tablets</w:t>
            </w:r>
          </w:p>
        </w:tc>
        <w:tc>
          <w:tcPr>
            <w:tcW w:w="947"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12</w:t>
            </w:r>
          </w:p>
        </w:tc>
        <w:tc>
          <w:tcPr>
            <w:tcW w:w="1330" w:type="dxa"/>
            <w:tcBorders>
              <w:top w:val="nil"/>
              <w:left w:val="nil"/>
              <w:bottom w:val="nil"/>
              <w:right w:val="single" w:sz="8" w:space="0" w:color="auto"/>
            </w:tcBorders>
            <w:vAlign w:val="bottom"/>
          </w:tcPr>
          <w:p w:rsidR="00B67CB6" w:rsidRPr="00B67CB6" w:rsidRDefault="000D4376" w:rsidP="00B67CB6">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CPR instruction chart or card</w:t>
            </w:r>
          </w:p>
        </w:tc>
        <w:tc>
          <w:tcPr>
            <w:tcW w:w="947" w:type="dxa"/>
            <w:tcBorders>
              <w:top w:val="nil"/>
              <w:left w:val="nil"/>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right w:val="single" w:sz="8" w:space="0" w:color="auto"/>
            </w:tcBorders>
            <w:vAlign w:val="bottom"/>
          </w:tcPr>
          <w:p w:rsidR="00B67CB6" w:rsidRPr="00B67CB6" w:rsidRDefault="00B67CB6" w:rsidP="00B67CB6">
            <w:pPr>
              <w:pStyle w:val="NoSpacing"/>
              <w:jc w:val="center"/>
              <w:rPr>
                <w:sz w:val="18"/>
                <w:szCs w:val="18"/>
              </w:rPr>
            </w:pPr>
          </w:p>
        </w:tc>
      </w:tr>
      <w:tr w:rsidR="00B67CB6" w:rsidRPr="00B67CB6" w:rsidTr="000D4376">
        <w:trPr>
          <w:trHeight w:val="255"/>
        </w:trPr>
        <w:tc>
          <w:tcPr>
            <w:tcW w:w="4399" w:type="dxa"/>
            <w:tcBorders>
              <w:top w:val="nil"/>
              <w:left w:val="single" w:sz="8" w:space="0" w:color="auto"/>
              <w:bottom w:val="single" w:sz="4" w:space="0" w:color="auto"/>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Australian First Aid Book</w:t>
            </w:r>
          </w:p>
        </w:tc>
        <w:tc>
          <w:tcPr>
            <w:tcW w:w="947" w:type="dxa"/>
            <w:tcBorders>
              <w:top w:val="nil"/>
              <w:left w:val="nil"/>
              <w:bottom w:val="single" w:sz="4" w:space="0" w:color="auto"/>
              <w:right w:val="single" w:sz="8" w:space="0" w:color="auto"/>
            </w:tcBorders>
            <w:vAlign w:val="bottom"/>
          </w:tcPr>
          <w:p w:rsidR="00B67CB6" w:rsidRPr="00B67CB6" w:rsidRDefault="00B67CB6" w:rsidP="00B67CB6">
            <w:pPr>
              <w:pStyle w:val="NoSpacing"/>
              <w:jc w:val="center"/>
              <w:rPr>
                <w:sz w:val="18"/>
                <w:szCs w:val="18"/>
              </w:rPr>
            </w:pPr>
            <w:r w:rsidRPr="00B67CB6">
              <w:rPr>
                <w:sz w:val="18"/>
                <w:szCs w:val="18"/>
              </w:rPr>
              <w:t>1</w:t>
            </w:r>
          </w:p>
        </w:tc>
        <w:tc>
          <w:tcPr>
            <w:tcW w:w="1330" w:type="dxa"/>
            <w:tcBorders>
              <w:top w:val="nil"/>
              <w:left w:val="nil"/>
              <w:bottom w:val="single" w:sz="4" w:space="0" w:color="auto"/>
              <w:right w:val="single" w:sz="8" w:space="0" w:color="auto"/>
            </w:tcBorders>
            <w:vAlign w:val="bottom"/>
          </w:tcPr>
          <w:p w:rsidR="00B67CB6" w:rsidRPr="00B67CB6" w:rsidRDefault="00B67CB6" w:rsidP="00B67CB6">
            <w:pPr>
              <w:pStyle w:val="NoSpacing"/>
              <w:jc w:val="center"/>
              <w:rPr>
                <w:sz w:val="18"/>
                <w:szCs w:val="18"/>
              </w:rPr>
            </w:pPr>
          </w:p>
        </w:tc>
        <w:tc>
          <w:tcPr>
            <w:tcW w:w="3084" w:type="dxa"/>
            <w:tcBorders>
              <w:top w:val="nil"/>
              <w:left w:val="nil"/>
              <w:bottom w:val="single" w:sz="4" w:space="0" w:color="auto"/>
              <w:right w:val="single" w:sz="8" w:space="0" w:color="auto"/>
            </w:tcBorders>
            <w:vAlign w:val="bottom"/>
          </w:tcPr>
          <w:p w:rsidR="00B67CB6" w:rsidRPr="00B67CB6" w:rsidRDefault="00B67CB6" w:rsidP="00B67CB6">
            <w:pPr>
              <w:pStyle w:val="NoSpacing"/>
              <w:jc w:val="center"/>
              <w:rPr>
                <w:sz w:val="18"/>
                <w:szCs w:val="18"/>
              </w:rPr>
            </w:pPr>
          </w:p>
        </w:tc>
      </w:tr>
    </w:tbl>
    <w:p w:rsidR="00027DB8" w:rsidRPr="00B67CB6" w:rsidRDefault="00027DB8" w:rsidP="00B67CB6">
      <w:pPr>
        <w:pStyle w:val="NoSpacing"/>
        <w:rPr>
          <w:sz w:val="18"/>
          <w:szCs w:val="18"/>
        </w:rPr>
      </w:pPr>
    </w:p>
    <w:sectPr w:rsidR="00027DB8" w:rsidRPr="00B67CB6"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B6" w:rsidRDefault="00B67CB6" w:rsidP="00293A72">
      <w:r>
        <w:separator/>
      </w:r>
    </w:p>
  </w:endnote>
  <w:endnote w:type="continuationSeparator" w:id="0">
    <w:p w:rsidR="00B67CB6" w:rsidRDefault="00B67CB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B4241A">
      <w:rPr>
        <w:sz w:val="18"/>
        <w:szCs w:val="18"/>
      </w:rPr>
      <w:t>28/07/2011</w:t>
    </w:r>
  </w:p>
  <w:p w:rsidR="00EB77F9" w:rsidRPr="00FD51B9" w:rsidRDefault="00EB77F9" w:rsidP="00EB77F9">
    <w:pPr>
      <w:pStyle w:val="Footer"/>
      <w:rPr>
        <w:rFonts w:cs="Times New Roman"/>
        <w:sz w:val="18"/>
        <w:szCs w:val="18"/>
      </w:rPr>
    </w:pPr>
    <w:r>
      <w:rPr>
        <w:rFonts w:cs="Times New Roman"/>
        <w:szCs w:val="20"/>
      </w:rPr>
      <w:t xml:space="preserve">Department of </w:t>
    </w:r>
    <w:r w:rsidR="00B4241A">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4B7ABE">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4B7ABE">
          <w:rPr>
            <w:bCs/>
            <w:noProof/>
            <w:sz w:val="18"/>
            <w:szCs w:val="18"/>
          </w:rPr>
          <w:t>4</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B4241A">
      <w:rPr>
        <w:sz w:val="18"/>
        <w:szCs w:val="18"/>
      </w:rPr>
      <w:t>28/07/2011</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B4241A">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4B7ABE">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4B7ABE">
          <w:rPr>
            <w:bCs/>
            <w:noProof/>
            <w:sz w:val="18"/>
            <w:szCs w:val="18"/>
          </w:rPr>
          <w:t>4</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B6" w:rsidRDefault="00B67CB6" w:rsidP="00293A72">
      <w:r>
        <w:separator/>
      </w:r>
    </w:p>
  </w:footnote>
  <w:footnote w:type="continuationSeparator" w:id="0">
    <w:p w:rsidR="00B67CB6" w:rsidRDefault="00B67CB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4B7ABE" w:rsidP="00C62099">
    <w:pPr>
      <w:pStyle w:val="Header"/>
      <w:tabs>
        <w:tab w:val="clear" w:pos="4513"/>
        <w:tab w:val="clear" w:pos="9026"/>
      </w:tabs>
      <w:ind w:right="-285"/>
    </w:pPr>
    <w:fldSimple w:instr=" TITLE  &quot;Requirements for survey and manning exempt fishing vessels Class 3C and 3B less than 6.2 metres in length and operating within 5 nautical miles of a mother vessel which is operating beyond 5 nautical miles of the coast&quot;  \* MERGEFORMAT ">
      <w:r>
        <w:t>Requirements for survey and manning exempt fishing vessels Class 3C and 3B less than 6.2 metres in length and operating within 5 nautical miles of a mother vessel which is operating beyond 5 nautical miles of the coast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B6"/>
    <w:rsid w:val="00027DB8"/>
    <w:rsid w:val="00051F45"/>
    <w:rsid w:val="0007259C"/>
    <w:rsid w:val="00086A5F"/>
    <w:rsid w:val="000D4376"/>
    <w:rsid w:val="00117743"/>
    <w:rsid w:val="00117F5B"/>
    <w:rsid w:val="00164A3E"/>
    <w:rsid w:val="001A2B7F"/>
    <w:rsid w:val="001B2B6C"/>
    <w:rsid w:val="00247343"/>
    <w:rsid w:val="00274D4B"/>
    <w:rsid w:val="00293A72"/>
    <w:rsid w:val="002A30C3"/>
    <w:rsid w:val="002D3A57"/>
    <w:rsid w:val="002F2885"/>
    <w:rsid w:val="00342283"/>
    <w:rsid w:val="003504FD"/>
    <w:rsid w:val="00350881"/>
    <w:rsid w:val="00357D55"/>
    <w:rsid w:val="00371DC7"/>
    <w:rsid w:val="00394AAF"/>
    <w:rsid w:val="003D42C0"/>
    <w:rsid w:val="0040222A"/>
    <w:rsid w:val="004047BC"/>
    <w:rsid w:val="00416EB1"/>
    <w:rsid w:val="00426E25"/>
    <w:rsid w:val="0045420A"/>
    <w:rsid w:val="004A2538"/>
    <w:rsid w:val="004B0C15"/>
    <w:rsid w:val="004B7ABE"/>
    <w:rsid w:val="004D075F"/>
    <w:rsid w:val="004E019E"/>
    <w:rsid w:val="00502FB3"/>
    <w:rsid w:val="00507782"/>
    <w:rsid w:val="00512A04"/>
    <w:rsid w:val="005654B8"/>
    <w:rsid w:val="005762CC"/>
    <w:rsid w:val="005A4AC0"/>
    <w:rsid w:val="005B0FB7"/>
    <w:rsid w:val="005B5AC2"/>
    <w:rsid w:val="005E144D"/>
    <w:rsid w:val="00650F5B"/>
    <w:rsid w:val="006719EA"/>
    <w:rsid w:val="00722DDB"/>
    <w:rsid w:val="007408F5"/>
    <w:rsid w:val="00783A57"/>
    <w:rsid w:val="007B03F5"/>
    <w:rsid w:val="00803A70"/>
    <w:rsid w:val="008313C4"/>
    <w:rsid w:val="00861DC3"/>
    <w:rsid w:val="00885E9B"/>
    <w:rsid w:val="009616DF"/>
    <w:rsid w:val="00977919"/>
    <w:rsid w:val="009832B8"/>
    <w:rsid w:val="009B1913"/>
    <w:rsid w:val="009B6657"/>
    <w:rsid w:val="009E175D"/>
    <w:rsid w:val="00A10655"/>
    <w:rsid w:val="00A25193"/>
    <w:rsid w:val="00A3739D"/>
    <w:rsid w:val="00A37DDA"/>
    <w:rsid w:val="00A925EC"/>
    <w:rsid w:val="00B12A0D"/>
    <w:rsid w:val="00B14CD6"/>
    <w:rsid w:val="00B20E8B"/>
    <w:rsid w:val="00B343CC"/>
    <w:rsid w:val="00B4241A"/>
    <w:rsid w:val="00B614F7"/>
    <w:rsid w:val="00B61B26"/>
    <w:rsid w:val="00B67CB6"/>
    <w:rsid w:val="00B96513"/>
    <w:rsid w:val="00BB6464"/>
    <w:rsid w:val="00BC1BB8"/>
    <w:rsid w:val="00BF2ABB"/>
    <w:rsid w:val="00C61AFA"/>
    <w:rsid w:val="00C62099"/>
    <w:rsid w:val="00C75E81"/>
    <w:rsid w:val="00D71D84"/>
    <w:rsid w:val="00D975C0"/>
    <w:rsid w:val="00DC5DD9"/>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B6"/>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B67CB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B67CB6"/>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B67CB6"/>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qFormat/>
    <w:rsid w:val="00B67CB6"/>
    <w:pPr>
      <w:spacing w:before="240" w:after="60"/>
      <w:outlineLvl w:val="4"/>
    </w:pPr>
    <w:rPr>
      <w:b/>
      <w:bCs/>
      <w:i/>
      <w:iCs/>
      <w:sz w:val="26"/>
      <w:szCs w:val="26"/>
    </w:rPr>
  </w:style>
  <w:style w:type="paragraph" w:styleId="Heading6">
    <w:name w:val="heading 6"/>
    <w:basedOn w:val="Normal"/>
    <w:next w:val="Normal"/>
    <w:link w:val="Heading6Char"/>
    <w:qFormat/>
    <w:rsid w:val="00B67CB6"/>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67C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B67CB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B67CB6"/>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67CB6"/>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67CB6"/>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character" w:customStyle="1" w:styleId="Heading5Char">
    <w:name w:val="Heading 5 Char"/>
    <w:basedOn w:val="DefaultParagraphFont"/>
    <w:link w:val="Heading5"/>
    <w:rsid w:val="00B67CB6"/>
    <w:rPr>
      <w:rFonts w:ascii="Arial" w:eastAsia="Times New Roman" w:hAnsi="Arial"/>
      <w:b/>
      <w:bCs/>
      <w:i/>
      <w:iCs/>
      <w:color w:val="00505C"/>
      <w:sz w:val="26"/>
      <w:szCs w:val="26"/>
      <w:lang w:eastAsia="en-AU"/>
    </w:rPr>
  </w:style>
  <w:style w:type="character" w:customStyle="1" w:styleId="Heading6Char">
    <w:name w:val="Heading 6 Char"/>
    <w:basedOn w:val="DefaultParagraphFont"/>
    <w:link w:val="Heading6"/>
    <w:rsid w:val="00B67CB6"/>
    <w:rPr>
      <w:rFonts w:eastAsia="Times New Roman"/>
      <w:b/>
      <w:bCs/>
      <w:color w:val="00505C"/>
      <w:sz w:val="22"/>
      <w:szCs w:val="22"/>
      <w:lang w:eastAsia="en-AU"/>
    </w:rPr>
  </w:style>
  <w:style w:type="character" w:customStyle="1" w:styleId="Heading7Char">
    <w:name w:val="Heading 7 Char"/>
    <w:basedOn w:val="DefaultParagraphFont"/>
    <w:link w:val="Heading7"/>
    <w:rsid w:val="00B67CB6"/>
    <w:rPr>
      <w:rFonts w:eastAsia="Times New Roman"/>
      <w:color w:val="00505C"/>
      <w:sz w:val="24"/>
      <w:szCs w:val="24"/>
      <w:lang w:eastAsia="en-AU"/>
    </w:rPr>
  </w:style>
  <w:style w:type="character" w:customStyle="1" w:styleId="Heading8Char">
    <w:name w:val="Heading 8 Char"/>
    <w:basedOn w:val="DefaultParagraphFont"/>
    <w:link w:val="Heading8"/>
    <w:rsid w:val="00B67CB6"/>
    <w:rPr>
      <w:rFonts w:eastAsia="Times New Roman"/>
      <w:i/>
      <w:iCs/>
      <w:color w:val="00505C"/>
      <w:sz w:val="24"/>
      <w:szCs w:val="24"/>
      <w:lang w:eastAsia="en-AU"/>
    </w:rPr>
  </w:style>
  <w:style w:type="paragraph" w:styleId="NormalIndent">
    <w:name w:val="Normal Indent"/>
    <w:basedOn w:val="Normal"/>
    <w:rsid w:val="00B67CB6"/>
    <w:pPr>
      <w:ind w:left="720"/>
    </w:pPr>
  </w:style>
  <w:style w:type="paragraph" w:customStyle="1" w:styleId="Style0ptBefore0ptAfter0ptLinespacingsingle">
    <w:name w:val="Style 0 pt Before:  0 pt After:  0 pt Line spacing:  single"/>
    <w:basedOn w:val="Normal"/>
    <w:rsid w:val="00B67CB6"/>
    <w:pPr>
      <w:spacing w:after="0"/>
    </w:pPr>
    <w:rPr>
      <w:color w:val="000000"/>
      <w:sz w:val="24"/>
      <w:szCs w:val="20"/>
    </w:rPr>
  </w:style>
  <w:style w:type="character" w:styleId="Hyperlink">
    <w:name w:val="Hyperlink"/>
    <w:basedOn w:val="DefaultParagraphFont"/>
    <w:rsid w:val="00B67CB6"/>
    <w:rPr>
      <w:color w:val="0000FF"/>
      <w:u w:val="single"/>
    </w:rPr>
  </w:style>
  <w:style w:type="paragraph" w:styleId="BodyText3">
    <w:name w:val="Body Text 3"/>
    <w:basedOn w:val="Normal"/>
    <w:link w:val="BodyText3Char"/>
    <w:rsid w:val="00B67CB6"/>
    <w:pPr>
      <w:tabs>
        <w:tab w:val="left" w:pos="-720"/>
      </w:tabs>
      <w:suppressAutoHyphens/>
      <w:spacing w:after="0"/>
      <w:jc w:val="both"/>
    </w:pPr>
    <w:rPr>
      <w:rFonts w:ascii="Times New Roman" w:hAnsi="Times New Roman"/>
      <w:i/>
      <w:spacing w:val="-2"/>
      <w:sz w:val="24"/>
      <w:szCs w:val="20"/>
    </w:rPr>
  </w:style>
  <w:style w:type="character" w:customStyle="1" w:styleId="BodyText3Char">
    <w:name w:val="Body Text 3 Char"/>
    <w:basedOn w:val="DefaultParagraphFont"/>
    <w:link w:val="BodyText3"/>
    <w:rsid w:val="00B67CB6"/>
    <w:rPr>
      <w:rFonts w:eastAsia="Times New Roman"/>
      <w:i/>
      <w:spacing w:val="-2"/>
      <w:sz w:val="24"/>
      <w:lang w:eastAsia="en-AU"/>
    </w:rPr>
  </w:style>
  <w:style w:type="paragraph" w:styleId="BodyTextIndent">
    <w:name w:val="Body Text Indent"/>
    <w:basedOn w:val="Normal"/>
    <w:link w:val="BodyTextIndentChar"/>
    <w:rsid w:val="00B67CB6"/>
    <w:pPr>
      <w:widowControl w:val="0"/>
      <w:tabs>
        <w:tab w:val="left" w:pos="-720"/>
        <w:tab w:val="left" w:pos="0"/>
      </w:tabs>
      <w:suppressAutoHyphens/>
      <w:spacing w:after="0"/>
      <w:ind w:left="720" w:hanging="720"/>
    </w:pPr>
    <w:rPr>
      <w:rFonts w:ascii="Bookman" w:hAnsi="Bookman"/>
      <w:spacing w:val="-2"/>
      <w:sz w:val="18"/>
      <w:szCs w:val="20"/>
    </w:rPr>
  </w:style>
  <w:style w:type="character" w:customStyle="1" w:styleId="BodyTextIndentChar">
    <w:name w:val="Body Text Indent Char"/>
    <w:basedOn w:val="DefaultParagraphFont"/>
    <w:link w:val="BodyTextIndent"/>
    <w:rsid w:val="00B67CB6"/>
    <w:rPr>
      <w:rFonts w:ascii="Bookman" w:eastAsia="Times New Roman" w:hAnsi="Bookman"/>
      <w:spacing w:val="-2"/>
      <w:sz w:val="18"/>
      <w:lang w:eastAsia="en-AU"/>
    </w:rPr>
  </w:style>
  <w:style w:type="paragraph" w:styleId="BodyText">
    <w:name w:val="Body Text"/>
    <w:basedOn w:val="Normal"/>
    <w:link w:val="BodyTextChar"/>
    <w:rsid w:val="00B67CB6"/>
    <w:pPr>
      <w:widowControl w:val="0"/>
      <w:tabs>
        <w:tab w:val="left" w:pos="-720"/>
      </w:tabs>
      <w:suppressAutoHyphens/>
      <w:spacing w:after="0"/>
      <w:jc w:val="both"/>
    </w:pPr>
    <w:rPr>
      <w:rFonts w:ascii="Bookman" w:hAnsi="Bookman"/>
      <w:b/>
      <w:i/>
      <w:spacing w:val="-2"/>
      <w:sz w:val="24"/>
      <w:szCs w:val="20"/>
    </w:rPr>
  </w:style>
  <w:style w:type="character" w:customStyle="1" w:styleId="BodyTextChar">
    <w:name w:val="Body Text Char"/>
    <w:basedOn w:val="DefaultParagraphFont"/>
    <w:link w:val="BodyText"/>
    <w:rsid w:val="00B67CB6"/>
    <w:rPr>
      <w:rFonts w:ascii="Bookman" w:eastAsia="Times New Roman" w:hAnsi="Bookman"/>
      <w:b/>
      <w:i/>
      <w:spacing w:val="-2"/>
      <w:sz w:val="24"/>
      <w:lang w:eastAsia="en-AU"/>
    </w:rPr>
  </w:style>
  <w:style w:type="paragraph" w:styleId="TOAHeading">
    <w:name w:val="toa heading"/>
    <w:basedOn w:val="Normal"/>
    <w:next w:val="Normal"/>
    <w:semiHidden/>
    <w:rsid w:val="00B67CB6"/>
    <w:pPr>
      <w:widowControl w:val="0"/>
      <w:tabs>
        <w:tab w:val="right" w:pos="9360"/>
      </w:tabs>
      <w:suppressAutoHyphens/>
      <w:spacing w:after="0"/>
    </w:pPr>
    <w:rPr>
      <w:rFonts w:ascii="Courier New" w:hAnsi="Courier New"/>
      <w:sz w:val="20"/>
      <w:szCs w:val="20"/>
      <w:lang w:val="en-US"/>
    </w:rPr>
  </w:style>
  <w:style w:type="paragraph" w:styleId="Caption">
    <w:name w:val="caption"/>
    <w:basedOn w:val="Normal"/>
    <w:next w:val="Normal"/>
    <w:qFormat/>
    <w:rsid w:val="00B67CB6"/>
    <w:pPr>
      <w:spacing w:after="0"/>
    </w:pPr>
    <w:rPr>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B6"/>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B67CB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B67CB6"/>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B67CB6"/>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qFormat/>
    <w:rsid w:val="00B67CB6"/>
    <w:pPr>
      <w:spacing w:before="240" w:after="60"/>
      <w:outlineLvl w:val="4"/>
    </w:pPr>
    <w:rPr>
      <w:b/>
      <w:bCs/>
      <w:i/>
      <w:iCs/>
      <w:sz w:val="26"/>
      <w:szCs w:val="26"/>
    </w:rPr>
  </w:style>
  <w:style w:type="paragraph" w:styleId="Heading6">
    <w:name w:val="heading 6"/>
    <w:basedOn w:val="Normal"/>
    <w:next w:val="Normal"/>
    <w:link w:val="Heading6Char"/>
    <w:qFormat/>
    <w:rsid w:val="00B67CB6"/>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67C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B67CB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B67CB6"/>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67CB6"/>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67CB6"/>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character" w:customStyle="1" w:styleId="Heading5Char">
    <w:name w:val="Heading 5 Char"/>
    <w:basedOn w:val="DefaultParagraphFont"/>
    <w:link w:val="Heading5"/>
    <w:rsid w:val="00B67CB6"/>
    <w:rPr>
      <w:rFonts w:ascii="Arial" w:eastAsia="Times New Roman" w:hAnsi="Arial"/>
      <w:b/>
      <w:bCs/>
      <w:i/>
      <w:iCs/>
      <w:color w:val="00505C"/>
      <w:sz w:val="26"/>
      <w:szCs w:val="26"/>
      <w:lang w:eastAsia="en-AU"/>
    </w:rPr>
  </w:style>
  <w:style w:type="character" w:customStyle="1" w:styleId="Heading6Char">
    <w:name w:val="Heading 6 Char"/>
    <w:basedOn w:val="DefaultParagraphFont"/>
    <w:link w:val="Heading6"/>
    <w:rsid w:val="00B67CB6"/>
    <w:rPr>
      <w:rFonts w:eastAsia="Times New Roman"/>
      <w:b/>
      <w:bCs/>
      <w:color w:val="00505C"/>
      <w:sz w:val="22"/>
      <w:szCs w:val="22"/>
      <w:lang w:eastAsia="en-AU"/>
    </w:rPr>
  </w:style>
  <w:style w:type="character" w:customStyle="1" w:styleId="Heading7Char">
    <w:name w:val="Heading 7 Char"/>
    <w:basedOn w:val="DefaultParagraphFont"/>
    <w:link w:val="Heading7"/>
    <w:rsid w:val="00B67CB6"/>
    <w:rPr>
      <w:rFonts w:eastAsia="Times New Roman"/>
      <w:color w:val="00505C"/>
      <w:sz w:val="24"/>
      <w:szCs w:val="24"/>
      <w:lang w:eastAsia="en-AU"/>
    </w:rPr>
  </w:style>
  <w:style w:type="character" w:customStyle="1" w:styleId="Heading8Char">
    <w:name w:val="Heading 8 Char"/>
    <w:basedOn w:val="DefaultParagraphFont"/>
    <w:link w:val="Heading8"/>
    <w:rsid w:val="00B67CB6"/>
    <w:rPr>
      <w:rFonts w:eastAsia="Times New Roman"/>
      <w:i/>
      <w:iCs/>
      <w:color w:val="00505C"/>
      <w:sz w:val="24"/>
      <w:szCs w:val="24"/>
      <w:lang w:eastAsia="en-AU"/>
    </w:rPr>
  </w:style>
  <w:style w:type="paragraph" w:styleId="NormalIndent">
    <w:name w:val="Normal Indent"/>
    <w:basedOn w:val="Normal"/>
    <w:rsid w:val="00B67CB6"/>
    <w:pPr>
      <w:ind w:left="720"/>
    </w:pPr>
  </w:style>
  <w:style w:type="paragraph" w:customStyle="1" w:styleId="Style0ptBefore0ptAfter0ptLinespacingsingle">
    <w:name w:val="Style 0 pt Before:  0 pt After:  0 pt Line spacing:  single"/>
    <w:basedOn w:val="Normal"/>
    <w:rsid w:val="00B67CB6"/>
    <w:pPr>
      <w:spacing w:after="0"/>
    </w:pPr>
    <w:rPr>
      <w:color w:val="000000"/>
      <w:sz w:val="24"/>
      <w:szCs w:val="20"/>
    </w:rPr>
  </w:style>
  <w:style w:type="character" w:styleId="Hyperlink">
    <w:name w:val="Hyperlink"/>
    <w:basedOn w:val="DefaultParagraphFont"/>
    <w:rsid w:val="00B67CB6"/>
    <w:rPr>
      <w:color w:val="0000FF"/>
      <w:u w:val="single"/>
    </w:rPr>
  </w:style>
  <w:style w:type="paragraph" w:styleId="BodyText3">
    <w:name w:val="Body Text 3"/>
    <w:basedOn w:val="Normal"/>
    <w:link w:val="BodyText3Char"/>
    <w:rsid w:val="00B67CB6"/>
    <w:pPr>
      <w:tabs>
        <w:tab w:val="left" w:pos="-720"/>
      </w:tabs>
      <w:suppressAutoHyphens/>
      <w:spacing w:after="0"/>
      <w:jc w:val="both"/>
    </w:pPr>
    <w:rPr>
      <w:rFonts w:ascii="Times New Roman" w:hAnsi="Times New Roman"/>
      <w:i/>
      <w:spacing w:val="-2"/>
      <w:sz w:val="24"/>
      <w:szCs w:val="20"/>
    </w:rPr>
  </w:style>
  <w:style w:type="character" w:customStyle="1" w:styleId="BodyText3Char">
    <w:name w:val="Body Text 3 Char"/>
    <w:basedOn w:val="DefaultParagraphFont"/>
    <w:link w:val="BodyText3"/>
    <w:rsid w:val="00B67CB6"/>
    <w:rPr>
      <w:rFonts w:eastAsia="Times New Roman"/>
      <w:i/>
      <w:spacing w:val="-2"/>
      <w:sz w:val="24"/>
      <w:lang w:eastAsia="en-AU"/>
    </w:rPr>
  </w:style>
  <w:style w:type="paragraph" w:styleId="BodyTextIndent">
    <w:name w:val="Body Text Indent"/>
    <w:basedOn w:val="Normal"/>
    <w:link w:val="BodyTextIndentChar"/>
    <w:rsid w:val="00B67CB6"/>
    <w:pPr>
      <w:widowControl w:val="0"/>
      <w:tabs>
        <w:tab w:val="left" w:pos="-720"/>
        <w:tab w:val="left" w:pos="0"/>
      </w:tabs>
      <w:suppressAutoHyphens/>
      <w:spacing w:after="0"/>
      <w:ind w:left="720" w:hanging="720"/>
    </w:pPr>
    <w:rPr>
      <w:rFonts w:ascii="Bookman" w:hAnsi="Bookman"/>
      <w:spacing w:val="-2"/>
      <w:sz w:val="18"/>
      <w:szCs w:val="20"/>
    </w:rPr>
  </w:style>
  <w:style w:type="character" w:customStyle="1" w:styleId="BodyTextIndentChar">
    <w:name w:val="Body Text Indent Char"/>
    <w:basedOn w:val="DefaultParagraphFont"/>
    <w:link w:val="BodyTextIndent"/>
    <w:rsid w:val="00B67CB6"/>
    <w:rPr>
      <w:rFonts w:ascii="Bookman" w:eastAsia="Times New Roman" w:hAnsi="Bookman"/>
      <w:spacing w:val="-2"/>
      <w:sz w:val="18"/>
      <w:lang w:eastAsia="en-AU"/>
    </w:rPr>
  </w:style>
  <w:style w:type="paragraph" w:styleId="BodyText">
    <w:name w:val="Body Text"/>
    <w:basedOn w:val="Normal"/>
    <w:link w:val="BodyTextChar"/>
    <w:rsid w:val="00B67CB6"/>
    <w:pPr>
      <w:widowControl w:val="0"/>
      <w:tabs>
        <w:tab w:val="left" w:pos="-720"/>
      </w:tabs>
      <w:suppressAutoHyphens/>
      <w:spacing w:after="0"/>
      <w:jc w:val="both"/>
    </w:pPr>
    <w:rPr>
      <w:rFonts w:ascii="Bookman" w:hAnsi="Bookman"/>
      <w:b/>
      <w:i/>
      <w:spacing w:val="-2"/>
      <w:sz w:val="24"/>
      <w:szCs w:val="20"/>
    </w:rPr>
  </w:style>
  <w:style w:type="character" w:customStyle="1" w:styleId="BodyTextChar">
    <w:name w:val="Body Text Char"/>
    <w:basedOn w:val="DefaultParagraphFont"/>
    <w:link w:val="BodyText"/>
    <w:rsid w:val="00B67CB6"/>
    <w:rPr>
      <w:rFonts w:ascii="Bookman" w:eastAsia="Times New Roman" w:hAnsi="Bookman"/>
      <w:b/>
      <w:i/>
      <w:spacing w:val="-2"/>
      <w:sz w:val="24"/>
      <w:lang w:eastAsia="en-AU"/>
    </w:rPr>
  </w:style>
  <w:style w:type="paragraph" w:styleId="TOAHeading">
    <w:name w:val="toa heading"/>
    <w:basedOn w:val="Normal"/>
    <w:next w:val="Normal"/>
    <w:semiHidden/>
    <w:rsid w:val="00B67CB6"/>
    <w:pPr>
      <w:widowControl w:val="0"/>
      <w:tabs>
        <w:tab w:val="right" w:pos="9360"/>
      </w:tabs>
      <w:suppressAutoHyphens/>
      <w:spacing w:after="0"/>
    </w:pPr>
    <w:rPr>
      <w:rFonts w:ascii="Courier New" w:hAnsi="Courier New"/>
      <w:sz w:val="20"/>
      <w:szCs w:val="20"/>
      <w:lang w:val="en-US"/>
    </w:rPr>
  </w:style>
  <w:style w:type="paragraph" w:styleId="Caption">
    <w:name w:val="caption"/>
    <w:basedOn w:val="Normal"/>
    <w:next w:val="Normal"/>
    <w:qFormat/>
    <w:rsid w:val="00B67CB6"/>
    <w:pPr>
      <w:spacing w:after="0"/>
    </w:pPr>
    <w:rPr>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42C1-781E-49D3-A8B3-BFAFC5D1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21</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 Name]</vt:lpstr>
    </vt:vector>
  </TitlesOfParts>
  <Company>Northern Territory Government</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survey and manning exempt fishing vessels Class 3C and 3B less than 6.2 metres in length and operating within 5 nautical miles of a mother vessel which is operating beyond 5 nautical miles of the coast</dc:title>
  <dc:subject/>
  <dc:creator>Northern Territory Government</dc:creator>
  <cp:keywords/>
  <cp:lastModifiedBy>Jiraporn Homngam</cp:lastModifiedBy>
  <cp:revision>5</cp:revision>
  <dcterms:created xsi:type="dcterms:W3CDTF">2015-03-10T05:53:00Z</dcterms:created>
  <dcterms:modified xsi:type="dcterms:W3CDTF">2015-04-08T06:18:00Z</dcterms:modified>
</cp:coreProperties>
</file>