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6C" w:rsidRDefault="001E2F6C" w:rsidP="001E2F6C">
      <w:pPr>
        <w:ind w:right="209"/>
        <w:rPr>
          <w:rFonts w:eastAsia="Arial" w:cs="Arial"/>
        </w:rPr>
      </w:pPr>
      <w:r>
        <w:rPr>
          <w:rFonts w:eastAsia="Arial" w:cs="Arial"/>
        </w:rPr>
        <w:t>It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policy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NTGS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ensure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th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t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max</w:t>
      </w:r>
      <w:r>
        <w:rPr>
          <w:rFonts w:eastAsia="Arial" w:cs="Arial"/>
          <w:spacing w:val="2"/>
        </w:rPr>
        <w:t>i</w:t>
      </w:r>
      <w:r>
        <w:rPr>
          <w:rFonts w:eastAsia="Arial" w:cs="Arial"/>
        </w:rPr>
        <w:t>m</w:t>
      </w:r>
      <w:r>
        <w:rPr>
          <w:rFonts w:eastAsia="Arial" w:cs="Arial"/>
          <w:spacing w:val="1"/>
        </w:rPr>
        <w:t>u</w:t>
      </w:r>
      <w:r>
        <w:rPr>
          <w:rFonts w:eastAsia="Arial" w:cs="Arial"/>
        </w:rPr>
        <w:t>m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benefit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for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</w:t>
      </w:r>
      <w:r>
        <w:rPr>
          <w:rFonts w:eastAsia="Arial" w:cs="Arial"/>
          <w:spacing w:val="-1"/>
        </w:rPr>
        <w:t>h</w:t>
      </w:r>
      <w:r>
        <w:rPr>
          <w:rFonts w:eastAsia="Arial" w:cs="Arial"/>
        </w:rPr>
        <w:t>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NT’s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exploration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indus</w:t>
      </w:r>
      <w:r>
        <w:rPr>
          <w:rFonts w:eastAsia="Arial" w:cs="Arial"/>
          <w:spacing w:val="-1"/>
        </w:rPr>
        <w:t>t</w:t>
      </w:r>
      <w:r>
        <w:rPr>
          <w:rFonts w:eastAsia="Arial" w:cs="Arial"/>
        </w:rPr>
        <w:t>ry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is obtained</w:t>
      </w:r>
      <w:r>
        <w:rPr>
          <w:rFonts w:eastAsia="Arial" w:cs="Arial"/>
          <w:spacing w:val="-8"/>
        </w:rPr>
        <w:t xml:space="preserve"> by the acquisition and provision of access to core and cuttings from explorers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that</w:t>
      </w:r>
      <w:r>
        <w:rPr>
          <w:rFonts w:eastAsia="Arial" w:cs="Arial"/>
          <w:spacing w:val="-4"/>
        </w:rPr>
        <w:t xml:space="preserve"> the </w:t>
      </w:r>
      <w:r>
        <w:rPr>
          <w:rFonts w:eastAsia="Arial" w:cs="Arial"/>
        </w:rPr>
        <w:t>finite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>esources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held by the department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are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managed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appropriately.</w:t>
      </w:r>
    </w:p>
    <w:p w:rsidR="001E2F6C" w:rsidRPr="00DE685B" w:rsidRDefault="001E2F6C" w:rsidP="001E2F6C">
      <w:pPr>
        <w:ind w:right="62"/>
        <w:rPr>
          <w:rFonts w:eastAsia="Arial" w:cs="Arial"/>
        </w:rPr>
      </w:pPr>
      <w:r>
        <w:rPr>
          <w:rFonts w:eastAsia="Arial" w:cs="Arial"/>
        </w:rPr>
        <w:t>Sampling</w:t>
      </w:r>
      <w:r>
        <w:rPr>
          <w:rFonts w:eastAsia="Arial" w:cs="Arial"/>
          <w:spacing w:val="-9"/>
        </w:rPr>
        <w:t xml:space="preserve"> of core and cuttings held by the department </w:t>
      </w:r>
      <w:r>
        <w:rPr>
          <w:rFonts w:eastAsia="Arial" w:cs="Arial"/>
        </w:rPr>
        <w:t>will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only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rmitted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no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similar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has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n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recently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completed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there 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suff</w:t>
      </w:r>
      <w:r>
        <w:rPr>
          <w:rFonts w:eastAsia="Arial" w:cs="Arial"/>
          <w:spacing w:val="-1"/>
        </w:rPr>
        <w:t>i</w:t>
      </w:r>
      <w:r>
        <w:rPr>
          <w:rFonts w:eastAsia="Arial" w:cs="Arial"/>
        </w:rPr>
        <w:t>cient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sample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 xml:space="preserve">availability. </w:t>
      </w:r>
      <w:r w:rsidRPr="00DE685B">
        <w:rPr>
          <w:rFonts w:eastAsia="Arial" w:cs="Arial"/>
        </w:rPr>
        <w:t xml:space="preserve">No destructive sampling will be permitted on core where there is less than a quarter of the original remaining. </w:t>
      </w:r>
    </w:p>
    <w:p w:rsidR="001E2F6C" w:rsidRPr="00AF5E8C" w:rsidRDefault="001E2F6C" w:rsidP="001E2F6C">
      <w:pPr>
        <w:pStyle w:val="Heading3"/>
        <w:spacing w:before="200" w:after="120"/>
        <w:rPr>
          <w:rFonts w:eastAsia="Arial"/>
        </w:rPr>
      </w:pPr>
      <w:r w:rsidRPr="00AF5E8C">
        <w:rPr>
          <w:rFonts w:eastAsia="Arial"/>
        </w:rPr>
        <w:t>Conditions of sampling</w:t>
      </w:r>
    </w:p>
    <w:p w:rsidR="001E2F6C" w:rsidRDefault="001E2F6C" w:rsidP="001E2F6C">
      <w:pPr>
        <w:ind w:right="158"/>
        <w:rPr>
          <w:rFonts w:eastAsia="Arial" w:cs="Arial"/>
        </w:rPr>
      </w:pPr>
      <w:r>
        <w:rPr>
          <w:rFonts w:eastAsia="Arial" w:cs="Arial"/>
        </w:rPr>
        <w:t>As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condition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access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explorers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researchers</w:t>
      </w:r>
      <w:r>
        <w:rPr>
          <w:rFonts w:eastAsia="Arial" w:cs="Arial"/>
          <w:spacing w:val="-12"/>
        </w:rPr>
        <w:t xml:space="preserve"> </w:t>
      </w:r>
      <w:r>
        <w:rPr>
          <w:rFonts w:eastAsia="Arial" w:cs="Arial"/>
        </w:rPr>
        <w:t>are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re</w:t>
      </w:r>
      <w:r>
        <w:rPr>
          <w:rFonts w:eastAsia="Arial" w:cs="Arial"/>
          <w:spacing w:val="-1"/>
        </w:rPr>
        <w:t>q</w:t>
      </w:r>
      <w:r>
        <w:rPr>
          <w:rFonts w:eastAsia="Arial" w:cs="Arial"/>
        </w:rPr>
        <w:t>uired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su</w:t>
      </w:r>
      <w:r>
        <w:rPr>
          <w:rFonts w:eastAsia="Arial" w:cs="Arial"/>
          <w:spacing w:val="-1"/>
        </w:rPr>
        <w:t>bm</w:t>
      </w:r>
      <w:r>
        <w:rPr>
          <w:rFonts w:eastAsia="Arial" w:cs="Arial"/>
        </w:rPr>
        <w:t>it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copy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their raw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data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reports, including details of the methodology,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return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unused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material within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six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months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mpling.</w:t>
      </w:r>
    </w:p>
    <w:p w:rsidR="001E2F6C" w:rsidRDefault="001E2F6C" w:rsidP="001E2F6C">
      <w:pPr>
        <w:ind w:right="402"/>
        <w:rPr>
          <w:rFonts w:eastAsia="Arial" w:cs="Arial"/>
        </w:rPr>
      </w:pPr>
      <w:r>
        <w:rPr>
          <w:rFonts w:eastAsia="Arial" w:cs="Arial"/>
        </w:rPr>
        <w:t>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sampling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not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completed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within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6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months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then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preliminary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results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the 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co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ducted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must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submi</w:t>
      </w:r>
      <w:r>
        <w:rPr>
          <w:rFonts w:eastAsia="Arial" w:cs="Arial"/>
          <w:spacing w:val="-1"/>
        </w:rPr>
        <w:t>t</w:t>
      </w:r>
      <w:r>
        <w:rPr>
          <w:rFonts w:eastAsia="Arial" w:cs="Arial"/>
        </w:rPr>
        <w:t>ted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or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mple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on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loan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must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returned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 core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store.</w:t>
      </w:r>
    </w:p>
    <w:p w:rsidR="001E2F6C" w:rsidRDefault="001E2F6C" w:rsidP="001E2F6C">
      <w:pPr>
        <w:ind w:right="366"/>
        <w:rPr>
          <w:rFonts w:eastAsia="Arial" w:cs="Arial"/>
        </w:rPr>
      </w:pPr>
      <w:r>
        <w:rPr>
          <w:rFonts w:eastAsia="Arial" w:cs="Arial"/>
        </w:rPr>
        <w:t>Extensions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on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submiss</w:t>
      </w:r>
      <w:r>
        <w:rPr>
          <w:rFonts w:eastAsia="Arial" w:cs="Arial"/>
          <w:spacing w:val="-1"/>
        </w:rPr>
        <w:t>i</w:t>
      </w:r>
      <w:r>
        <w:rPr>
          <w:rFonts w:eastAsia="Arial" w:cs="Arial"/>
        </w:rPr>
        <w:t>on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data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nd/or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return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unused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samples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will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only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granted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if proof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of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comm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ncement</w:t>
      </w:r>
      <w:r>
        <w:rPr>
          <w:rFonts w:eastAsia="Arial" w:cs="Arial"/>
          <w:spacing w:val="-16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preliminary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data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1"/>
        </w:rPr>
        <w:t>u</w:t>
      </w:r>
      <w:r>
        <w:rPr>
          <w:rFonts w:eastAsia="Arial" w:cs="Arial"/>
        </w:rPr>
        <w:t>pplied.</w:t>
      </w:r>
    </w:p>
    <w:p w:rsidR="001E2F6C" w:rsidRDefault="001E2F6C" w:rsidP="001E2F6C">
      <w:pPr>
        <w:ind w:right="465"/>
        <w:rPr>
          <w:rFonts w:eastAsia="Arial" w:cs="Arial"/>
        </w:rPr>
      </w:pPr>
      <w:r>
        <w:rPr>
          <w:rFonts w:eastAsia="Arial" w:cs="Arial"/>
        </w:rPr>
        <w:t>Further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applications</w:t>
      </w:r>
      <w:r>
        <w:rPr>
          <w:rFonts w:eastAsia="Arial" w:cs="Arial"/>
          <w:spacing w:val="-13"/>
        </w:rPr>
        <w:t xml:space="preserve"> </w:t>
      </w:r>
      <w:r>
        <w:rPr>
          <w:rFonts w:eastAsia="Arial" w:cs="Arial"/>
        </w:rPr>
        <w:t>for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sampling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will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decli</w:t>
      </w:r>
      <w:r>
        <w:rPr>
          <w:rFonts w:eastAsia="Arial" w:cs="Arial"/>
          <w:spacing w:val="-1"/>
        </w:rPr>
        <w:t>ne</w:t>
      </w:r>
      <w:r>
        <w:rPr>
          <w:rFonts w:eastAsia="Arial" w:cs="Arial"/>
        </w:rPr>
        <w:t>d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resul</w:t>
      </w:r>
      <w:r>
        <w:rPr>
          <w:rFonts w:eastAsia="Arial" w:cs="Arial"/>
          <w:spacing w:val="-1"/>
        </w:rPr>
        <w:t>t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1"/>
        </w:rPr>
        <w:t>h</w:t>
      </w:r>
      <w:r>
        <w:rPr>
          <w:rFonts w:eastAsia="Arial" w:cs="Arial"/>
        </w:rPr>
        <w:t>ave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not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been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submitted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</w:rPr>
        <w:t>or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if unused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processed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materials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have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not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been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returned.</w:t>
      </w:r>
    </w:p>
    <w:p w:rsidR="001E2F6C" w:rsidRDefault="001E2F6C" w:rsidP="001E2F6C">
      <w:pPr>
        <w:pStyle w:val="Heading3"/>
        <w:spacing w:before="200" w:after="120"/>
        <w:rPr>
          <w:rFonts w:eastAsia="Arial"/>
        </w:rPr>
      </w:pPr>
      <w:r>
        <w:rPr>
          <w:rFonts w:eastAsia="Arial"/>
        </w:rPr>
        <w:t>Reporting</w:t>
      </w:r>
    </w:p>
    <w:p w:rsidR="001E2F6C" w:rsidRDefault="001E2F6C" w:rsidP="001E2F6C">
      <w:pPr>
        <w:ind w:right="58"/>
        <w:rPr>
          <w:rFonts w:eastAsia="Arial" w:cs="Arial"/>
        </w:rPr>
      </w:pPr>
      <w:r w:rsidRPr="00DE685B">
        <w:rPr>
          <w:rFonts w:eastAsia="Arial" w:cs="Arial"/>
        </w:rPr>
        <w:t xml:space="preserve">Reports </w:t>
      </w:r>
      <w:r w:rsidRPr="00DE685B">
        <w:rPr>
          <w:rFonts w:eastAsia="Arial" w:cs="Arial"/>
          <w:b/>
        </w:rPr>
        <w:t>must</w:t>
      </w:r>
      <w:r w:rsidRPr="00DE685B">
        <w:rPr>
          <w:rFonts w:eastAsia="Arial" w:cs="Arial"/>
        </w:rPr>
        <w:t xml:space="preserve"> include the raw data, sample preparation and analytical methods and should </w:t>
      </w:r>
      <w:r>
        <w:rPr>
          <w:rFonts w:eastAsia="Arial" w:cs="Arial"/>
        </w:rPr>
        <w:t>briefly explain the rationale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for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sampling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and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descri</w:t>
      </w:r>
      <w:r w:rsidRPr="00247574">
        <w:rPr>
          <w:rFonts w:eastAsia="Arial" w:cs="Arial"/>
        </w:rPr>
        <w:t>b</w:t>
      </w:r>
      <w:r>
        <w:rPr>
          <w:rFonts w:eastAsia="Arial" w:cs="Arial"/>
        </w:rPr>
        <w:t>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any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chemical, physical,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g</w:t>
      </w:r>
      <w:r w:rsidRPr="00247574">
        <w:rPr>
          <w:rFonts w:eastAsia="Arial" w:cs="Arial"/>
        </w:rPr>
        <w:t>e</w:t>
      </w:r>
      <w:r>
        <w:rPr>
          <w:rFonts w:eastAsia="Arial" w:cs="Arial"/>
        </w:rPr>
        <w:t>ophysical,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biostratigraphic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or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o</w:t>
      </w:r>
      <w:r w:rsidRPr="00247574">
        <w:rPr>
          <w:rFonts w:eastAsia="Arial" w:cs="Arial"/>
        </w:rPr>
        <w:t>t</w:t>
      </w:r>
      <w:r>
        <w:rPr>
          <w:rFonts w:eastAsia="Arial" w:cs="Arial"/>
        </w:rPr>
        <w:t>her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Pr="00247574">
        <w:rPr>
          <w:rFonts w:eastAsia="Arial" w:cs="Arial"/>
        </w:rPr>
        <w:t>t</w:t>
      </w:r>
      <w:r>
        <w:rPr>
          <w:rFonts w:eastAsia="Arial" w:cs="Arial"/>
        </w:rPr>
        <w:t>udies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done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on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the material.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The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results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of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non-destructive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assaying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(</w:t>
      </w:r>
      <w:r w:rsidRPr="00247574">
        <w:rPr>
          <w:rFonts w:eastAsia="Arial" w:cs="Arial"/>
        </w:rPr>
        <w:t>e</w:t>
      </w:r>
      <w:r>
        <w:rPr>
          <w:rFonts w:eastAsia="Arial" w:cs="Arial"/>
        </w:rPr>
        <w:t>g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Hand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held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XRF)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should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also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be reported.</w:t>
      </w:r>
    </w:p>
    <w:p w:rsidR="001E2F6C" w:rsidRDefault="001E2F6C" w:rsidP="001E2F6C">
      <w:pPr>
        <w:ind w:right="-20"/>
        <w:rPr>
          <w:rFonts w:eastAsia="Arial" w:cs="Arial"/>
        </w:rPr>
      </w:pPr>
      <w:r>
        <w:rPr>
          <w:rFonts w:eastAsia="Arial" w:cs="Arial"/>
        </w:rPr>
        <w:t>Formats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for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submission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of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reports</w:t>
      </w:r>
      <w:r w:rsidRPr="00247574">
        <w:rPr>
          <w:rFonts w:eastAsia="Arial" w:cs="Arial"/>
        </w:rPr>
        <w:t xml:space="preserve"> a</w:t>
      </w:r>
      <w:r>
        <w:rPr>
          <w:rFonts w:eastAsia="Arial" w:cs="Arial"/>
        </w:rPr>
        <w:t>nd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data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sh</w:t>
      </w:r>
      <w:r w:rsidRPr="00247574">
        <w:rPr>
          <w:rFonts w:eastAsia="Arial" w:cs="Arial"/>
        </w:rPr>
        <w:t>o</w:t>
      </w:r>
      <w:r>
        <w:rPr>
          <w:rFonts w:eastAsia="Arial" w:cs="Arial"/>
        </w:rPr>
        <w:t>uld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follow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t</w:t>
      </w:r>
      <w:r w:rsidRPr="00247574">
        <w:rPr>
          <w:rFonts w:eastAsia="Arial" w:cs="Arial"/>
        </w:rPr>
        <w:t>h</w:t>
      </w:r>
      <w:r>
        <w:rPr>
          <w:rFonts w:eastAsia="Arial" w:cs="Arial"/>
        </w:rPr>
        <w:t>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current</w:t>
      </w:r>
      <w:r w:rsidRPr="00247574">
        <w:rPr>
          <w:rFonts w:eastAsia="Arial" w:cs="Arial"/>
        </w:rPr>
        <w:t xml:space="preserve"> </w:t>
      </w:r>
      <w:r w:rsidRPr="00247574">
        <w:rPr>
          <w:rFonts w:eastAsia="Arial" w:cs="Arial"/>
          <w:i/>
        </w:rPr>
        <w:t>Guidelines for Reporting on Mineral Titles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>(Guideli</w:t>
      </w:r>
      <w:r w:rsidRPr="00247574">
        <w:rPr>
          <w:rFonts w:eastAsia="Arial" w:cs="Arial"/>
        </w:rPr>
        <w:t>n</w:t>
      </w:r>
      <w:r>
        <w:rPr>
          <w:rFonts w:eastAsia="Arial" w:cs="Arial"/>
        </w:rPr>
        <w:t>e</w:t>
      </w:r>
      <w:r w:rsidRPr="00247574">
        <w:rPr>
          <w:rFonts w:eastAsia="Arial" w:cs="Arial"/>
        </w:rPr>
        <w:t xml:space="preserve"> </w:t>
      </w:r>
      <w:r>
        <w:rPr>
          <w:rFonts w:eastAsia="Arial" w:cs="Arial"/>
        </w:rPr>
        <w:t xml:space="preserve">7 under the </w:t>
      </w:r>
      <w:r w:rsidRPr="00247574">
        <w:rPr>
          <w:rFonts w:eastAsia="Arial" w:cs="Arial"/>
          <w:i/>
        </w:rPr>
        <w:t>Mineral Titles Act</w:t>
      </w:r>
      <w:r>
        <w:rPr>
          <w:rFonts w:eastAsia="Arial" w:cs="Arial"/>
        </w:rPr>
        <w:t>)</w:t>
      </w:r>
    </w:p>
    <w:p w:rsidR="001E2F6C" w:rsidRPr="00DE685B" w:rsidRDefault="001E2F6C" w:rsidP="001E2F6C">
      <w:pPr>
        <w:ind w:right="-20"/>
        <w:rPr>
          <w:rFonts w:eastAsia="Arial" w:cs="Arial"/>
        </w:rPr>
      </w:pPr>
      <w:r w:rsidRPr="00DE685B">
        <w:rPr>
          <w:rFonts w:eastAsia="Arial" w:cs="Arial"/>
        </w:rPr>
        <w:t>All reports and data must be submitted to the Core Facility Manager within 6 months of sampling.</w:t>
      </w:r>
    </w:p>
    <w:p w:rsidR="001E2F6C" w:rsidRPr="00DE685B" w:rsidRDefault="001E2F6C" w:rsidP="001E2F6C">
      <w:pPr>
        <w:rPr>
          <w:rFonts w:cs="Arial"/>
        </w:rPr>
      </w:pPr>
      <w:r w:rsidRPr="00DE685B">
        <w:rPr>
          <w:rFonts w:cs="Arial"/>
        </w:rPr>
        <w:t>Clients are encouraged to submit copies of their interpreted results, and in particular it is expected that students will submit their thesis to the department library when published. However a report containing the analytical results and basic methodology is still required to be submitted within 6 months of sampling.</w:t>
      </w:r>
    </w:p>
    <w:p w:rsidR="001E2F6C" w:rsidRPr="004846B5" w:rsidRDefault="001E2F6C" w:rsidP="001E2F6C">
      <w:pPr>
        <w:pStyle w:val="Heading3"/>
        <w:spacing w:before="200" w:after="120"/>
        <w:rPr>
          <w:rFonts w:eastAsia="Arial"/>
          <w:u w:val="single"/>
        </w:rPr>
      </w:pPr>
      <w:r w:rsidRPr="004846B5">
        <w:rPr>
          <w:rFonts w:eastAsia="Arial"/>
          <w:u w:val="single"/>
        </w:rPr>
        <w:t>Sampling for inclusion in statutory reporting under legislation</w:t>
      </w:r>
    </w:p>
    <w:p w:rsidR="001E2F6C" w:rsidRDefault="001E2F6C" w:rsidP="001E2F6C">
      <w:pPr>
        <w:ind w:right="319"/>
        <w:rPr>
          <w:rFonts w:eastAsia="Arial" w:cs="Arial"/>
        </w:rPr>
      </w:pPr>
      <w:r>
        <w:rPr>
          <w:rFonts w:eastAsia="Arial" w:cs="Arial"/>
        </w:rPr>
        <w:t>Exploration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companies</w:t>
      </w:r>
      <w:r>
        <w:rPr>
          <w:rFonts w:eastAsia="Arial" w:cs="Arial"/>
          <w:spacing w:val="-12"/>
        </w:rPr>
        <w:t xml:space="preserve"> </w:t>
      </w:r>
      <w:r>
        <w:rPr>
          <w:rFonts w:eastAsia="Arial" w:cs="Arial"/>
        </w:rPr>
        <w:t>may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claim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x</w:t>
      </w:r>
      <w:r>
        <w:rPr>
          <w:rFonts w:eastAsia="Arial" w:cs="Arial"/>
        </w:rPr>
        <w:t>penditure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for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9"/>
        </w:rPr>
        <w:t xml:space="preserve"> </w:t>
      </w:r>
      <w:r>
        <w:rPr>
          <w:rFonts w:eastAsia="Arial" w:cs="Arial"/>
        </w:rPr>
        <w:t>undertaken</w:t>
      </w:r>
      <w:r>
        <w:rPr>
          <w:rFonts w:eastAsia="Arial" w:cs="Arial"/>
          <w:spacing w:val="-12"/>
        </w:rPr>
        <w:t xml:space="preserve"> </w:t>
      </w:r>
      <w:r>
        <w:rPr>
          <w:rFonts w:eastAsia="Arial" w:cs="Arial"/>
        </w:rPr>
        <w:t>on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material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accessed through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NTGS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core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store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that</w:t>
      </w:r>
      <w:r>
        <w:rPr>
          <w:rFonts w:eastAsia="Arial" w:cs="Arial"/>
          <w:spacing w:val="-4"/>
        </w:rPr>
        <w:t xml:space="preserve"> </w:t>
      </w:r>
      <w:r w:rsidRPr="00DE685B">
        <w:rPr>
          <w:rFonts w:eastAsia="Arial" w:cs="Arial"/>
        </w:rPr>
        <w:t>is relevant to exploration on current titles.</w:t>
      </w:r>
    </w:p>
    <w:p w:rsidR="001E2F6C" w:rsidRDefault="001E2F6C" w:rsidP="001E2F6C">
      <w:pPr>
        <w:ind w:right="-20"/>
        <w:rPr>
          <w:rFonts w:eastAsia="Arial" w:cs="Arial"/>
        </w:rPr>
      </w:pPr>
      <w:r>
        <w:rPr>
          <w:rFonts w:eastAsia="Arial" w:cs="Arial"/>
        </w:rPr>
        <w:t>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expenditure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cl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imed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under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 w:rsidRPr="00247574">
        <w:rPr>
          <w:rFonts w:eastAsia="Arial" w:cs="Arial"/>
          <w:i/>
        </w:rPr>
        <w:t>Mineral</w:t>
      </w:r>
      <w:r w:rsidRPr="00247574">
        <w:rPr>
          <w:rFonts w:eastAsia="Arial" w:cs="Arial"/>
          <w:i/>
          <w:spacing w:val="-7"/>
        </w:rPr>
        <w:t xml:space="preserve"> </w:t>
      </w:r>
      <w:r w:rsidRPr="00247574">
        <w:rPr>
          <w:rFonts w:eastAsia="Arial" w:cs="Arial"/>
          <w:i/>
        </w:rPr>
        <w:t>Titles</w:t>
      </w:r>
      <w:r w:rsidRPr="00247574">
        <w:rPr>
          <w:rFonts w:eastAsia="Arial" w:cs="Arial"/>
          <w:i/>
          <w:spacing w:val="-6"/>
        </w:rPr>
        <w:t xml:space="preserve"> </w:t>
      </w:r>
      <w:r w:rsidRPr="00DE685B">
        <w:rPr>
          <w:rFonts w:eastAsia="Arial" w:cs="Arial"/>
          <w:i/>
        </w:rPr>
        <w:t>Act</w:t>
      </w:r>
      <w:r w:rsidRPr="00DE685B">
        <w:rPr>
          <w:rFonts w:eastAsia="Arial" w:cs="Arial"/>
        </w:rPr>
        <w:t>,</w:t>
      </w:r>
      <w:r w:rsidRPr="00DE685B">
        <w:rPr>
          <w:rFonts w:eastAsia="Arial" w:cs="Arial"/>
          <w:spacing w:val="-4"/>
        </w:rPr>
        <w:t xml:space="preserve"> </w:t>
      </w:r>
      <w:r w:rsidRPr="00DE685B">
        <w:rPr>
          <w:rFonts w:eastAsia="Arial" w:cs="Arial"/>
        </w:rPr>
        <w:t>then</w:t>
      </w:r>
      <w:r w:rsidRPr="00DE685B">
        <w:rPr>
          <w:rFonts w:eastAsia="Arial" w:cs="Arial"/>
          <w:spacing w:val="-4"/>
        </w:rPr>
        <w:t xml:space="preserve"> </w:t>
      </w:r>
      <w:r w:rsidRPr="00DE685B">
        <w:rPr>
          <w:rFonts w:eastAsia="Arial" w:cs="Arial"/>
        </w:rPr>
        <w:t>t</w:t>
      </w:r>
      <w:r w:rsidRPr="00DE685B">
        <w:rPr>
          <w:rFonts w:eastAsia="Arial" w:cs="Arial"/>
          <w:spacing w:val="-1"/>
        </w:rPr>
        <w:t>h</w:t>
      </w:r>
      <w:r w:rsidRPr="00DE685B">
        <w:rPr>
          <w:rFonts w:eastAsia="Arial" w:cs="Arial"/>
        </w:rPr>
        <w:t>e</w:t>
      </w:r>
      <w:r w:rsidRPr="00DE685B">
        <w:rPr>
          <w:rFonts w:eastAsia="Arial" w:cs="Arial"/>
          <w:spacing w:val="-3"/>
        </w:rPr>
        <w:t xml:space="preserve"> </w:t>
      </w:r>
      <w:r w:rsidRPr="00DE685B">
        <w:rPr>
          <w:rFonts w:eastAsia="Arial" w:cs="Arial"/>
        </w:rPr>
        <w:t>core</w:t>
      </w:r>
      <w:r w:rsidRPr="00DE685B">
        <w:rPr>
          <w:rFonts w:eastAsia="Arial" w:cs="Arial"/>
          <w:spacing w:val="-4"/>
        </w:rPr>
        <w:t xml:space="preserve"> </w:t>
      </w:r>
      <w:r w:rsidRPr="00DE685B">
        <w:rPr>
          <w:rFonts w:eastAsia="Arial" w:cs="Arial"/>
        </w:rPr>
        <w:t>analysis</w:t>
      </w:r>
      <w:r w:rsidRPr="00DE685B">
        <w:rPr>
          <w:rFonts w:eastAsia="Arial" w:cs="Arial"/>
          <w:spacing w:val="-8"/>
        </w:rPr>
        <w:t xml:space="preserve"> </w:t>
      </w:r>
      <w:r w:rsidRPr="00DE685B">
        <w:rPr>
          <w:rFonts w:eastAsia="Arial" w:cs="Arial"/>
        </w:rPr>
        <w:t>report</w:t>
      </w:r>
      <w:r w:rsidRPr="00DE685B">
        <w:rPr>
          <w:rFonts w:eastAsia="Arial" w:cs="Arial"/>
          <w:spacing w:val="-6"/>
        </w:rPr>
        <w:t xml:space="preserve"> </w:t>
      </w:r>
      <w:r w:rsidRPr="00DE685B">
        <w:rPr>
          <w:rFonts w:eastAsia="Arial" w:cs="Arial"/>
        </w:rPr>
        <w:t>a</w:t>
      </w:r>
      <w:r w:rsidRPr="00DE685B">
        <w:rPr>
          <w:rFonts w:eastAsia="Arial" w:cs="Arial"/>
          <w:spacing w:val="-1"/>
        </w:rPr>
        <w:t>n</w:t>
      </w:r>
      <w:r w:rsidRPr="00DE685B">
        <w:rPr>
          <w:rFonts w:eastAsia="Arial" w:cs="Arial"/>
        </w:rPr>
        <w:t>d</w:t>
      </w:r>
      <w:r w:rsidRPr="00DE685B">
        <w:rPr>
          <w:rFonts w:eastAsia="Arial" w:cs="Arial"/>
          <w:spacing w:val="-4"/>
        </w:rPr>
        <w:t xml:space="preserve"> </w:t>
      </w:r>
      <w:r w:rsidRPr="00DE685B">
        <w:rPr>
          <w:rFonts w:eastAsia="Arial" w:cs="Arial"/>
        </w:rPr>
        <w:t>data, prepared and submitted to the Core Facility Manager, sho</w:t>
      </w:r>
      <w:r>
        <w:rPr>
          <w:rFonts w:eastAsia="Arial" w:cs="Arial"/>
        </w:rPr>
        <w:t>uld</w:t>
      </w:r>
      <w:r>
        <w:rPr>
          <w:rFonts w:eastAsia="Arial" w:cs="Arial"/>
          <w:spacing w:val="-6"/>
        </w:rPr>
        <w:t xml:space="preserve"> also </w:t>
      </w:r>
      <w:r>
        <w:rPr>
          <w:rFonts w:eastAsia="Arial" w:cs="Arial"/>
        </w:rPr>
        <w:t>be</w:t>
      </w:r>
      <w:r>
        <w:rPr>
          <w:rFonts w:eastAsia="Arial" w:cs="Arial"/>
          <w:spacing w:val="-1"/>
        </w:rPr>
        <w:t xml:space="preserve"> </w:t>
      </w:r>
      <w:r w:rsidRPr="00BB0DB7">
        <w:rPr>
          <w:rFonts w:eastAsia="Arial" w:cs="Arial"/>
          <w:b/>
          <w:spacing w:val="-1"/>
        </w:rPr>
        <w:t>included as an appendix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Annual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Report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for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that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title.</w:t>
      </w:r>
    </w:p>
    <w:p w:rsidR="001E2F6C" w:rsidRDefault="001E2F6C" w:rsidP="001E2F6C">
      <w:pPr>
        <w:ind w:right="306"/>
        <w:rPr>
          <w:rFonts w:eastAsia="Arial" w:cs="Arial"/>
        </w:rPr>
      </w:pPr>
      <w:r>
        <w:rPr>
          <w:rFonts w:eastAsia="Arial" w:cs="Arial"/>
        </w:rPr>
        <w:t>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expenditure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is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cl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imed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under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3"/>
        </w:rPr>
        <w:t xml:space="preserve"> </w:t>
      </w:r>
      <w:r w:rsidRPr="00247574">
        <w:rPr>
          <w:rFonts w:eastAsia="Arial" w:cs="Arial"/>
          <w:i/>
        </w:rPr>
        <w:t>Petroleum</w:t>
      </w:r>
      <w:r>
        <w:rPr>
          <w:rFonts w:eastAsia="Arial" w:cs="Arial"/>
          <w:i/>
          <w:spacing w:val="51"/>
        </w:rPr>
        <w:t xml:space="preserve"> </w:t>
      </w:r>
      <w:r w:rsidRPr="00247574">
        <w:rPr>
          <w:rFonts w:eastAsia="Arial" w:cs="Arial"/>
          <w:i/>
        </w:rPr>
        <w:t>Act</w:t>
      </w:r>
      <w:r>
        <w:rPr>
          <w:rFonts w:eastAsia="Arial" w:cs="Arial"/>
        </w:rPr>
        <w:t>,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then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core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report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and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data should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  <w:b/>
          <w:bCs/>
        </w:rPr>
        <w:t>l</w:t>
      </w:r>
      <w:r>
        <w:rPr>
          <w:rFonts w:eastAsia="Arial" w:cs="Arial"/>
          <w:b/>
          <w:bCs/>
          <w:spacing w:val="-1"/>
        </w:rPr>
        <w:t>i</w:t>
      </w:r>
      <w:r>
        <w:rPr>
          <w:rFonts w:eastAsia="Arial" w:cs="Arial"/>
          <w:b/>
          <w:bCs/>
        </w:rPr>
        <w:t>sted</w:t>
      </w:r>
      <w:r>
        <w:rPr>
          <w:rFonts w:eastAsia="Arial" w:cs="Arial"/>
          <w:b/>
          <w:bCs/>
          <w:spacing w:val="-6"/>
        </w:rPr>
        <w:t xml:space="preserve"> </w:t>
      </w:r>
      <w:r>
        <w:rPr>
          <w:rFonts w:eastAsia="Arial" w:cs="Arial"/>
        </w:rPr>
        <w:t>in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Annual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Report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for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that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title.</w:t>
      </w:r>
    </w:p>
    <w:p w:rsidR="001E2F6C" w:rsidRDefault="001E2F6C" w:rsidP="001E2F6C">
      <w:pPr>
        <w:pStyle w:val="Heading3"/>
        <w:spacing w:before="200" w:after="120"/>
        <w:rPr>
          <w:rFonts w:eastAsia="Arial"/>
        </w:rPr>
      </w:pPr>
      <w:r>
        <w:rPr>
          <w:rFonts w:eastAsia="Arial"/>
        </w:rPr>
        <w:t>Confidentiality</w:t>
      </w:r>
    </w:p>
    <w:p w:rsidR="00614380" w:rsidRPr="001E2F6C" w:rsidRDefault="001E2F6C" w:rsidP="001E2F6C">
      <w:pPr>
        <w:ind w:right="500"/>
        <w:rPr>
          <w:rFonts w:eastAsia="Arial" w:cs="Arial"/>
          <w:strike/>
        </w:rPr>
      </w:pPr>
      <w:r>
        <w:rPr>
          <w:rFonts w:eastAsia="Arial" w:cs="Arial"/>
        </w:rPr>
        <w:t>Core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analysis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</w:rPr>
        <w:t>reports and data will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be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released to the public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12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months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</w:rPr>
        <w:t>after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mpling.</w:t>
      </w:r>
    </w:p>
    <w:sectPr w:rsidR="00614380" w:rsidRPr="001E2F6C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43" w:rsidRDefault="006C7243" w:rsidP="007332FF">
      <w:r>
        <w:separator/>
      </w:r>
    </w:p>
  </w:endnote>
  <w:endnote w:type="continuationSeparator" w:id="0">
    <w:p w:rsidR="006C7243" w:rsidRDefault="006C724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6C" w:rsidRDefault="001E2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E2F6C">
                <w:rPr>
                  <w:rStyle w:val="PageNumber"/>
                  <w:b/>
                </w:rPr>
                <w:t>MINING AND ENERGY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6C724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placeholder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E2F6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E2F6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1E2F6C" w:rsidRDefault="00D47DC7" w:rsidP="001E2F6C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E2F6C">
                <w:rPr>
                  <w:rStyle w:val="PageNumber"/>
                  <w:b/>
                </w:rPr>
                <w:t>MINING AND ENERGY</w:t>
              </w:r>
            </w:sdtContent>
          </w:sdt>
        </w:p>
        <w:p w:rsidR="0071700C" w:rsidRPr="00CE30CF" w:rsidRDefault="00D47DC7" w:rsidP="001E2F6C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E2F6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E2F6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43" w:rsidRDefault="006C7243" w:rsidP="007332FF">
      <w:r>
        <w:separator/>
      </w:r>
    </w:p>
  </w:footnote>
  <w:footnote w:type="continuationSeparator" w:id="0">
    <w:p w:rsidR="006C7243" w:rsidRDefault="006C724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6C" w:rsidRDefault="001E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C724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2F6C">
          <w:t>Core Sampling Policy and Guidelines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:rsidR="00E54F9E" w:rsidRDefault="001E2F6C" w:rsidP="00435082">
        <w:pPr>
          <w:pStyle w:val="Title"/>
        </w:pPr>
        <w:r>
          <w:rPr>
            <w:rStyle w:val="TitleChar"/>
          </w:rPr>
          <w:t>Core Sampling Policy and Guidelines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6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F6C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C7243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C61B3"/>
  <w15:docId w15:val="{6337A5E1-0546-4005-81D4-265EF49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C48A55-CEC0-4257-A13B-8D3847E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MINING AND ENERGY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Sampling Policy and Guidelines</dc:title>
  <dc:creator>Northern Territory Government</dc:creator>
  <cp:lastModifiedBy>San Kham Hornby</cp:lastModifiedBy>
  <cp:revision>1</cp:revision>
  <cp:lastPrinted>2019-07-29T01:45:00Z</cp:lastPrinted>
  <dcterms:created xsi:type="dcterms:W3CDTF">2024-09-16T03:55:00Z</dcterms:created>
  <dcterms:modified xsi:type="dcterms:W3CDTF">2024-09-16T04:03:00Z</dcterms:modified>
</cp:coreProperties>
</file>