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9588F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25F73">
        <w:t>62</w:t>
      </w:r>
      <w:r w:rsidR="00725F73">
        <w:tab/>
        <w:t>5</w:t>
      </w:r>
      <w:r w:rsidR="00E9588F">
        <w:t xml:space="preserve"> July</w:t>
      </w:r>
      <w:r>
        <w:t xml:space="preserve"> 2016</w:t>
      </w:r>
    </w:p>
    <w:p w:rsidR="00DE267D" w:rsidRPr="001F2D88" w:rsidRDefault="00C018B4" w:rsidP="00C018B4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DE267D" w:rsidRPr="004C196F" w:rsidRDefault="00DE267D" w:rsidP="00C018B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Auctioneers Act</w:t>
      </w:r>
    </w:p>
    <w:p w:rsidR="00DE267D" w:rsidRPr="00CE1DB8" w:rsidRDefault="00C018B4" w:rsidP="00C018B4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Prescribed Fees</w:t>
      </w:r>
    </w:p>
    <w:p w:rsidR="00DE267D" w:rsidRDefault="00DE267D" w:rsidP="00DE267D">
      <w:pPr>
        <w:spacing w:after="120" w:line="360" w:lineRule="auto"/>
        <w:jc w:val="both"/>
      </w:pPr>
      <w:r w:rsidRPr="00CE1DB8">
        <w:t xml:space="preserve">I, </w:t>
      </w:r>
      <w:r>
        <w:t>Peter Donald Styles</w:t>
      </w:r>
      <w:r w:rsidRPr="00CE1DB8">
        <w:t xml:space="preserve">, </w:t>
      </w:r>
      <w:r>
        <w:t>Minister for Racing, Gaming and Licensing:</w:t>
      </w:r>
    </w:p>
    <w:p w:rsidR="00DE267D" w:rsidRPr="006B47C2" w:rsidRDefault="00DE267D" w:rsidP="00DE267D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under section 3AB of the </w:t>
      </w:r>
      <w:r w:rsidRPr="006B47C2">
        <w:rPr>
          <w:i/>
        </w:rPr>
        <w:t>Auctioneers Act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revoke all instruments prescribing fees under section 3AB of the </w:t>
      </w:r>
      <w:r>
        <w:rPr>
          <w:i/>
        </w:rPr>
        <w:t>Auctioneers Act</w:t>
      </w:r>
      <w:r>
        <w:t xml:space="preserve"> in force immediately before the date of this instrument; and</w:t>
      </w:r>
    </w:p>
    <w:p w:rsidR="00DE267D" w:rsidRPr="00B8703F" w:rsidRDefault="00DE267D" w:rsidP="00DE267D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section 3AB of the </w:t>
      </w:r>
      <w:r w:rsidRPr="007807E6">
        <w:rPr>
          <w:i/>
        </w:rPr>
        <w:t>Auctioneers Act</w:t>
      </w:r>
      <w:r>
        <w:t xml:space="preserve"> and with reference to section 8 of the </w:t>
      </w:r>
      <w:r>
        <w:rPr>
          <w:i/>
        </w:rPr>
        <w:t>Interpretation Act</w:t>
      </w:r>
      <w:r>
        <w:t>, prescribe the fee payable in relation to a matter specified in the Schedule to be the fee specified opposite.</w:t>
      </w:r>
    </w:p>
    <w:p w:rsidR="00DE267D" w:rsidRPr="00CE1DB8" w:rsidRDefault="00DE267D" w:rsidP="00DE267D">
      <w:pPr>
        <w:spacing w:line="360" w:lineRule="auto"/>
      </w:pPr>
      <w:r w:rsidRPr="00CE1DB8">
        <w:t>Dated</w:t>
      </w:r>
      <w:r w:rsidR="00C018B4">
        <w:t xml:space="preserve"> 30 June 2016</w:t>
      </w:r>
    </w:p>
    <w:p w:rsidR="00DE267D" w:rsidRPr="00CE1DB8" w:rsidRDefault="009A2495" w:rsidP="00C018B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P. D. Styles</w:t>
      </w:r>
    </w:p>
    <w:p w:rsidR="00DE267D" w:rsidRPr="00CE1DB8" w:rsidRDefault="00DE267D" w:rsidP="00C018B4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Minister for Racing, Gaming and Licensing</w:t>
      </w:r>
    </w:p>
    <w:p w:rsidR="00DE267D" w:rsidRDefault="009A2495" w:rsidP="009A2495">
      <w:pPr>
        <w:pageBreakBefore/>
        <w:spacing w:line="360" w:lineRule="auto"/>
        <w:jc w:val="center"/>
        <w:rPr>
          <w:rFonts w:cs="Helvetica"/>
        </w:rPr>
      </w:pPr>
      <w:r>
        <w:rPr>
          <w:rFonts w:cs="Helvetica"/>
        </w:rPr>
        <w:lastRenderedPageBreak/>
        <w:t>Schedule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  <w:tblCaption w:val="Schedule"/>
        <w:tblDescription w:val="Prescribed fees"/>
      </w:tblPr>
      <w:tblGrid>
        <w:gridCol w:w="851"/>
        <w:gridCol w:w="3851"/>
        <w:gridCol w:w="3822"/>
      </w:tblGrid>
      <w:tr w:rsidR="00DE267D" w:rsidRPr="00513435" w:rsidTr="004139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E267D" w:rsidRPr="00A10A69" w:rsidRDefault="00DE267D" w:rsidP="00413920">
            <w:pPr>
              <w:pStyle w:val="OmitSub1"/>
              <w:tabs>
                <w:tab w:val="clear" w:pos="567"/>
              </w:tabs>
              <w:rPr>
                <w:b/>
              </w:rPr>
            </w:pPr>
            <w:r w:rsidRPr="00A10A69">
              <w:rPr>
                <w:b/>
              </w:rPr>
              <w:t>Item</w:t>
            </w:r>
          </w:p>
        </w:tc>
        <w:tc>
          <w:tcPr>
            <w:tcW w:w="3851" w:type="dxa"/>
            <w:tcBorders>
              <w:top w:val="single" w:sz="6" w:space="0" w:color="auto"/>
              <w:bottom w:val="single" w:sz="6" w:space="0" w:color="auto"/>
            </w:tcBorders>
          </w:tcPr>
          <w:p w:rsidR="00DE267D" w:rsidRPr="00A10A69" w:rsidRDefault="00DE267D" w:rsidP="00413920">
            <w:pPr>
              <w:keepNext/>
              <w:tabs>
                <w:tab w:val="left" w:pos="2684"/>
              </w:tabs>
              <w:spacing w:before="120" w:after="120"/>
              <w:ind w:left="-10" w:firstLine="5"/>
              <w:rPr>
                <w:b/>
              </w:rPr>
            </w:pPr>
            <w:r w:rsidRPr="00A10A69">
              <w:rPr>
                <w:rFonts w:cs="Helvetica"/>
                <w:b/>
              </w:rPr>
              <w:t>Description</w:t>
            </w:r>
          </w:p>
        </w:tc>
        <w:tc>
          <w:tcPr>
            <w:tcW w:w="3822" w:type="dxa"/>
            <w:tcBorders>
              <w:top w:val="single" w:sz="6" w:space="0" w:color="auto"/>
              <w:bottom w:val="single" w:sz="6" w:space="0" w:color="auto"/>
            </w:tcBorders>
          </w:tcPr>
          <w:p w:rsidR="00DE267D" w:rsidRPr="00A10A69" w:rsidRDefault="00DE267D" w:rsidP="00413920">
            <w:pPr>
              <w:keepNext/>
              <w:tabs>
                <w:tab w:val="left" w:pos="2684"/>
              </w:tabs>
              <w:spacing w:before="120" w:after="120"/>
              <w:ind w:left="-11" w:firstLine="6"/>
              <w:rPr>
                <w:b/>
              </w:rPr>
            </w:pPr>
            <w:r w:rsidRPr="00A10A69">
              <w:rPr>
                <w:rFonts w:cs="Helvetica"/>
                <w:b/>
              </w:rPr>
              <w:t>Fee</w:t>
            </w:r>
            <w:r>
              <w:rPr>
                <w:rFonts w:cs="Helvetica"/>
                <w:b/>
              </w:rPr>
              <w:br/>
            </w:r>
            <w:r w:rsidRPr="00A10A69">
              <w:rPr>
                <w:rFonts w:cs="Helvetica"/>
                <w:b/>
              </w:rPr>
              <w:t>(Revenue units)</w:t>
            </w:r>
          </w:p>
        </w:tc>
      </w:tr>
      <w:tr w:rsidR="00DE267D" w:rsidRPr="00513435" w:rsidTr="004139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</w:tcBorders>
          </w:tcPr>
          <w:p w:rsidR="00DE267D" w:rsidRPr="00513435" w:rsidRDefault="00DE267D" w:rsidP="00413920">
            <w:pPr>
              <w:pStyle w:val="OmitSubref"/>
            </w:pPr>
            <w:r w:rsidRPr="00513435">
              <w:t>1</w:t>
            </w:r>
          </w:p>
        </w:tc>
        <w:tc>
          <w:tcPr>
            <w:tcW w:w="3851" w:type="dxa"/>
            <w:tcBorders>
              <w:top w:val="single" w:sz="6" w:space="0" w:color="auto"/>
            </w:tcBorders>
          </w:tcPr>
          <w:p w:rsidR="00DE267D" w:rsidRDefault="00DE267D" w:rsidP="00413920">
            <w:pPr>
              <w:pStyle w:val="OmitSub1"/>
              <w:tabs>
                <w:tab w:val="clear" w:pos="567"/>
              </w:tabs>
            </w:pPr>
            <w:r>
              <w:t>Fee payable under section 5(3) or 8B for auctioneer's licence for period of:</w:t>
            </w:r>
            <w:bookmarkStart w:id="4" w:name="_GoBack"/>
            <w:bookmarkEnd w:id="4"/>
          </w:p>
          <w:p w:rsidR="00DE267D" w:rsidRDefault="00DE267D" w:rsidP="00413920">
            <w:pPr>
              <w:pStyle w:val="Sectiontext"/>
              <w:spacing w:after="120"/>
              <w:ind w:left="459" w:hanging="480"/>
              <w:jc w:val="left"/>
            </w:pPr>
            <w:r>
              <w:t>(</w:t>
            </w:r>
            <w:r w:rsidRPr="00513435">
              <w:t>a)</w:t>
            </w:r>
            <w:r w:rsidRPr="00513435">
              <w:tab/>
            </w:r>
            <w:r>
              <w:t>1 year</w:t>
            </w:r>
          </w:p>
          <w:p w:rsidR="00DE267D" w:rsidRPr="00513435" w:rsidRDefault="00DE267D" w:rsidP="00413920">
            <w:pPr>
              <w:pStyle w:val="OmitSub2"/>
              <w:ind w:left="459" w:hanging="458"/>
            </w:pPr>
            <w:r w:rsidRPr="00513435">
              <w:t>(b)</w:t>
            </w:r>
            <w:r w:rsidRPr="00513435">
              <w:tab/>
            </w:r>
            <w:r>
              <w:t>3 years</w:t>
            </w:r>
          </w:p>
          <w:p w:rsidR="00DE267D" w:rsidRPr="00FC2C20" w:rsidRDefault="00DE267D" w:rsidP="00413920">
            <w:pPr>
              <w:pStyle w:val="Sectiontext"/>
              <w:spacing w:after="120"/>
              <w:ind w:left="459" w:hanging="480"/>
              <w:jc w:val="left"/>
            </w:pPr>
            <w:r w:rsidRPr="00513435">
              <w:t>(c)</w:t>
            </w:r>
            <w:r w:rsidRPr="00513435">
              <w:tab/>
            </w:r>
            <w:r>
              <w:t>5 years</w:t>
            </w:r>
          </w:p>
        </w:tc>
        <w:tc>
          <w:tcPr>
            <w:tcW w:w="3822" w:type="dxa"/>
            <w:tcBorders>
              <w:top w:val="single" w:sz="6" w:space="0" w:color="auto"/>
            </w:tcBorders>
          </w:tcPr>
          <w:p w:rsidR="00DE267D" w:rsidRDefault="00DE267D" w:rsidP="00413920">
            <w:pPr>
              <w:pStyle w:val="Sectiontext"/>
              <w:ind w:left="458" w:hanging="480"/>
              <w:jc w:val="left"/>
            </w:pPr>
          </w:p>
          <w:p w:rsidR="00DE267D" w:rsidRDefault="00DE267D" w:rsidP="00413920">
            <w:pPr>
              <w:pStyle w:val="Sectiontext"/>
              <w:ind w:left="458" w:hanging="480"/>
              <w:jc w:val="left"/>
            </w:pPr>
          </w:p>
          <w:p w:rsidR="00DE267D" w:rsidRDefault="00DE267D" w:rsidP="00413920">
            <w:pPr>
              <w:pStyle w:val="Sectiontext"/>
              <w:spacing w:after="120"/>
              <w:ind w:left="459" w:hanging="480"/>
              <w:jc w:val="left"/>
            </w:pPr>
            <w:r>
              <w:t>327</w:t>
            </w:r>
          </w:p>
          <w:p w:rsidR="00DE267D" w:rsidRPr="00513435" w:rsidRDefault="00DE267D" w:rsidP="00413920">
            <w:pPr>
              <w:pStyle w:val="OmitSub2"/>
              <w:ind w:left="459" w:hanging="458"/>
            </w:pPr>
            <w:r>
              <w:t>882</w:t>
            </w:r>
          </w:p>
          <w:p w:rsidR="00DE267D" w:rsidRPr="00D857AD" w:rsidRDefault="00DE267D" w:rsidP="00413920">
            <w:pPr>
              <w:pStyle w:val="Sectiontext"/>
              <w:spacing w:after="120"/>
              <w:ind w:left="459" w:hanging="480"/>
              <w:jc w:val="left"/>
            </w:pPr>
            <w:r>
              <w:t>1 471</w:t>
            </w:r>
          </w:p>
        </w:tc>
      </w:tr>
      <w:tr w:rsidR="00DE267D" w:rsidRPr="00513435" w:rsidTr="004139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</w:tcPr>
          <w:p w:rsidR="00DE267D" w:rsidRPr="00513435" w:rsidRDefault="00DE267D" w:rsidP="00413920">
            <w:pPr>
              <w:pStyle w:val="OmitSubref"/>
            </w:pPr>
            <w:r w:rsidRPr="00513435">
              <w:t>2</w:t>
            </w: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DE267D" w:rsidRPr="00513435" w:rsidRDefault="00DE267D" w:rsidP="00413920">
            <w:pPr>
              <w:pStyle w:val="OmitSub1"/>
              <w:spacing w:after="240"/>
            </w:pPr>
            <w:r>
              <w:t>Fee payable under section 6(3) or 8B for renewal of auctioneer's licence for period of:</w:t>
            </w:r>
          </w:p>
          <w:p w:rsidR="00DE267D" w:rsidRDefault="00DE267D" w:rsidP="00413920">
            <w:pPr>
              <w:pStyle w:val="Sectiontext"/>
              <w:spacing w:after="120"/>
              <w:ind w:left="459" w:hanging="480"/>
              <w:jc w:val="left"/>
            </w:pPr>
            <w:r>
              <w:t>(</w:t>
            </w:r>
            <w:r w:rsidRPr="00513435">
              <w:t>a)</w:t>
            </w:r>
            <w:r w:rsidRPr="00513435">
              <w:tab/>
            </w:r>
            <w:r>
              <w:t>1 year</w:t>
            </w:r>
          </w:p>
          <w:p w:rsidR="00DE267D" w:rsidRPr="00513435" w:rsidRDefault="00DE267D" w:rsidP="00413920">
            <w:pPr>
              <w:pStyle w:val="OmitSub2"/>
              <w:ind w:left="459" w:hanging="458"/>
            </w:pPr>
            <w:r w:rsidRPr="00513435">
              <w:t>(b)</w:t>
            </w:r>
            <w:r w:rsidRPr="00513435">
              <w:tab/>
            </w:r>
            <w:r>
              <w:t>3 years</w:t>
            </w:r>
          </w:p>
          <w:p w:rsidR="00DE267D" w:rsidRPr="00513435" w:rsidRDefault="00DE267D" w:rsidP="00413920">
            <w:pPr>
              <w:pStyle w:val="OmitSub2"/>
              <w:ind w:left="459" w:hanging="458"/>
            </w:pPr>
            <w:r w:rsidRPr="00513435">
              <w:t>(c)</w:t>
            </w:r>
            <w:r w:rsidRPr="00513435">
              <w:tab/>
            </w:r>
            <w:r>
              <w:t>5 years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DE267D" w:rsidRDefault="00DE267D" w:rsidP="00413920">
            <w:pPr>
              <w:pStyle w:val="OmitSub1"/>
              <w:spacing w:after="240"/>
            </w:pPr>
          </w:p>
          <w:p w:rsidR="00DE267D" w:rsidRPr="00B7553A" w:rsidRDefault="00DE267D" w:rsidP="00413920">
            <w:pPr>
              <w:pStyle w:val="OmitSub2"/>
              <w:spacing w:after="240"/>
            </w:pPr>
          </w:p>
          <w:p w:rsidR="00DE267D" w:rsidRDefault="00DE267D" w:rsidP="00413920">
            <w:pPr>
              <w:pStyle w:val="Sectiontext"/>
              <w:spacing w:after="120"/>
              <w:ind w:left="459" w:hanging="480"/>
              <w:jc w:val="left"/>
            </w:pPr>
            <w:r>
              <w:t>327</w:t>
            </w:r>
          </w:p>
          <w:p w:rsidR="00DE267D" w:rsidRPr="00513435" w:rsidRDefault="00DE267D" w:rsidP="00413920">
            <w:pPr>
              <w:pStyle w:val="OmitSub2"/>
              <w:ind w:left="459" w:hanging="458"/>
            </w:pPr>
            <w:r>
              <w:t>882</w:t>
            </w:r>
          </w:p>
          <w:p w:rsidR="00DE267D" w:rsidRPr="00513435" w:rsidRDefault="00DE267D" w:rsidP="00413920">
            <w:pPr>
              <w:pStyle w:val="Sectiontext"/>
              <w:spacing w:after="120"/>
              <w:ind w:left="459" w:hanging="480"/>
              <w:jc w:val="left"/>
            </w:pPr>
            <w:r>
              <w:t>1 471</w:t>
            </w:r>
          </w:p>
        </w:tc>
      </w:tr>
    </w:tbl>
    <w:p w:rsidR="00E464B8" w:rsidRPr="00CE1DB8" w:rsidRDefault="00E464B8" w:rsidP="009A2495">
      <w:pPr>
        <w:spacing w:line="360" w:lineRule="auto"/>
        <w:rPr>
          <w:spacing w:val="-3"/>
        </w:rPr>
      </w:pPr>
    </w:p>
    <w:sectPr w:rsidR="00E464B8" w:rsidRPr="00CE1DB8" w:rsidSect="00741596">
      <w:headerReference w:type="default" r:id="rId10"/>
      <w:footerReference w:type="default" r:id="rId11"/>
      <w:footerReference w:type="firs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A249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95" w:rsidRPr="00E433EF" w:rsidRDefault="009A2495" w:rsidP="009A2495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>
      <w:rPr>
        <w:noProof/>
      </w:rPr>
      <w:t>1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2495">
      <w:t>62</w:t>
    </w:r>
    <w:r w:rsidRPr="00246A76">
      <w:t xml:space="preserve">, </w:t>
    </w:r>
    <w:r w:rsidR="009A2495">
      <w:t>5</w:t>
    </w:r>
    <w:r w:rsidR="006878B3">
      <w:t xml:space="preserve"> </w:t>
    </w:r>
    <w:r w:rsidR="009A2495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6FC1541"/>
    <w:multiLevelType w:val="hybridMultilevel"/>
    <w:tmpl w:val="0DEC5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2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23"/>
  </w:num>
  <w:num w:numId="5">
    <w:abstractNumId w:val="13"/>
  </w:num>
  <w:num w:numId="6">
    <w:abstractNumId w:val="20"/>
  </w:num>
  <w:num w:numId="7">
    <w:abstractNumId w:val="22"/>
  </w:num>
  <w:num w:numId="8">
    <w:abstractNumId w:val="42"/>
  </w:num>
  <w:num w:numId="9">
    <w:abstractNumId w:val="31"/>
  </w:num>
  <w:num w:numId="10">
    <w:abstractNumId w:val="10"/>
  </w:num>
  <w:num w:numId="11">
    <w:abstractNumId w:val="14"/>
  </w:num>
  <w:num w:numId="12">
    <w:abstractNumId w:val="29"/>
  </w:num>
  <w:num w:numId="13">
    <w:abstractNumId w:val="21"/>
  </w:num>
  <w:num w:numId="14">
    <w:abstractNumId w:val="7"/>
  </w:num>
  <w:num w:numId="15">
    <w:abstractNumId w:val="8"/>
  </w:num>
  <w:num w:numId="16">
    <w:abstractNumId w:val="4"/>
  </w:num>
  <w:num w:numId="17">
    <w:abstractNumId w:val="43"/>
  </w:num>
  <w:num w:numId="18">
    <w:abstractNumId w:val="33"/>
  </w:num>
  <w:num w:numId="19">
    <w:abstractNumId w:val="18"/>
  </w:num>
  <w:num w:numId="20">
    <w:abstractNumId w:val="28"/>
  </w:num>
  <w:num w:numId="21">
    <w:abstractNumId w:val="37"/>
  </w:num>
  <w:num w:numId="22">
    <w:abstractNumId w:val="41"/>
  </w:num>
  <w:num w:numId="23">
    <w:abstractNumId w:val="35"/>
  </w:num>
  <w:num w:numId="24">
    <w:abstractNumId w:val="6"/>
  </w:num>
  <w:num w:numId="25">
    <w:abstractNumId w:val="30"/>
  </w:num>
  <w:num w:numId="26">
    <w:abstractNumId w:val="5"/>
  </w:num>
  <w:num w:numId="27">
    <w:abstractNumId w:val="1"/>
  </w:num>
  <w:num w:numId="28">
    <w:abstractNumId w:val="27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1"/>
  </w:num>
  <w:num w:numId="33">
    <w:abstractNumId w:val="17"/>
  </w:num>
  <w:num w:numId="34">
    <w:abstractNumId w:val="40"/>
  </w:num>
  <w:num w:numId="35">
    <w:abstractNumId w:val="9"/>
  </w:num>
  <w:num w:numId="36">
    <w:abstractNumId w:val="39"/>
  </w:num>
  <w:num w:numId="37">
    <w:abstractNumId w:val="12"/>
  </w:num>
  <w:num w:numId="38">
    <w:abstractNumId w:val="19"/>
  </w:num>
  <w:num w:numId="39">
    <w:abstractNumId w:val="34"/>
  </w:num>
  <w:num w:numId="40">
    <w:abstractNumId w:val="3"/>
  </w:num>
  <w:num w:numId="41">
    <w:abstractNumId w:val="2"/>
  </w:num>
  <w:num w:numId="42">
    <w:abstractNumId w:val="25"/>
  </w:num>
  <w:num w:numId="43">
    <w:abstractNumId w:val="26"/>
  </w:num>
  <w:num w:numId="4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5F73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495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110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18B4"/>
    <w:rsid w:val="00C0553E"/>
    <w:rsid w:val="00C20552"/>
    <w:rsid w:val="00C21686"/>
    <w:rsid w:val="00C24AE0"/>
    <w:rsid w:val="00C328F9"/>
    <w:rsid w:val="00C33ACB"/>
    <w:rsid w:val="00C3689F"/>
    <w:rsid w:val="00C37483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6DBA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26E8"/>
    <w:rsid w:val="00DC5C66"/>
    <w:rsid w:val="00DC6D75"/>
    <w:rsid w:val="00DD1096"/>
    <w:rsid w:val="00DE0BE7"/>
    <w:rsid w:val="00DE1EDB"/>
    <w:rsid w:val="00DE267D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46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customStyle="1" w:styleId="OmitSub1">
    <w:name w:val="OmitSub(1)"/>
    <w:basedOn w:val="Normal"/>
    <w:next w:val="OmitSub2"/>
    <w:link w:val="OmitSub1Char"/>
    <w:rsid w:val="00DE267D"/>
    <w:pPr>
      <w:tabs>
        <w:tab w:val="left" w:pos="567"/>
        <w:tab w:val="left" w:pos="1134"/>
        <w:tab w:val="left" w:pos="1701"/>
      </w:tabs>
      <w:spacing w:before="120" w:after="120"/>
    </w:pPr>
    <w:rPr>
      <w:rFonts w:eastAsia="Times New Roman"/>
      <w:szCs w:val="24"/>
      <w:lang w:val="en-AU" w:eastAsia="en-AU"/>
    </w:rPr>
  </w:style>
  <w:style w:type="paragraph" w:customStyle="1" w:styleId="OmitSubref">
    <w:name w:val="OmitSub(ref)"/>
    <w:basedOn w:val="Normal"/>
    <w:next w:val="Normal"/>
    <w:rsid w:val="00DE267D"/>
    <w:pPr>
      <w:spacing w:before="120" w:after="120"/>
    </w:pPr>
    <w:rPr>
      <w:rFonts w:eastAsia="Times New Roman"/>
      <w:szCs w:val="24"/>
      <w:lang w:val="en-AU" w:eastAsia="en-AU"/>
    </w:rPr>
  </w:style>
  <w:style w:type="paragraph" w:customStyle="1" w:styleId="OmitSub2">
    <w:name w:val="OmitSub(2)"/>
    <w:basedOn w:val="OmitSub1"/>
    <w:link w:val="OmitSub2Char"/>
    <w:rsid w:val="00DE267D"/>
    <w:pPr>
      <w:spacing w:before="0"/>
    </w:pPr>
  </w:style>
  <w:style w:type="character" w:customStyle="1" w:styleId="OmitSub1Char">
    <w:name w:val="OmitSub(1) Char"/>
    <w:link w:val="OmitSub1"/>
    <w:rsid w:val="00DE267D"/>
    <w:rPr>
      <w:rFonts w:ascii="Helvetica" w:eastAsia="Times New Roman" w:hAnsi="Helvetica"/>
      <w:sz w:val="24"/>
      <w:szCs w:val="24"/>
    </w:rPr>
  </w:style>
  <w:style w:type="paragraph" w:customStyle="1" w:styleId="Sectiontext">
    <w:name w:val="Section text"/>
    <w:basedOn w:val="Normal"/>
    <w:rsid w:val="00DE267D"/>
    <w:pPr>
      <w:spacing w:before="0" w:after="240"/>
      <w:ind w:left="1100"/>
      <w:jc w:val="both"/>
    </w:pPr>
    <w:rPr>
      <w:rFonts w:eastAsia="Times New Roman"/>
      <w:szCs w:val="24"/>
      <w:lang w:val="en-AU" w:eastAsia="en-AU"/>
    </w:rPr>
  </w:style>
  <w:style w:type="character" w:customStyle="1" w:styleId="OmitSub2Char">
    <w:name w:val="OmitSub(2) Char"/>
    <w:link w:val="OmitSub2"/>
    <w:rsid w:val="00DE267D"/>
    <w:rPr>
      <w:rFonts w:ascii="Helvetica" w:eastAsia="Times New Roman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customStyle="1" w:styleId="OmitSub1">
    <w:name w:val="OmitSub(1)"/>
    <w:basedOn w:val="Normal"/>
    <w:next w:val="OmitSub2"/>
    <w:link w:val="OmitSub1Char"/>
    <w:rsid w:val="00DE267D"/>
    <w:pPr>
      <w:tabs>
        <w:tab w:val="left" w:pos="567"/>
        <w:tab w:val="left" w:pos="1134"/>
        <w:tab w:val="left" w:pos="1701"/>
      </w:tabs>
      <w:spacing w:before="120" w:after="120"/>
    </w:pPr>
    <w:rPr>
      <w:rFonts w:eastAsia="Times New Roman"/>
      <w:szCs w:val="24"/>
      <w:lang w:val="en-AU" w:eastAsia="en-AU"/>
    </w:rPr>
  </w:style>
  <w:style w:type="paragraph" w:customStyle="1" w:styleId="OmitSubref">
    <w:name w:val="OmitSub(ref)"/>
    <w:basedOn w:val="Normal"/>
    <w:next w:val="Normal"/>
    <w:rsid w:val="00DE267D"/>
    <w:pPr>
      <w:spacing w:before="120" w:after="120"/>
    </w:pPr>
    <w:rPr>
      <w:rFonts w:eastAsia="Times New Roman"/>
      <w:szCs w:val="24"/>
      <w:lang w:val="en-AU" w:eastAsia="en-AU"/>
    </w:rPr>
  </w:style>
  <w:style w:type="paragraph" w:customStyle="1" w:styleId="OmitSub2">
    <w:name w:val="OmitSub(2)"/>
    <w:basedOn w:val="OmitSub1"/>
    <w:link w:val="OmitSub2Char"/>
    <w:rsid w:val="00DE267D"/>
    <w:pPr>
      <w:spacing w:before="0"/>
    </w:pPr>
  </w:style>
  <w:style w:type="character" w:customStyle="1" w:styleId="OmitSub1Char">
    <w:name w:val="OmitSub(1) Char"/>
    <w:link w:val="OmitSub1"/>
    <w:rsid w:val="00DE267D"/>
    <w:rPr>
      <w:rFonts w:ascii="Helvetica" w:eastAsia="Times New Roman" w:hAnsi="Helvetica"/>
      <w:sz w:val="24"/>
      <w:szCs w:val="24"/>
    </w:rPr>
  </w:style>
  <w:style w:type="paragraph" w:customStyle="1" w:styleId="Sectiontext">
    <w:name w:val="Section text"/>
    <w:basedOn w:val="Normal"/>
    <w:rsid w:val="00DE267D"/>
    <w:pPr>
      <w:spacing w:before="0" w:after="240"/>
      <w:ind w:left="1100"/>
      <w:jc w:val="both"/>
    </w:pPr>
    <w:rPr>
      <w:rFonts w:eastAsia="Times New Roman"/>
      <w:szCs w:val="24"/>
      <w:lang w:val="en-AU" w:eastAsia="en-AU"/>
    </w:rPr>
  </w:style>
  <w:style w:type="character" w:customStyle="1" w:styleId="OmitSub2Char">
    <w:name w:val="OmitSub(2) Char"/>
    <w:link w:val="OmitSub2"/>
    <w:rsid w:val="00DE267D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05FD-6056-4ADC-984D-4DBB8917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S61 2016</vt:lpstr>
    </vt:vector>
  </TitlesOfParts>
  <Company>NTG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S62 2016</dc:title>
  <dc:creator>Northern Territory Government</dc:creator>
  <cp:lastModifiedBy>mahec</cp:lastModifiedBy>
  <cp:revision>3</cp:revision>
  <cp:lastPrinted>2016-07-04T06:46:00Z</cp:lastPrinted>
  <dcterms:created xsi:type="dcterms:W3CDTF">2016-07-04T06:25:00Z</dcterms:created>
  <dcterms:modified xsi:type="dcterms:W3CDTF">2016-07-04T06:47:00Z</dcterms:modified>
</cp:coreProperties>
</file>