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F9463B">
      <w:pPr>
        <w:pStyle w:val="Gazettenoanddate"/>
        <w:tabs>
          <w:tab w:val="left" w:pos="7014"/>
        </w:tabs>
      </w:pPr>
      <w:r>
        <w:t>No.</w:t>
      </w:r>
      <w:r w:rsidR="00282700">
        <w:t xml:space="preserve"> </w:t>
      </w:r>
      <w:r w:rsidR="00D66D67">
        <w:t>G</w:t>
      </w:r>
      <w:r w:rsidR="004D7699">
        <w:t>12</w:t>
      </w:r>
      <w:r w:rsidR="004E2B3B">
        <w:tab/>
      </w:r>
      <w:bookmarkStart w:id="0" w:name="_GoBack"/>
      <w:bookmarkEnd w:id="0"/>
      <w:r w:rsidR="004D7699">
        <w:t>23</w:t>
      </w:r>
      <w:r w:rsidR="00565FD0">
        <w:t xml:space="preserve"> March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523E92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797" w:left="1440" w:header="720" w:footer="720" w:gutter="0"/>
          <w:cols w:space="720"/>
          <w:titlePg/>
          <w:docGrid w:linePitch="326"/>
        </w:sectPr>
      </w:pPr>
    </w:p>
    <w:p w:rsidR="00E13F66" w:rsidRPr="008A1BAF" w:rsidRDefault="00AF184D" w:rsidP="00625DDE">
      <w:pPr>
        <w:keepNext/>
        <w:widowControl w:val="0"/>
        <w:tabs>
          <w:tab w:val="left" w:pos="0"/>
        </w:tabs>
        <w:suppressAutoHyphens/>
        <w:spacing w:before="480" w:line="360" w:lineRule="auto"/>
        <w:jc w:val="center"/>
        <w:outlineLvl w:val="0"/>
        <w:rPr>
          <w:rFonts w:eastAsia="Times New Roman" w:cs="Helvetica"/>
          <w:szCs w:val="24"/>
          <w:lang w:val="en-AU" w:eastAsia="en-AU"/>
        </w:rPr>
      </w:pPr>
      <w:r w:rsidRPr="008A1BAF">
        <w:rPr>
          <w:rFonts w:eastAsia="Times New Roman" w:cs="Helvetica"/>
          <w:szCs w:val="24"/>
          <w:lang w:val="en-AU" w:eastAsia="en-AU"/>
        </w:rPr>
        <w:lastRenderedPageBreak/>
        <w:t>Northern Territory of Australia</w:t>
      </w:r>
    </w:p>
    <w:p w:rsidR="00E13F66" w:rsidRPr="00E13F66" w:rsidRDefault="00E13F66" w:rsidP="00AF184D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i/>
          <w:szCs w:val="24"/>
          <w:lang w:val="en-AU" w:eastAsia="en-AU"/>
        </w:rPr>
        <w:t>Crown Lands Act</w:t>
      </w:r>
    </w:p>
    <w:p w:rsidR="00E13F66" w:rsidRPr="00E13F66" w:rsidRDefault="00AF184D" w:rsidP="00625DDE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szCs w:val="24"/>
          <w:lang w:val="en-AU" w:eastAsia="en-AU"/>
        </w:rPr>
        <w:t>Notice of Determination of Proposed Grant</w:t>
      </w:r>
    </w:p>
    <w:p w:rsidR="00E13F66" w:rsidRPr="00E13F66" w:rsidRDefault="00AF184D" w:rsidP="00AF184D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szCs w:val="24"/>
          <w:lang w:val="en-AU" w:eastAsia="en-AU"/>
        </w:rPr>
        <w:t>Estate in Fee Simple in Crown Land</w:t>
      </w:r>
    </w:p>
    <w:p w:rsidR="00E13F66" w:rsidRPr="00E13F66" w:rsidRDefault="00E13F66" w:rsidP="00625DDE">
      <w:pPr>
        <w:widowControl w:val="0"/>
        <w:spacing w:before="200" w:after="200" w:line="360" w:lineRule="auto"/>
        <w:jc w:val="both"/>
      </w:pPr>
      <w:r w:rsidRPr="00E13F66">
        <w:t>Notice is hereby given, in pursuance of section 12(6) of the Crown Lands Act that the delegate of the Minister for Lands and Planning has made a determination under section 12(3) of the Act, proposing to grant an estate in fee simple in Crown land, details of which are specified in the Schedule.</w:t>
      </w:r>
    </w:p>
    <w:p w:rsidR="00E13F66" w:rsidRPr="00E13F66" w:rsidRDefault="001D60EB" w:rsidP="00625DDE">
      <w:pPr>
        <w:widowControl w:val="0"/>
        <w:spacing w:before="240" w:after="240" w:line="360" w:lineRule="auto"/>
      </w:pPr>
      <w:r w:rsidRPr="001E7E94">
        <w:t xml:space="preserve">Dated 10 March </w:t>
      </w:r>
      <w:r w:rsidR="00E13F66" w:rsidRPr="00E13F66">
        <w:t>2016</w:t>
      </w:r>
    </w:p>
    <w:p w:rsidR="00E13F66" w:rsidRPr="00E13F66" w:rsidRDefault="001D60EB" w:rsidP="001E7E94">
      <w:pPr>
        <w:widowControl w:val="0"/>
        <w:spacing w:before="240"/>
        <w:jc w:val="right"/>
      </w:pPr>
      <w:r w:rsidRPr="001E7E94">
        <w:t>Lawson Scott Broad</w:t>
      </w:r>
    </w:p>
    <w:p w:rsidR="00E13F66" w:rsidRPr="00E13F66" w:rsidRDefault="00E13F66" w:rsidP="001E7E94">
      <w:pPr>
        <w:widowControl w:val="0"/>
        <w:jc w:val="right"/>
      </w:pPr>
      <w:r w:rsidRPr="00E13F66">
        <w:t>Director Land and Economic Development</w:t>
      </w:r>
    </w:p>
    <w:p w:rsidR="00E13F66" w:rsidRPr="00E13F66" w:rsidRDefault="00E13F66" w:rsidP="001E7E94">
      <w:pPr>
        <w:widowControl w:val="0"/>
        <w:jc w:val="right"/>
      </w:pPr>
      <w:r w:rsidRPr="00E13F66">
        <w:t>Delegate of the Minister</w:t>
      </w:r>
    </w:p>
    <w:p w:rsidR="00E13F66" w:rsidRPr="00E13F66" w:rsidRDefault="00E13F66" w:rsidP="001D60EB">
      <w:pPr>
        <w:widowControl w:val="0"/>
        <w:tabs>
          <w:tab w:val="left" w:pos="0"/>
          <w:tab w:val="left" w:pos="0"/>
        </w:tabs>
        <w:suppressAutoHyphens/>
        <w:spacing w:before="480" w:after="480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szCs w:val="24"/>
          <w:lang w:val="en-AU" w:eastAsia="en-AU"/>
        </w:rPr>
        <w:t>________________________________________________________________</w:t>
      </w:r>
    </w:p>
    <w:p w:rsidR="00E13F66" w:rsidRPr="00E13F66" w:rsidRDefault="001D60EB" w:rsidP="001D60EB">
      <w:pPr>
        <w:widowControl w:val="0"/>
        <w:tabs>
          <w:tab w:val="left" w:pos="0"/>
          <w:tab w:val="left" w:pos="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szCs w:val="24"/>
          <w:lang w:val="en-AU" w:eastAsia="en-AU"/>
        </w:rPr>
        <w:t>Schedule</w:t>
      </w:r>
    </w:p>
    <w:p w:rsidR="00E13F66" w:rsidRPr="00E13F66" w:rsidRDefault="001D60EB" w:rsidP="001D60EB">
      <w:pPr>
        <w:widowControl w:val="0"/>
        <w:tabs>
          <w:tab w:val="left" w:pos="0"/>
          <w:tab w:val="left" w:pos="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E13F66">
        <w:rPr>
          <w:rFonts w:eastAsia="Times New Roman" w:cs="Helvetica"/>
          <w:szCs w:val="24"/>
          <w:lang w:val="en-AU" w:eastAsia="en-AU"/>
        </w:rPr>
        <w:t xml:space="preserve">Details </w:t>
      </w:r>
      <w:r w:rsidR="00E058D0" w:rsidRPr="00E13F66">
        <w:rPr>
          <w:rFonts w:eastAsia="Times New Roman" w:cs="Helvetica"/>
          <w:szCs w:val="24"/>
          <w:lang w:val="en-AU" w:eastAsia="en-AU"/>
        </w:rPr>
        <w:t>o</w:t>
      </w:r>
      <w:r w:rsidRPr="00E13F66">
        <w:rPr>
          <w:rFonts w:eastAsia="Times New Roman" w:cs="Helvetica"/>
          <w:szCs w:val="24"/>
          <w:lang w:val="en-AU" w:eastAsia="en-AU"/>
        </w:rPr>
        <w:t>f Determination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  <w:tblCaption w:val="Schedule"/>
        <w:tblDescription w:val="Details of Determination"/>
      </w:tblPr>
      <w:tblGrid>
        <w:gridCol w:w="4253"/>
        <w:gridCol w:w="567"/>
        <w:gridCol w:w="3969"/>
      </w:tblGrid>
      <w:tr w:rsidR="00E13F66" w:rsidRPr="00E13F66" w:rsidTr="00FC1B7B">
        <w:trPr>
          <w:trHeight w:val="816"/>
        </w:trPr>
        <w:tc>
          <w:tcPr>
            <w:tcW w:w="4253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Description of Crown land the subject of the proposed grant</w:t>
            </w:r>
          </w:p>
        </w:tc>
        <w:tc>
          <w:tcPr>
            <w:tcW w:w="567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:</w:t>
            </w:r>
          </w:p>
        </w:tc>
        <w:tc>
          <w:tcPr>
            <w:tcW w:w="3969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Lot 5260, Town of Darwin</w:t>
            </w:r>
          </w:p>
        </w:tc>
      </w:tr>
      <w:tr w:rsidR="00E13F66" w:rsidRPr="00E13F66" w:rsidTr="00FC1B7B">
        <w:trPr>
          <w:trHeight w:val="760"/>
        </w:trPr>
        <w:tc>
          <w:tcPr>
            <w:tcW w:w="4253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Persons to whom proposed grant is to be made</w:t>
            </w:r>
          </w:p>
        </w:tc>
        <w:tc>
          <w:tcPr>
            <w:tcW w:w="567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:</w:t>
            </w:r>
          </w:p>
        </w:tc>
        <w:tc>
          <w:tcPr>
            <w:tcW w:w="3969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Northern Territory of Australia</w:t>
            </w:r>
          </w:p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(ABN 84 085 992)</w:t>
            </w:r>
          </w:p>
        </w:tc>
      </w:tr>
      <w:tr w:rsidR="00E13F66" w:rsidRPr="00E13F66" w:rsidTr="00FC1B7B">
        <w:trPr>
          <w:trHeight w:val="632"/>
        </w:trPr>
        <w:tc>
          <w:tcPr>
            <w:tcW w:w="4253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Purchase Price</w:t>
            </w:r>
          </w:p>
        </w:tc>
        <w:tc>
          <w:tcPr>
            <w:tcW w:w="567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:</w:t>
            </w:r>
          </w:p>
        </w:tc>
        <w:tc>
          <w:tcPr>
            <w:tcW w:w="3969" w:type="dxa"/>
          </w:tcPr>
          <w:p w:rsidR="00E13F66" w:rsidRPr="00E13F66" w:rsidRDefault="00E13F66" w:rsidP="00FC1B7B">
            <w:pPr>
              <w:ind w:right="1309"/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Nil</w:t>
            </w:r>
          </w:p>
        </w:tc>
      </w:tr>
      <w:tr w:rsidR="00E13F66" w:rsidRPr="00E13F66" w:rsidTr="00FC1B7B">
        <w:trPr>
          <w:trHeight w:val="868"/>
        </w:trPr>
        <w:tc>
          <w:tcPr>
            <w:tcW w:w="4253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Proposed Development</w:t>
            </w:r>
          </w:p>
        </w:tc>
        <w:tc>
          <w:tcPr>
            <w:tcW w:w="567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:</w:t>
            </w:r>
          </w:p>
        </w:tc>
        <w:tc>
          <w:tcPr>
            <w:tcW w:w="3969" w:type="dxa"/>
          </w:tcPr>
          <w:p w:rsidR="00E13F66" w:rsidRPr="00E13F66" w:rsidRDefault="00E13F66" w:rsidP="00E13F66">
            <w:pPr>
              <w:rPr>
                <w:rFonts w:eastAsia="Times New Roman" w:cs="Helvetica"/>
                <w:szCs w:val="24"/>
                <w:lang w:val="en-AU" w:eastAsia="en-AU"/>
              </w:rPr>
            </w:pPr>
            <w:r w:rsidRPr="00E13F66">
              <w:rPr>
                <w:rFonts w:eastAsia="Times New Roman" w:cs="Helvetica"/>
                <w:szCs w:val="24"/>
                <w:lang w:val="en-AU" w:eastAsia="en-AU"/>
              </w:rPr>
              <w:t>Facilitate the</w:t>
            </w:r>
            <w:r w:rsidR="00E058D0">
              <w:rPr>
                <w:rFonts w:eastAsia="Times New Roman" w:cs="Helvetica"/>
                <w:szCs w:val="24"/>
                <w:lang w:val="en-AU" w:eastAsia="en-AU"/>
              </w:rPr>
              <w:t xml:space="preserve"> lease of the lot for ten</w:t>
            </w:r>
            <w:r w:rsidR="00FC1B7B">
              <w:rPr>
                <w:rFonts w:eastAsia="Times New Roman" w:cs="Helvetica"/>
                <w:szCs w:val="24"/>
                <w:lang w:val="en-AU" w:eastAsia="en-AU"/>
              </w:rPr>
              <w:t xml:space="preserve"> </w:t>
            </w:r>
            <w:r w:rsidR="00E058D0">
              <w:rPr>
                <w:rFonts w:eastAsia="Times New Roman" w:cs="Helvetica"/>
                <w:szCs w:val="24"/>
                <w:lang w:val="en-AU" w:eastAsia="en-AU"/>
              </w:rPr>
              <w:t>years</w:t>
            </w:r>
          </w:p>
        </w:tc>
      </w:tr>
    </w:tbl>
    <w:p w:rsidR="000A1A45" w:rsidRPr="00252C86" w:rsidRDefault="000A1A45" w:rsidP="00AF7B59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252C86">
        <w:rPr>
          <w:spacing w:val="-3"/>
        </w:rPr>
        <w:lastRenderedPageBreak/>
        <w:t>Northern Territory of Australia</w:t>
      </w:r>
    </w:p>
    <w:p w:rsidR="000A1A45" w:rsidRPr="004C196F" w:rsidRDefault="000A1A45" w:rsidP="000A1A4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0A1A45" w:rsidRPr="00CE1DB8" w:rsidRDefault="000A1A45" w:rsidP="000A1A45">
      <w:pPr>
        <w:spacing w:line="360" w:lineRule="auto"/>
        <w:jc w:val="center"/>
        <w:rPr>
          <w:spacing w:val="-3"/>
        </w:rPr>
      </w:pPr>
      <w:r>
        <w:rPr>
          <w:spacing w:val="-3"/>
        </w:rPr>
        <w:t>Designation of Independent Public Schools</w:t>
      </w:r>
    </w:p>
    <w:p w:rsidR="000A1A45" w:rsidRDefault="000A1A45" w:rsidP="00FF4ED8">
      <w:pPr>
        <w:spacing w:before="200" w:line="360" w:lineRule="auto"/>
        <w:jc w:val="both"/>
        <w:rPr>
          <w:rFonts w:cs="Helvetica"/>
          <w:i/>
        </w:rPr>
      </w:pPr>
      <w:r w:rsidRPr="00CE1DB8">
        <w:t xml:space="preserve">I, </w:t>
      </w:r>
      <w:r>
        <w:t>Kenneth Lindsay Davies</w:t>
      </w:r>
      <w:r w:rsidRPr="00CE1DB8">
        <w:t xml:space="preserve">, </w:t>
      </w:r>
      <w:r>
        <w:t>Chief Executive Officer of the Department of Education</w:t>
      </w:r>
      <w:r w:rsidRPr="00CE1DB8">
        <w:t>, under section </w:t>
      </w:r>
      <w:r>
        <w:t xml:space="preserve">74(1) </w:t>
      </w:r>
      <w:r w:rsidRPr="00CE1DB8">
        <w:t xml:space="preserve">of the </w:t>
      </w:r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designate each Government school specified in the Schedule as an independent public school.</w:t>
      </w:r>
    </w:p>
    <w:p w:rsidR="000A1A45" w:rsidRPr="00CE1DB8" w:rsidRDefault="000A1A45" w:rsidP="00FF4ED8">
      <w:pPr>
        <w:spacing w:before="240" w:after="240" w:line="360" w:lineRule="auto"/>
      </w:pPr>
      <w:r w:rsidRPr="00CE1DB8">
        <w:t>Dated</w:t>
      </w:r>
      <w:r w:rsidR="00AF7B59">
        <w:t xml:space="preserve"> 11 March 2016</w:t>
      </w:r>
    </w:p>
    <w:p w:rsidR="00AF7B59" w:rsidRDefault="00AF7B59" w:rsidP="008208B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K</w:t>
      </w:r>
      <w:r w:rsidR="001B1D89">
        <w:rPr>
          <w:spacing w:val="-3"/>
        </w:rPr>
        <w:t xml:space="preserve">. </w:t>
      </w:r>
      <w:r>
        <w:rPr>
          <w:spacing w:val="-3"/>
        </w:rPr>
        <w:t>L</w:t>
      </w:r>
      <w:r w:rsidR="001B1D89">
        <w:rPr>
          <w:spacing w:val="-3"/>
        </w:rPr>
        <w:t>.</w:t>
      </w:r>
      <w:r>
        <w:rPr>
          <w:spacing w:val="-3"/>
        </w:rPr>
        <w:t xml:space="preserve"> Davies</w:t>
      </w:r>
    </w:p>
    <w:p w:rsidR="000A1A45" w:rsidRPr="00CE1DB8" w:rsidRDefault="000A1A45" w:rsidP="000A1A4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Chief Executive Officer</w:t>
      </w:r>
    </w:p>
    <w:p w:rsidR="000A1A45" w:rsidRDefault="00FC1B7B" w:rsidP="006735A4">
      <w:pPr>
        <w:spacing w:before="120" w:after="120" w:line="360" w:lineRule="auto"/>
        <w:jc w:val="center"/>
      </w:pPr>
      <w:r>
        <w:t>Schedule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Bakewell</w:t>
      </w:r>
      <w:proofErr w:type="spellEnd"/>
      <w:r>
        <w:t xml:space="preserve"> Primary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Braitling</w:t>
      </w:r>
      <w:proofErr w:type="spellEnd"/>
      <w:r>
        <w:t xml:space="preserve"> Primary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Casuarina</w:t>
      </w:r>
      <w:proofErr w:type="spellEnd"/>
      <w:r>
        <w:t xml:space="preserve"> Senior College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Casuarina</w:t>
      </w:r>
      <w:proofErr w:type="spellEnd"/>
      <w:r>
        <w:t xml:space="preserve"> Street Primary School</w:t>
      </w:r>
    </w:p>
    <w:p w:rsidR="000A1A45" w:rsidRDefault="000A1A45" w:rsidP="000A1A45">
      <w:pPr>
        <w:spacing w:line="360" w:lineRule="auto"/>
        <w:jc w:val="center"/>
      </w:pPr>
      <w:r>
        <w:t>Darwin High School</w:t>
      </w:r>
    </w:p>
    <w:p w:rsidR="000A1A45" w:rsidRDefault="000A1A45" w:rsidP="000A1A45">
      <w:pPr>
        <w:spacing w:line="360" w:lineRule="auto"/>
        <w:jc w:val="center"/>
      </w:pPr>
      <w:r>
        <w:t>Darwin Middle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Durack</w:t>
      </w:r>
      <w:proofErr w:type="spellEnd"/>
      <w:r>
        <w:t xml:space="preserve"> Primary School 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Gunbalanya</w:t>
      </w:r>
      <w:proofErr w:type="spellEnd"/>
      <w:r>
        <w:t xml:space="preserve">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Larrakeyah</w:t>
      </w:r>
      <w:proofErr w:type="spellEnd"/>
      <w:r>
        <w:t xml:space="preserve"> Primary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Leanyer</w:t>
      </w:r>
      <w:proofErr w:type="spellEnd"/>
      <w:r>
        <w:t xml:space="preserve"> Primary School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Palmerston</w:t>
      </w:r>
      <w:proofErr w:type="spellEnd"/>
      <w:r>
        <w:t xml:space="preserve"> Senior College</w:t>
      </w:r>
    </w:p>
    <w:p w:rsidR="000A1A45" w:rsidRDefault="000A1A45" w:rsidP="000A1A45">
      <w:pPr>
        <w:spacing w:line="360" w:lineRule="auto"/>
        <w:jc w:val="center"/>
      </w:pPr>
      <w:proofErr w:type="spellStart"/>
      <w:r>
        <w:t>Taminmin</w:t>
      </w:r>
      <w:proofErr w:type="spellEnd"/>
      <w:r>
        <w:t xml:space="preserve"> College</w:t>
      </w:r>
    </w:p>
    <w:p w:rsidR="000A1A45" w:rsidRPr="00600356" w:rsidRDefault="000A1A45" w:rsidP="000A1A45">
      <w:pPr>
        <w:spacing w:line="360" w:lineRule="auto"/>
        <w:jc w:val="center"/>
      </w:pPr>
      <w:proofErr w:type="spellStart"/>
      <w:r>
        <w:t>Wulagi</w:t>
      </w:r>
      <w:proofErr w:type="spellEnd"/>
      <w:r>
        <w:t xml:space="preserve"> Primary School</w:t>
      </w:r>
    </w:p>
    <w:p w:rsidR="002B74DA" w:rsidRPr="001F2D88" w:rsidRDefault="002B74DA" w:rsidP="00657742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 xml:space="preserve">Northern Territory </w:t>
      </w:r>
      <w:r>
        <w:rPr>
          <w:spacing w:val="-3"/>
        </w:rPr>
        <w:t>o</w:t>
      </w:r>
      <w:r w:rsidRPr="00CE1DB8">
        <w:rPr>
          <w:spacing w:val="-3"/>
        </w:rPr>
        <w:t>f Australia</w:t>
      </w:r>
    </w:p>
    <w:p w:rsidR="002B74DA" w:rsidRPr="004C196F" w:rsidRDefault="002B74DA" w:rsidP="002B74D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2B74DA" w:rsidRDefault="002B74DA" w:rsidP="002B74DA">
      <w:pPr>
        <w:spacing w:line="360" w:lineRule="auto"/>
        <w:jc w:val="center"/>
        <w:rPr>
          <w:spacing w:val="-3"/>
        </w:rPr>
      </w:pPr>
      <w:r>
        <w:rPr>
          <w:spacing w:val="-3"/>
        </w:rPr>
        <w:t>Permanent Declaration of Heritage Place</w:t>
      </w:r>
    </w:p>
    <w:p w:rsidR="002B74DA" w:rsidRDefault="002B74DA" w:rsidP="00BC58BA">
      <w:pPr>
        <w:spacing w:before="240" w:line="360" w:lineRule="auto"/>
        <w:jc w:val="both"/>
      </w:pPr>
      <w:r>
        <w:t xml:space="preserve">I, David William Tollner, Minister for Lands and Planning, under section 34(1) of the </w:t>
      </w:r>
      <w:r>
        <w:rPr>
          <w:i/>
        </w:rPr>
        <w:t>Heritage Act</w:t>
      </w:r>
      <w:r>
        <w:t>, permanently declare the place described in the Schedule, Part</w:t>
      </w:r>
      <w:r w:rsidR="006E528E">
        <w:t> </w:t>
      </w:r>
      <w:r>
        <w:t>A and depicted in the Schedule,</w:t>
      </w:r>
      <w:r w:rsidRPr="0023105F">
        <w:t xml:space="preserve"> </w:t>
      </w:r>
      <w:r>
        <w:t>Part B, known as the Roper River Police Station, to be a heritage place.</w:t>
      </w:r>
    </w:p>
    <w:p w:rsidR="002B74DA" w:rsidRDefault="002B74DA" w:rsidP="00BC58BA">
      <w:pPr>
        <w:spacing w:before="240" w:after="240" w:line="360" w:lineRule="auto"/>
        <w:jc w:val="both"/>
      </w:pPr>
      <w:r>
        <w:t>Dated</w:t>
      </w:r>
      <w:r w:rsidR="00BC58BA">
        <w:t xml:space="preserve"> 9 March 2016</w:t>
      </w:r>
    </w:p>
    <w:p w:rsidR="00BC58BA" w:rsidRDefault="00BC58BA" w:rsidP="003E6A44">
      <w:pPr>
        <w:spacing w:before="240"/>
        <w:jc w:val="right"/>
      </w:pPr>
      <w:r>
        <w:t>D</w:t>
      </w:r>
      <w:r w:rsidR="001B1D89">
        <w:t xml:space="preserve">. </w:t>
      </w:r>
      <w:r>
        <w:t>W</w:t>
      </w:r>
      <w:r w:rsidR="001B1D89">
        <w:t>.</w:t>
      </w:r>
      <w:r>
        <w:t xml:space="preserve"> Tollner</w:t>
      </w:r>
    </w:p>
    <w:p w:rsidR="002B74DA" w:rsidRDefault="002B74DA" w:rsidP="00BC58BA">
      <w:pPr>
        <w:jc w:val="right"/>
      </w:pPr>
      <w:r>
        <w:t>Minister for Lands and Planning</w:t>
      </w:r>
    </w:p>
    <w:p w:rsidR="003E6A44" w:rsidRPr="00087BC7" w:rsidRDefault="003E6A44" w:rsidP="00657742">
      <w:pPr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087BC7">
        <w:rPr>
          <w:spacing w:val="-3"/>
        </w:rPr>
        <w:t xml:space="preserve">Schedule </w:t>
      </w:r>
    </w:p>
    <w:p w:rsidR="003E6A44" w:rsidRPr="00087BC7" w:rsidRDefault="003E6A44" w:rsidP="003E6A44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087BC7">
        <w:rPr>
          <w:spacing w:val="-3"/>
        </w:rPr>
        <w:t>Part A</w:t>
      </w:r>
    </w:p>
    <w:p w:rsidR="003E6A44" w:rsidRDefault="003E6A44" w:rsidP="004755C2">
      <w:pPr>
        <w:spacing w:before="240" w:after="240" w:line="360" w:lineRule="auto"/>
        <w:jc w:val="both"/>
        <w:rPr>
          <w:rFonts w:cs="Helvetica"/>
        </w:rPr>
      </w:pPr>
      <w:r w:rsidRPr="00087BC7">
        <w:rPr>
          <w:rFonts w:cs="Helvetica"/>
        </w:rPr>
        <w:t xml:space="preserve">All that parcel of land in </w:t>
      </w:r>
      <w:proofErr w:type="spellStart"/>
      <w:r w:rsidRPr="00087BC7">
        <w:rPr>
          <w:rFonts w:cs="Helvetica"/>
        </w:rPr>
        <w:t>Limmen</w:t>
      </w:r>
      <w:proofErr w:type="spellEnd"/>
      <w:r w:rsidRPr="00087BC7">
        <w:rPr>
          <w:rFonts w:cs="Helvetica"/>
        </w:rPr>
        <w:t xml:space="preserve">, near the Town of </w:t>
      </w:r>
      <w:proofErr w:type="spellStart"/>
      <w:r w:rsidRPr="00087BC7">
        <w:rPr>
          <w:rFonts w:cs="Helvetica"/>
        </w:rPr>
        <w:t>Urapunga</w:t>
      </w:r>
      <w:proofErr w:type="spellEnd"/>
      <w:r w:rsidRPr="00087BC7">
        <w:rPr>
          <w:rFonts w:cs="Helvetica"/>
        </w:rPr>
        <w:t>, Northern Territory of Australia containing an area of 2.4 hectares more or less being that p</w:t>
      </w:r>
      <w:r>
        <w:rPr>
          <w:rFonts w:cs="Helvetica"/>
        </w:rPr>
        <w:t>art of NT</w:t>
      </w:r>
      <w:r w:rsidR="00617392">
        <w:rPr>
          <w:rFonts w:cs="Helvetica"/>
        </w:rPr>
        <w:t> </w:t>
      </w:r>
      <w:r>
        <w:rPr>
          <w:rFonts w:cs="Helvetica"/>
        </w:rPr>
        <w:t>Portions 2632 and 4352 and road designated as NT </w:t>
      </w:r>
      <w:r w:rsidRPr="00087BC7">
        <w:rPr>
          <w:rFonts w:cs="Helvetica"/>
        </w:rPr>
        <w:t xml:space="preserve">Portion 7475(A) and bounded by straight lines connecting in succession the Map Grid of Australia (Zone </w:t>
      </w:r>
      <w:r>
        <w:rPr>
          <w:rFonts w:cs="Helvetica"/>
        </w:rPr>
        <w:t>53) co-ordinates listed below.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  <w:tblCaption w:val="Schedule - Part A"/>
        <w:tblDescription w:val="Portions 2632 and 4352 Co-ordinates"/>
      </w:tblPr>
      <w:tblGrid>
        <w:gridCol w:w="3278"/>
        <w:gridCol w:w="2416"/>
        <w:gridCol w:w="2666"/>
      </w:tblGrid>
      <w:tr w:rsidR="003E6A44" w:rsidRPr="00087BC7" w:rsidTr="000A4D10">
        <w:trPr>
          <w:jc w:val="center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3E6A44" w:rsidRPr="00087BC7" w:rsidRDefault="003E6A44" w:rsidP="004755C2">
            <w:pPr>
              <w:spacing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Point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3E6A44" w:rsidRPr="00087BC7" w:rsidRDefault="003E6A44" w:rsidP="00EF00F2">
            <w:pPr>
              <w:spacing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Easting (</w:t>
            </w:r>
            <w:proofErr w:type="spellStart"/>
            <w:r w:rsidRPr="00087BC7">
              <w:rPr>
                <w:spacing w:val="-3"/>
              </w:rPr>
              <w:t>metres</w:t>
            </w:r>
            <w:proofErr w:type="spellEnd"/>
            <w:r w:rsidRPr="00087BC7">
              <w:rPr>
                <w:spacing w:val="-3"/>
              </w:rPr>
              <w:t>)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3E6A44" w:rsidRPr="00087BC7" w:rsidRDefault="003E6A44" w:rsidP="00EF00F2">
            <w:pPr>
              <w:spacing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Northing (</w:t>
            </w:r>
            <w:proofErr w:type="spellStart"/>
            <w:r w:rsidRPr="00087BC7">
              <w:rPr>
                <w:spacing w:val="-3"/>
              </w:rPr>
              <w:t>metres</w:t>
            </w:r>
            <w:proofErr w:type="spellEnd"/>
            <w:r w:rsidRPr="00087BC7">
              <w:rPr>
                <w:spacing w:val="-3"/>
              </w:rPr>
              <w:t>)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446 996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8 373 063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446 907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8 373 135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446 876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8 373 201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446 973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8 373 239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447 072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8 373 230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6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447 082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8 373 199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7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447 060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8 373 119</w:t>
            </w:r>
          </w:p>
        </w:tc>
      </w:tr>
      <w:tr w:rsidR="003E6A44" w:rsidRPr="00087BC7" w:rsidTr="000A4D10">
        <w:trPr>
          <w:jc w:val="center"/>
        </w:trPr>
        <w:tc>
          <w:tcPr>
            <w:tcW w:w="3278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jc w:val="center"/>
              <w:rPr>
                <w:spacing w:val="-3"/>
              </w:rPr>
            </w:pPr>
            <w:r w:rsidRPr="00087BC7">
              <w:rPr>
                <w:spacing w:val="-3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446 996</w:t>
            </w:r>
          </w:p>
        </w:tc>
        <w:tc>
          <w:tcPr>
            <w:tcW w:w="2666" w:type="dxa"/>
            <w:shd w:val="clear" w:color="auto" w:fill="auto"/>
          </w:tcPr>
          <w:p w:rsidR="003E6A44" w:rsidRPr="00087BC7" w:rsidRDefault="003E6A44" w:rsidP="00EF00F2">
            <w:pPr>
              <w:spacing w:before="60" w:line="360" w:lineRule="auto"/>
              <w:rPr>
                <w:spacing w:val="-3"/>
              </w:rPr>
            </w:pPr>
            <w:r w:rsidRPr="00087BC7">
              <w:rPr>
                <w:spacing w:val="-3"/>
              </w:rPr>
              <w:t>8 373 063</w:t>
            </w:r>
          </w:p>
        </w:tc>
      </w:tr>
    </w:tbl>
    <w:p w:rsidR="003E6A44" w:rsidRDefault="003E6A44" w:rsidP="00DD30CF">
      <w:pPr>
        <w:jc w:val="right"/>
      </w:pPr>
    </w:p>
    <w:p w:rsidR="00CC079E" w:rsidRDefault="00CC079E" w:rsidP="00F855DB">
      <w:pPr>
        <w:keepNext/>
        <w:pageBreakBefore/>
        <w:tabs>
          <w:tab w:val="left" w:pos="8640"/>
        </w:tabs>
        <w:spacing w:before="480" w:after="120" w:line="360" w:lineRule="auto"/>
        <w:jc w:val="center"/>
        <w:rPr>
          <w:spacing w:val="-3"/>
        </w:rPr>
      </w:pPr>
      <w:r>
        <w:rPr>
          <w:spacing w:val="-3"/>
        </w:rPr>
        <w:lastRenderedPageBreak/>
        <w:t>Schedule</w:t>
      </w:r>
    </w:p>
    <w:p w:rsidR="00CC079E" w:rsidRDefault="00CC079E" w:rsidP="00F855DB">
      <w:pPr>
        <w:keepNext/>
        <w:tabs>
          <w:tab w:val="left" w:pos="8640"/>
        </w:tabs>
        <w:spacing w:after="120" w:line="360" w:lineRule="auto"/>
        <w:jc w:val="center"/>
        <w:rPr>
          <w:spacing w:val="-3"/>
        </w:rPr>
      </w:pPr>
      <w:r>
        <w:rPr>
          <w:spacing w:val="-3"/>
        </w:rPr>
        <w:t xml:space="preserve">Part B </w:t>
      </w:r>
    </w:p>
    <w:p w:rsidR="00CC079E" w:rsidRDefault="000A4D10" w:rsidP="00F855DB">
      <w:pPr>
        <w:spacing w:before="24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2705100" cy="2695575"/>
            <wp:effectExtent l="0" t="0" r="0" b="9525"/>
            <wp:docPr id="6" name="Picture 6" descr="Map - NT Portion 7475 (A)" title="Schedule - Part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A9" w:rsidRPr="001F2D88" w:rsidRDefault="009111A9" w:rsidP="00214284">
      <w:pPr>
        <w:tabs>
          <w:tab w:val="left" w:pos="8640"/>
        </w:tabs>
        <w:spacing w:before="1080" w:line="360" w:lineRule="auto"/>
        <w:jc w:val="center"/>
        <w:rPr>
          <w:spacing w:val="-3"/>
        </w:rPr>
      </w:pPr>
      <w:r w:rsidRPr="00CE1DB8">
        <w:rPr>
          <w:spacing w:val="-3"/>
        </w:rPr>
        <w:t xml:space="preserve">Northern Territory </w:t>
      </w:r>
      <w:r>
        <w:rPr>
          <w:spacing w:val="-3"/>
        </w:rPr>
        <w:t>o</w:t>
      </w:r>
      <w:r w:rsidRPr="00CE1DB8">
        <w:rPr>
          <w:spacing w:val="-3"/>
        </w:rPr>
        <w:t>f Australia</w:t>
      </w:r>
    </w:p>
    <w:p w:rsidR="009111A9" w:rsidRPr="004C196F" w:rsidRDefault="009111A9" w:rsidP="009111A9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9111A9" w:rsidRDefault="009111A9" w:rsidP="005547A8">
      <w:pPr>
        <w:spacing w:line="360" w:lineRule="auto"/>
        <w:jc w:val="center"/>
        <w:rPr>
          <w:spacing w:val="-3"/>
        </w:rPr>
      </w:pPr>
      <w:r>
        <w:rPr>
          <w:spacing w:val="-3"/>
        </w:rPr>
        <w:t>Permanent Declaration of Heritage Place</w:t>
      </w:r>
    </w:p>
    <w:p w:rsidR="009111A9" w:rsidRDefault="009111A9" w:rsidP="005547A8">
      <w:pPr>
        <w:spacing w:before="240" w:line="360" w:lineRule="auto"/>
        <w:jc w:val="both"/>
      </w:pPr>
      <w:r>
        <w:t xml:space="preserve">I, David William Tollner, Minister for Lands and Planning, under section 34(1) of the </w:t>
      </w:r>
      <w:r>
        <w:rPr>
          <w:i/>
        </w:rPr>
        <w:t>Heritage Act</w:t>
      </w:r>
      <w:r>
        <w:t>, permanently declare the place described in the Schedule, Part</w:t>
      </w:r>
      <w:r w:rsidR="008B02D9">
        <w:t> </w:t>
      </w:r>
      <w:r>
        <w:t xml:space="preserve">A and depicted in the Schedule, Part B, known as the </w:t>
      </w:r>
      <w:proofErr w:type="spellStart"/>
      <w:r>
        <w:t>Yuendumu</w:t>
      </w:r>
      <w:proofErr w:type="spellEnd"/>
      <w:r>
        <w:t xml:space="preserve"> Iron Building, to be a heritage place.</w:t>
      </w:r>
    </w:p>
    <w:p w:rsidR="009111A9" w:rsidRDefault="009111A9" w:rsidP="005547A8">
      <w:pPr>
        <w:spacing w:before="240" w:after="240" w:line="360" w:lineRule="auto"/>
        <w:jc w:val="both"/>
      </w:pPr>
      <w:r>
        <w:t>Dated</w:t>
      </w:r>
      <w:r w:rsidR="005547A8">
        <w:t xml:space="preserve"> 9 March 2016</w:t>
      </w:r>
    </w:p>
    <w:p w:rsidR="005547A8" w:rsidRDefault="005547A8" w:rsidP="005547A8">
      <w:pPr>
        <w:spacing w:before="240"/>
        <w:jc w:val="right"/>
      </w:pPr>
      <w:r>
        <w:t>D</w:t>
      </w:r>
      <w:r w:rsidR="0074563E">
        <w:t>.</w:t>
      </w:r>
      <w:r>
        <w:t xml:space="preserve"> W</w:t>
      </w:r>
      <w:r w:rsidR="0074563E">
        <w:t>.</w:t>
      </w:r>
      <w:r>
        <w:t xml:space="preserve"> Tollner</w:t>
      </w:r>
    </w:p>
    <w:p w:rsidR="009111A9" w:rsidRDefault="009111A9" w:rsidP="009111A9">
      <w:pPr>
        <w:spacing w:after="120" w:line="360" w:lineRule="auto"/>
        <w:jc w:val="right"/>
      </w:pPr>
      <w:r>
        <w:t>Minister for Lands and Planning</w:t>
      </w:r>
    </w:p>
    <w:p w:rsidR="009111A9" w:rsidRDefault="0074563E" w:rsidP="0046795F">
      <w:pPr>
        <w:pageBreakBefore/>
        <w:tabs>
          <w:tab w:val="left" w:pos="8640"/>
        </w:tabs>
        <w:spacing w:before="480" w:after="120" w:line="360" w:lineRule="auto"/>
        <w:jc w:val="center"/>
        <w:rPr>
          <w:spacing w:val="-3"/>
        </w:rPr>
      </w:pPr>
      <w:r>
        <w:rPr>
          <w:spacing w:val="-3"/>
        </w:rPr>
        <w:lastRenderedPageBreak/>
        <w:t xml:space="preserve">Schedule </w:t>
      </w:r>
    </w:p>
    <w:p w:rsidR="009111A9" w:rsidRDefault="009111A9" w:rsidP="009111A9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t>Part A</w:t>
      </w:r>
    </w:p>
    <w:p w:rsidR="009111A9" w:rsidRDefault="009111A9" w:rsidP="0074563E">
      <w:pPr>
        <w:tabs>
          <w:tab w:val="left" w:pos="8640"/>
        </w:tabs>
        <w:spacing w:before="200" w:after="120" w:line="360" w:lineRule="auto"/>
        <w:jc w:val="both"/>
        <w:rPr>
          <w:rFonts w:cs="Helvetica"/>
        </w:rPr>
      </w:pPr>
      <w:r>
        <w:rPr>
          <w:rFonts w:cs="Helvetica"/>
        </w:rPr>
        <w:t xml:space="preserve">All that parcel of land in the Northern Territory of Australia containing an area of 211 square </w:t>
      </w:r>
      <w:proofErr w:type="spellStart"/>
      <w:r>
        <w:rPr>
          <w:rFonts w:cs="Helvetica"/>
        </w:rPr>
        <w:t>metres</w:t>
      </w:r>
      <w:proofErr w:type="spellEnd"/>
      <w:r>
        <w:rPr>
          <w:rFonts w:cs="Helvetica"/>
        </w:rPr>
        <w:t xml:space="preserve"> more or less being that part of NT Portion 1633 (</w:t>
      </w:r>
      <w:proofErr w:type="spellStart"/>
      <w:r>
        <w:rPr>
          <w:rFonts w:cs="Helvetica"/>
        </w:rPr>
        <w:t>Yuendumu</w:t>
      </w:r>
      <w:proofErr w:type="spellEnd"/>
      <w:r w:rsidR="008B02D9">
        <w:rPr>
          <w:rFonts w:cs="Helvetica"/>
        </w:rPr>
        <w:t> </w:t>
      </w:r>
      <w:r>
        <w:rPr>
          <w:rFonts w:cs="Helvetica"/>
        </w:rPr>
        <w:t xml:space="preserve">Aboriginal Land Trust) designated as Lot 713(A) </w:t>
      </w:r>
      <w:proofErr w:type="spellStart"/>
      <w:r>
        <w:rPr>
          <w:rFonts w:cs="Helvetica"/>
        </w:rPr>
        <w:t>Townsite</w:t>
      </w:r>
      <w:proofErr w:type="spellEnd"/>
      <w:r>
        <w:rPr>
          <w:rFonts w:cs="Helvetica"/>
        </w:rPr>
        <w:t xml:space="preserve"> of </w:t>
      </w:r>
      <w:proofErr w:type="spellStart"/>
      <w:r>
        <w:rPr>
          <w:rFonts w:cs="Helvetica"/>
        </w:rPr>
        <w:t>Yuendumu</w:t>
      </w:r>
      <w:proofErr w:type="spellEnd"/>
      <w:r>
        <w:rPr>
          <w:rFonts w:cs="Helvetica"/>
        </w:rPr>
        <w:t xml:space="preserve"> and more particularly described by the co-ordinates listed below.</w:t>
      </w:r>
    </w:p>
    <w:tbl>
      <w:tblPr>
        <w:tblW w:w="8789" w:type="dxa"/>
        <w:tblInd w:w="108" w:type="dxa"/>
        <w:tblLook w:val="04A0" w:firstRow="1" w:lastRow="0" w:firstColumn="1" w:lastColumn="0" w:noHBand="0" w:noVBand="1"/>
        <w:tblCaption w:val="Schedule - Part A"/>
        <w:tblDescription w:val="NT Portion 1633 Co-ordinates "/>
      </w:tblPr>
      <w:tblGrid>
        <w:gridCol w:w="2734"/>
        <w:gridCol w:w="2843"/>
        <w:gridCol w:w="3212"/>
      </w:tblGrid>
      <w:tr w:rsidR="009111A9" w:rsidRPr="0024536B" w:rsidTr="003A3615"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center"/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center"/>
            </w:pPr>
            <w:r w:rsidRPr="0024536B">
              <w:t>Easting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center"/>
            </w:pPr>
            <w:r w:rsidRPr="0024536B">
              <w:t>Northing</w:t>
            </w:r>
          </w:p>
        </w:tc>
      </w:tr>
      <w:tr w:rsidR="009111A9" w:rsidRPr="0024536B" w:rsidTr="003A3615"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/>
              <w:jc w:val="both"/>
            </w:pPr>
            <w:r w:rsidRPr="0024536B">
              <w:t>North West Corner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788</w:t>
            </w:r>
            <w:r>
              <w:t xml:space="preserve"> </w:t>
            </w:r>
            <w:r w:rsidRPr="0024536B">
              <w:t>273.35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</w:t>
            </w:r>
            <w:r>
              <w:t xml:space="preserve"> </w:t>
            </w:r>
            <w:r w:rsidRPr="0024536B">
              <w:t>536</w:t>
            </w:r>
            <w:r>
              <w:t xml:space="preserve"> </w:t>
            </w:r>
            <w:r w:rsidRPr="0024536B">
              <w:t>299.39</w:t>
            </w:r>
          </w:p>
        </w:tc>
      </w:tr>
      <w:tr w:rsidR="009111A9" w:rsidRPr="0024536B" w:rsidTr="003A3615">
        <w:tc>
          <w:tcPr>
            <w:tcW w:w="2734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both"/>
            </w:pPr>
            <w:r w:rsidRPr="0024536B">
              <w:t>North East Corner</w:t>
            </w:r>
          </w:p>
        </w:tc>
        <w:tc>
          <w:tcPr>
            <w:tcW w:w="2843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788</w:t>
            </w:r>
            <w:r>
              <w:t xml:space="preserve"> </w:t>
            </w:r>
            <w:r w:rsidRPr="0024536B">
              <w:t>286.53</w:t>
            </w:r>
          </w:p>
        </w:tc>
        <w:tc>
          <w:tcPr>
            <w:tcW w:w="3212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</w:t>
            </w:r>
            <w:r>
              <w:t xml:space="preserve"> </w:t>
            </w:r>
            <w:r w:rsidRPr="0024536B">
              <w:t>536</w:t>
            </w:r>
            <w:r>
              <w:t xml:space="preserve"> </w:t>
            </w:r>
            <w:r w:rsidRPr="0024536B">
              <w:t>298.55</w:t>
            </w:r>
          </w:p>
        </w:tc>
      </w:tr>
      <w:tr w:rsidR="009111A9" w:rsidRPr="0024536B" w:rsidTr="003A3615">
        <w:tc>
          <w:tcPr>
            <w:tcW w:w="2734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both"/>
            </w:pPr>
            <w:r w:rsidRPr="0024536B">
              <w:t>South East Corner</w:t>
            </w:r>
          </w:p>
        </w:tc>
        <w:tc>
          <w:tcPr>
            <w:tcW w:w="2843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788</w:t>
            </w:r>
            <w:r>
              <w:t xml:space="preserve"> </w:t>
            </w:r>
            <w:r w:rsidRPr="0024536B">
              <w:t>285.46</w:t>
            </w:r>
          </w:p>
        </w:tc>
        <w:tc>
          <w:tcPr>
            <w:tcW w:w="3212" w:type="dxa"/>
            <w:shd w:val="clear" w:color="auto" w:fill="auto"/>
          </w:tcPr>
          <w:p w:rsidR="009111A9" w:rsidRPr="0024536B" w:rsidRDefault="009111A9" w:rsidP="000E0575">
            <w:pPr>
              <w:spacing w:before="120"/>
              <w:jc w:val="center"/>
            </w:pPr>
            <w:r w:rsidRPr="0024536B">
              <w:t>7</w:t>
            </w:r>
            <w:r>
              <w:t xml:space="preserve"> </w:t>
            </w:r>
            <w:r w:rsidRPr="0024536B">
              <w:t>536</w:t>
            </w:r>
            <w:r>
              <w:t xml:space="preserve"> </w:t>
            </w:r>
            <w:r w:rsidRPr="0024536B">
              <w:t>281.78</w:t>
            </w:r>
          </w:p>
        </w:tc>
      </w:tr>
      <w:tr w:rsidR="009111A9" w:rsidRPr="0024536B" w:rsidTr="003A3615"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both"/>
            </w:pPr>
            <w:r w:rsidRPr="0024536B">
              <w:t>South West Corner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center"/>
            </w:pPr>
            <w:r w:rsidRPr="0024536B">
              <w:t>788</w:t>
            </w:r>
            <w:r>
              <w:t xml:space="preserve"> </w:t>
            </w:r>
            <w:r w:rsidRPr="0024536B">
              <w:t>272.29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9111A9" w:rsidRPr="0024536B" w:rsidRDefault="009111A9" w:rsidP="000E0575">
            <w:pPr>
              <w:spacing w:before="120" w:after="120"/>
              <w:jc w:val="center"/>
            </w:pPr>
            <w:r w:rsidRPr="0024536B">
              <w:t>7</w:t>
            </w:r>
            <w:r>
              <w:t xml:space="preserve"> </w:t>
            </w:r>
            <w:r w:rsidRPr="0024536B">
              <w:t>536</w:t>
            </w:r>
            <w:r>
              <w:t xml:space="preserve"> </w:t>
            </w:r>
            <w:r w:rsidRPr="0024536B">
              <w:t>282.62</w:t>
            </w:r>
          </w:p>
        </w:tc>
      </w:tr>
    </w:tbl>
    <w:p w:rsidR="009111A9" w:rsidRPr="0019034C" w:rsidRDefault="009111A9" w:rsidP="003A3615">
      <w:pPr>
        <w:spacing w:before="120"/>
        <w:rPr>
          <w:i/>
          <w:sz w:val="20"/>
          <w:szCs w:val="20"/>
        </w:rPr>
      </w:pPr>
      <w:r w:rsidRPr="0019034C">
        <w:rPr>
          <w:i/>
          <w:sz w:val="20"/>
          <w:szCs w:val="20"/>
        </w:rPr>
        <w:t>Note</w:t>
      </w:r>
    </w:p>
    <w:p w:rsidR="009111A9" w:rsidRPr="0019034C" w:rsidRDefault="009111A9" w:rsidP="009111A9">
      <w:pPr>
        <w:spacing w:before="120"/>
        <w:rPr>
          <w:i/>
          <w:sz w:val="20"/>
          <w:szCs w:val="20"/>
        </w:rPr>
      </w:pPr>
      <w:r w:rsidRPr="0019034C">
        <w:rPr>
          <w:i/>
          <w:sz w:val="20"/>
          <w:szCs w:val="20"/>
        </w:rPr>
        <w:t>All co-ordinates quoted being on Geocentric Datum of Australia 1994 Zone 52.</w:t>
      </w:r>
    </w:p>
    <w:p w:rsidR="009111A9" w:rsidRDefault="003A3615" w:rsidP="0046795F">
      <w:pPr>
        <w:tabs>
          <w:tab w:val="left" w:pos="8640"/>
        </w:tabs>
        <w:spacing w:before="480" w:after="120" w:line="360" w:lineRule="auto"/>
        <w:jc w:val="center"/>
        <w:rPr>
          <w:spacing w:val="-3"/>
        </w:rPr>
      </w:pPr>
      <w:r>
        <w:rPr>
          <w:spacing w:val="-3"/>
        </w:rPr>
        <w:t>Schedule</w:t>
      </w:r>
    </w:p>
    <w:p w:rsidR="009111A9" w:rsidRDefault="009111A9" w:rsidP="0046795F">
      <w:pPr>
        <w:tabs>
          <w:tab w:val="left" w:pos="8640"/>
        </w:tabs>
        <w:spacing w:after="120" w:line="360" w:lineRule="auto"/>
        <w:jc w:val="center"/>
        <w:rPr>
          <w:spacing w:val="-3"/>
        </w:rPr>
      </w:pPr>
      <w:r>
        <w:rPr>
          <w:spacing w:val="-3"/>
        </w:rPr>
        <w:t>Part B</w:t>
      </w:r>
    </w:p>
    <w:p w:rsidR="000428BD" w:rsidRDefault="009111A9" w:rsidP="00440FDD">
      <w:pPr>
        <w:spacing w:before="240"/>
        <w:jc w:val="center"/>
      </w:pPr>
      <w:r>
        <w:rPr>
          <w:noProof/>
          <w:spacing w:val="-3"/>
          <w:lang w:val="en-AU" w:eastAsia="en-AU"/>
        </w:rPr>
        <w:drawing>
          <wp:inline distT="0" distB="0" distL="0" distR="0">
            <wp:extent cx="2933700" cy="2952000"/>
            <wp:effectExtent l="0" t="0" r="0" b="1270"/>
            <wp:docPr id="3" name="Picture 3" descr="Map - Lot 713 (A)" title="Schedule - Par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-3110" r="10" b="-598"/>
                    <a:stretch/>
                  </pic:blipFill>
                  <pic:spPr bwMode="auto">
                    <a:xfrm>
                      <a:off x="0" y="0"/>
                      <a:ext cx="2968293" cy="29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8ED" w:rsidRPr="00252C86" w:rsidRDefault="003168ED" w:rsidP="003168ED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252C86">
        <w:rPr>
          <w:spacing w:val="-3"/>
        </w:rPr>
        <w:lastRenderedPageBreak/>
        <w:t>Northern Territory of Australia</w:t>
      </w:r>
    </w:p>
    <w:p w:rsidR="003168ED" w:rsidRPr="004C196F" w:rsidRDefault="003168ED" w:rsidP="003168E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3168ED" w:rsidRDefault="003168ED" w:rsidP="003168ED">
      <w:pPr>
        <w:spacing w:line="360" w:lineRule="auto"/>
        <w:jc w:val="center"/>
        <w:rPr>
          <w:spacing w:val="-3"/>
        </w:rPr>
      </w:pPr>
      <w:r>
        <w:rPr>
          <w:spacing w:val="-3"/>
        </w:rPr>
        <w:t>Permanent Declaration of Heritage Object</w:t>
      </w:r>
    </w:p>
    <w:p w:rsidR="003168ED" w:rsidRDefault="003168ED" w:rsidP="003168ED">
      <w:pPr>
        <w:spacing w:before="240" w:line="360" w:lineRule="auto"/>
        <w:jc w:val="both"/>
      </w:pPr>
      <w:r>
        <w:t xml:space="preserve">I, David William Tollner, Minister for Lands and Planning, under section 34(1) of the </w:t>
      </w:r>
      <w:r>
        <w:rPr>
          <w:i/>
        </w:rPr>
        <w:t>Heritage Act</w:t>
      </w:r>
      <w:r>
        <w:t>, permanently declare Old Mount Riddock Homestead to be a heritage object.</w:t>
      </w:r>
    </w:p>
    <w:p w:rsidR="003168ED" w:rsidRDefault="003168ED" w:rsidP="003168ED">
      <w:pPr>
        <w:spacing w:before="240" w:after="240" w:line="360" w:lineRule="auto"/>
        <w:jc w:val="both"/>
      </w:pPr>
      <w:r>
        <w:t>Dated 19 February 2016</w:t>
      </w:r>
    </w:p>
    <w:p w:rsidR="003168ED" w:rsidRDefault="003168ED" w:rsidP="003168ED">
      <w:pPr>
        <w:spacing w:before="240"/>
        <w:jc w:val="right"/>
      </w:pPr>
      <w:r>
        <w:t>D. W. Tollner</w:t>
      </w:r>
    </w:p>
    <w:p w:rsidR="003168ED" w:rsidRDefault="003168ED" w:rsidP="003168ED">
      <w:pPr>
        <w:spacing w:after="120"/>
        <w:jc w:val="right"/>
      </w:pPr>
      <w:r>
        <w:t>Minister for Lands and Planning</w:t>
      </w:r>
    </w:p>
    <w:p w:rsidR="00A60FC5" w:rsidRPr="001F2D88" w:rsidRDefault="00A60FC5" w:rsidP="00214284">
      <w:pPr>
        <w:tabs>
          <w:tab w:val="left" w:pos="8640"/>
        </w:tabs>
        <w:spacing w:before="1080" w:line="360" w:lineRule="auto"/>
        <w:jc w:val="center"/>
        <w:rPr>
          <w:spacing w:val="-3"/>
        </w:rPr>
      </w:pPr>
      <w:r w:rsidRPr="00CE1DB8">
        <w:rPr>
          <w:spacing w:val="-3"/>
        </w:rPr>
        <w:t xml:space="preserve">Northern Territory </w:t>
      </w:r>
      <w:r>
        <w:rPr>
          <w:spacing w:val="-3"/>
        </w:rPr>
        <w:t>o</w:t>
      </w:r>
      <w:r w:rsidRPr="00CE1DB8">
        <w:rPr>
          <w:spacing w:val="-3"/>
        </w:rPr>
        <w:t>f Australia</w:t>
      </w:r>
    </w:p>
    <w:p w:rsidR="00A60FC5" w:rsidRPr="004C196F" w:rsidRDefault="00A60FC5" w:rsidP="00A60FC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Heritage Act</w:t>
      </w:r>
    </w:p>
    <w:p w:rsidR="00A60FC5" w:rsidRDefault="00A60FC5" w:rsidP="00A60FC5">
      <w:pPr>
        <w:spacing w:line="360" w:lineRule="auto"/>
        <w:jc w:val="center"/>
        <w:rPr>
          <w:spacing w:val="-3"/>
        </w:rPr>
      </w:pPr>
      <w:r>
        <w:rPr>
          <w:spacing w:val="-3"/>
        </w:rPr>
        <w:t>Permanent Declaration of Heritage Place</w:t>
      </w:r>
    </w:p>
    <w:p w:rsidR="00A60FC5" w:rsidRDefault="00A60FC5" w:rsidP="00A60FC5">
      <w:pPr>
        <w:spacing w:before="240" w:line="360" w:lineRule="auto"/>
        <w:jc w:val="both"/>
      </w:pPr>
      <w:r>
        <w:t xml:space="preserve">I, David William Tollner, Minister for Lands and Planning, under section 34(1) of the </w:t>
      </w:r>
      <w:r>
        <w:rPr>
          <w:i/>
        </w:rPr>
        <w:t>Heritage Act</w:t>
      </w:r>
      <w:r>
        <w:t xml:space="preserve">, permanently declare the place known as Old Postmaster's Residence, </w:t>
      </w:r>
      <w:r>
        <w:rPr>
          <w:rFonts w:cs="Helvetica"/>
        </w:rPr>
        <w:t>Lot 251, Town of Tennant Creek (7 Memorial Drive),</w:t>
      </w:r>
      <w:r>
        <w:t xml:space="preserve"> to be a heritage</w:t>
      </w:r>
      <w:r w:rsidR="006E528E">
        <w:t> </w:t>
      </w:r>
      <w:r>
        <w:t xml:space="preserve">place. </w:t>
      </w:r>
    </w:p>
    <w:p w:rsidR="00A60FC5" w:rsidRDefault="00A60FC5" w:rsidP="00A60FC5">
      <w:pPr>
        <w:spacing w:before="240" w:after="240" w:line="360" w:lineRule="auto"/>
        <w:jc w:val="both"/>
      </w:pPr>
      <w:r>
        <w:t>Dated</w:t>
      </w:r>
      <w:r w:rsidR="002417AC">
        <w:t xml:space="preserve"> 19 February 2016</w:t>
      </w:r>
    </w:p>
    <w:p w:rsidR="002417AC" w:rsidRDefault="002417AC" w:rsidP="002417AC">
      <w:pPr>
        <w:spacing w:before="240"/>
        <w:jc w:val="right"/>
      </w:pPr>
      <w:r>
        <w:t>D. W. Tollner</w:t>
      </w:r>
    </w:p>
    <w:p w:rsidR="00A60FC5" w:rsidRDefault="00A60FC5" w:rsidP="00A60FC5">
      <w:pPr>
        <w:spacing w:after="120" w:line="360" w:lineRule="auto"/>
        <w:jc w:val="right"/>
      </w:pPr>
      <w:r>
        <w:t>Minister for Lands and Planning</w:t>
      </w:r>
    </w:p>
    <w:p w:rsidR="00A1223C" w:rsidRPr="001F2D88" w:rsidRDefault="00A1223C" w:rsidP="000341BC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 xml:space="preserve">Northern Territory </w:t>
      </w:r>
      <w:r>
        <w:rPr>
          <w:spacing w:val="-3"/>
        </w:rPr>
        <w:t>o</w:t>
      </w:r>
      <w:r w:rsidRPr="00CE1DB8">
        <w:rPr>
          <w:spacing w:val="-3"/>
        </w:rPr>
        <w:t>f Australia</w:t>
      </w:r>
    </w:p>
    <w:p w:rsidR="00A1223C" w:rsidRPr="004C196F" w:rsidRDefault="00A1223C" w:rsidP="00A1223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Justice Legislation Amendment (Vulnerable Witnesses) Act 2016</w:t>
      </w:r>
    </w:p>
    <w:p w:rsidR="00A1223C" w:rsidRPr="00CE1DB8" w:rsidRDefault="00A1223C" w:rsidP="00A1223C">
      <w:pPr>
        <w:spacing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A1223C" w:rsidRPr="00CE1DB8" w:rsidRDefault="00A1223C" w:rsidP="00A1223C">
      <w:pPr>
        <w:spacing w:before="240"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rFonts w:cs="Helvetica"/>
          <w:i/>
        </w:rPr>
        <w:t xml:space="preserve">Justice Legislation Amendment (Vulnerable Witnesses) Act 2016 </w:t>
      </w:r>
      <w:r>
        <w:t>(No. 2 of 2016)</w:t>
      </w:r>
      <w:r w:rsidRPr="00CE1DB8">
        <w:t xml:space="preserve">, </w:t>
      </w:r>
      <w:r>
        <w:t xml:space="preserve">fix the day on which this notice is published in the </w:t>
      </w:r>
      <w:r>
        <w:rPr>
          <w:i/>
        </w:rPr>
        <w:t xml:space="preserve">Gazette </w:t>
      </w:r>
      <w:r>
        <w:t>as the day on which that Act commences.</w:t>
      </w:r>
    </w:p>
    <w:p w:rsidR="00A1223C" w:rsidRPr="00CE1DB8" w:rsidRDefault="00A1223C" w:rsidP="00A1223C">
      <w:pPr>
        <w:spacing w:before="240" w:after="240" w:line="360" w:lineRule="auto"/>
      </w:pPr>
      <w:r w:rsidRPr="00CE1DB8">
        <w:t>Dated</w:t>
      </w:r>
      <w:r>
        <w:t xml:space="preserve"> 16 March 2016</w:t>
      </w:r>
    </w:p>
    <w:p w:rsidR="004C0D69" w:rsidRDefault="004C0D69" w:rsidP="004C0D69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J. L. Hardy</w:t>
      </w:r>
    </w:p>
    <w:p w:rsidR="00A1223C" w:rsidRDefault="00A1223C" w:rsidP="00A1223C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4E6535" w:rsidRPr="00E653ED" w:rsidRDefault="004E6535" w:rsidP="00214284">
      <w:pPr>
        <w:tabs>
          <w:tab w:val="left" w:pos="8640"/>
        </w:tabs>
        <w:spacing w:before="1080" w:line="360" w:lineRule="auto"/>
        <w:jc w:val="center"/>
        <w:rPr>
          <w:spacing w:val="-3"/>
        </w:rPr>
      </w:pPr>
      <w:r w:rsidRPr="00E653ED">
        <w:rPr>
          <w:spacing w:val="-3"/>
        </w:rPr>
        <w:t xml:space="preserve">Northern Territory </w:t>
      </w:r>
      <w:r>
        <w:rPr>
          <w:spacing w:val="-3"/>
        </w:rPr>
        <w:t>o</w:t>
      </w:r>
      <w:r w:rsidRPr="00E653ED">
        <w:rPr>
          <w:spacing w:val="-3"/>
        </w:rPr>
        <w:t>f Australia</w:t>
      </w:r>
    </w:p>
    <w:p w:rsidR="004E6535" w:rsidRPr="00E653ED" w:rsidRDefault="004E6535" w:rsidP="006671C5">
      <w:pPr>
        <w:spacing w:line="360" w:lineRule="auto"/>
        <w:jc w:val="center"/>
        <w:outlineLvl w:val="0"/>
        <w:rPr>
          <w:i/>
        </w:rPr>
      </w:pPr>
      <w:r w:rsidRPr="00415F36">
        <w:rPr>
          <w:rFonts w:cs="Helvetica"/>
          <w:i/>
        </w:rPr>
        <w:t>Cobourg Peninsula Aboriginal Land, Sanctuary and Marine Park Act</w:t>
      </w:r>
    </w:p>
    <w:p w:rsidR="004E6535" w:rsidRDefault="004E6535" w:rsidP="006671C5">
      <w:pPr>
        <w:spacing w:line="360" w:lineRule="auto"/>
        <w:jc w:val="center"/>
        <w:rPr>
          <w:spacing w:val="-3"/>
        </w:rPr>
      </w:pPr>
      <w:r w:rsidRPr="00415F36">
        <w:rPr>
          <w:spacing w:val="-3"/>
        </w:rPr>
        <w:t>Cobourg Peninsula Sanctuary And Marine Park Board</w:t>
      </w:r>
      <w:r>
        <w:rPr>
          <w:spacing w:val="-3"/>
        </w:rPr>
        <w:br/>
      </w:r>
      <w:r w:rsidRPr="007E2378">
        <w:rPr>
          <w:spacing w:val="-3"/>
        </w:rPr>
        <w:t xml:space="preserve">Appointment </w:t>
      </w:r>
      <w:r>
        <w:rPr>
          <w:spacing w:val="-3"/>
        </w:rPr>
        <w:t>o</w:t>
      </w:r>
      <w:r w:rsidRPr="007E2378">
        <w:rPr>
          <w:spacing w:val="-3"/>
        </w:rPr>
        <w:t>f Member</w:t>
      </w:r>
    </w:p>
    <w:p w:rsidR="004E6535" w:rsidRDefault="004E6535" w:rsidP="00495F14">
      <w:pPr>
        <w:tabs>
          <w:tab w:val="center" w:pos="4513"/>
        </w:tabs>
        <w:suppressAutoHyphens/>
        <w:spacing w:before="240" w:line="360" w:lineRule="auto"/>
        <w:jc w:val="both"/>
      </w:pPr>
      <w:r w:rsidRPr="00C10004">
        <w:rPr>
          <w:spacing w:val="-3"/>
        </w:rPr>
        <w:t xml:space="preserve">I, </w:t>
      </w:r>
      <w:r w:rsidRPr="00603F85">
        <w:rPr>
          <w:spacing w:val="-3"/>
        </w:rPr>
        <w:t>Bess Nungarrayi Price</w:t>
      </w:r>
      <w:r w:rsidRPr="00C10004">
        <w:rPr>
          <w:spacing w:val="-3"/>
        </w:rPr>
        <w:t>, Minister for Parks and Wildlife</w:t>
      </w:r>
      <w:r>
        <w:rPr>
          <w:spacing w:val="-3"/>
        </w:rPr>
        <w:t xml:space="preserve">, under section 19(1) of the </w:t>
      </w:r>
      <w:r w:rsidRPr="007E2167">
        <w:rPr>
          <w:i/>
          <w:spacing w:val="-3"/>
        </w:rPr>
        <w:t>Cobourg Peninsula Aboriginal</w:t>
      </w:r>
      <w:r>
        <w:rPr>
          <w:spacing w:val="-3"/>
        </w:rPr>
        <w:t xml:space="preserve"> </w:t>
      </w:r>
      <w:r w:rsidRPr="00B564DC">
        <w:rPr>
          <w:i/>
          <w:spacing w:val="-3"/>
        </w:rPr>
        <w:t>Land, Sanctuary and Marine Park Act</w:t>
      </w:r>
      <w:r w:rsidRPr="00B564DC">
        <w:rPr>
          <w:spacing w:val="-3"/>
        </w:rPr>
        <w:t xml:space="preserve">, </w:t>
      </w:r>
      <w:r>
        <w:t>appoint John</w:t>
      </w:r>
      <w:r w:rsidR="006E528E">
        <w:t> </w:t>
      </w:r>
      <w:r>
        <w:t>Williams to be a member of the Cobourg Peninsula Sanctuary and Marine</w:t>
      </w:r>
      <w:r w:rsidR="006E528E">
        <w:t> </w:t>
      </w:r>
      <w:r>
        <w:t>Park</w:t>
      </w:r>
      <w:r w:rsidR="006E528E">
        <w:t> </w:t>
      </w:r>
      <w:r>
        <w:t>Board.</w:t>
      </w:r>
    </w:p>
    <w:p w:rsidR="004E6535" w:rsidRPr="00C10004" w:rsidRDefault="004E6535" w:rsidP="00776295">
      <w:pPr>
        <w:tabs>
          <w:tab w:val="center" w:pos="4513"/>
        </w:tabs>
        <w:suppressAutoHyphens/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Dated</w:t>
      </w:r>
      <w:r w:rsidR="00776295">
        <w:rPr>
          <w:spacing w:val="-3"/>
        </w:rPr>
        <w:t xml:space="preserve"> 8 March 2016</w:t>
      </w:r>
    </w:p>
    <w:p w:rsidR="00776295" w:rsidRDefault="00776295" w:rsidP="00776295">
      <w:pPr>
        <w:spacing w:before="240"/>
        <w:jc w:val="right"/>
        <w:rPr>
          <w:spacing w:val="-3"/>
        </w:rPr>
      </w:pPr>
      <w:r>
        <w:rPr>
          <w:spacing w:val="-3"/>
        </w:rPr>
        <w:t>B. N. Price</w:t>
      </w:r>
    </w:p>
    <w:p w:rsidR="004E6535" w:rsidRDefault="004E6535" w:rsidP="004E6535">
      <w:pPr>
        <w:jc w:val="right"/>
        <w:rPr>
          <w:spacing w:val="-3"/>
        </w:rPr>
      </w:pPr>
      <w:r w:rsidRPr="00C10004">
        <w:rPr>
          <w:spacing w:val="-3"/>
        </w:rPr>
        <w:t>Minister for Parks and Wildlife</w:t>
      </w:r>
    </w:p>
    <w:p w:rsidR="00537C93" w:rsidRPr="008662D3" w:rsidRDefault="00232A9A" w:rsidP="000341BC">
      <w:pPr>
        <w:pageBreakBefore/>
        <w:tabs>
          <w:tab w:val="center" w:pos="4513"/>
        </w:tabs>
        <w:suppressAutoHyphens/>
        <w:spacing w:before="480" w:line="360" w:lineRule="auto"/>
        <w:jc w:val="center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lastRenderedPageBreak/>
        <w:t xml:space="preserve">Northern Territory </w:t>
      </w:r>
      <w:r>
        <w:rPr>
          <w:spacing w:val="-3"/>
          <w:szCs w:val="24"/>
          <w:lang w:val="en-GB"/>
        </w:rPr>
        <w:t>o</w:t>
      </w:r>
      <w:r w:rsidRPr="008662D3">
        <w:rPr>
          <w:spacing w:val="-3"/>
          <w:szCs w:val="24"/>
          <w:lang w:val="en-GB"/>
        </w:rPr>
        <w:t>f Australia</w:t>
      </w:r>
    </w:p>
    <w:p w:rsidR="00537C93" w:rsidRPr="008662D3" w:rsidRDefault="00537C93" w:rsidP="00232A9A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 w:rsidRPr="008662D3">
        <w:rPr>
          <w:i/>
          <w:spacing w:val="-3"/>
          <w:szCs w:val="24"/>
          <w:lang w:val="en-GB"/>
        </w:rPr>
        <w:t>Control of Roads Act</w:t>
      </w:r>
    </w:p>
    <w:p w:rsidR="00537C93" w:rsidRPr="008662D3" w:rsidRDefault="00232A9A" w:rsidP="00232A9A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Order </w:t>
      </w:r>
      <w:r w:rsidR="00F93A62" w:rsidRPr="008662D3">
        <w:rPr>
          <w:spacing w:val="-3"/>
          <w:szCs w:val="24"/>
          <w:lang w:val="en-GB"/>
        </w:rPr>
        <w:t>t</w:t>
      </w:r>
      <w:r w:rsidRPr="008662D3">
        <w:rPr>
          <w:spacing w:val="-3"/>
          <w:szCs w:val="24"/>
          <w:lang w:val="en-GB"/>
        </w:rPr>
        <w:t xml:space="preserve">o </w:t>
      </w:r>
      <w:r>
        <w:rPr>
          <w:spacing w:val="-3"/>
          <w:szCs w:val="24"/>
          <w:lang w:val="en-GB"/>
        </w:rPr>
        <w:t>Open</w:t>
      </w:r>
      <w:r w:rsidRPr="008662D3">
        <w:rPr>
          <w:spacing w:val="-3"/>
          <w:szCs w:val="24"/>
          <w:lang w:val="en-GB"/>
        </w:rPr>
        <w:t xml:space="preserve"> Road</w:t>
      </w:r>
    </w:p>
    <w:p w:rsidR="00537C93" w:rsidRPr="008662D3" w:rsidRDefault="00537C93" w:rsidP="0023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line="360" w:lineRule="auto"/>
        <w:jc w:val="both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I, </w:t>
      </w:r>
      <w:r w:rsidR="002E4AFB">
        <w:rPr>
          <w:spacing w:val="-3"/>
          <w:szCs w:val="24"/>
          <w:lang w:val="en-GB"/>
        </w:rPr>
        <w:t xml:space="preserve">Raymond </w:t>
      </w:r>
      <w:r w:rsidR="002E4AFB" w:rsidRPr="00FD56F4">
        <w:rPr>
          <w:spacing w:val="-3"/>
          <w:szCs w:val="24"/>
          <w:lang w:val="en-GB"/>
        </w:rPr>
        <w:t>Louis</w:t>
      </w:r>
      <w:r w:rsidR="002E4AFB">
        <w:rPr>
          <w:spacing w:val="-3"/>
          <w:szCs w:val="24"/>
          <w:lang w:val="en-GB"/>
        </w:rPr>
        <w:t xml:space="preserve"> Smith</w:t>
      </w:r>
      <w:r>
        <w:rPr>
          <w:spacing w:val="-3"/>
          <w:szCs w:val="24"/>
          <w:lang w:val="en-GB"/>
        </w:rPr>
        <w:t>, A/</w:t>
      </w:r>
      <w:r w:rsidRPr="00704FD6">
        <w:rPr>
          <w:spacing w:val="-3"/>
          <w:szCs w:val="24"/>
          <w:lang w:val="en-GB"/>
        </w:rPr>
        <w:t>Director Land Administration</w:t>
      </w:r>
      <w:r w:rsidRPr="008662D3">
        <w:rPr>
          <w:spacing w:val="-3"/>
          <w:szCs w:val="24"/>
          <w:lang w:val="en-GB"/>
        </w:rPr>
        <w:t>, as delegate of the Minister</w:t>
      </w:r>
      <w:r w:rsidR="002E4AFB">
        <w:rPr>
          <w:spacing w:val="-3"/>
          <w:szCs w:val="24"/>
          <w:lang w:val="en-GB"/>
        </w:rPr>
        <w:t> </w:t>
      </w:r>
      <w:r w:rsidRPr="008662D3">
        <w:rPr>
          <w:spacing w:val="-3"/>
          <w:szCs w:val="24"/>
          <w:lang w:val="en-GB"/>
        </w:rPr>
        <w:t>for Lands</w:t>
      </w:r>
      <w:r>
        <w:rPr>
          <w:spacing w:val="-3"/>
          <w:szCs w:val="24"/>
          <w:lang w:val="en-GB"/>
        </w:rPr>
        <w:t xml:space="preserve"> and Planning</w:t>
      </w:r>
      <w:r w:rsidRPr="008662D3">
        <w:rPr>
          <w:spacing w:val="-3"/>
          <w:szCs w:val="24"/>
          <w:lang w:val="en-GB"/>
        </w:rPr>
        <w:t xml:space="preserve">, under section 21 of the </w:t>
      </w:r>
      <w:r w:rsidRPr="008662D3">
        <w:rPr>
          <w:i/>
          <w:spacing w:val="-3"/>
          <w:szCs w:val="24"/>
          <w:lang w:val="en-GB"/>
        </w:rPr>
        <w:t>Control of Roads Act</w:t>
      </w:r>
      <w:r w:rsidRPr="008662D3">
        <w:rPr>
          <w:spacing w:val="-3"/>
          <w:szCs w:val="24"/>
          <w:lang w:val="en-GB"/>
        </w:rPr>
        <w:t xml:space="preserve">, order a </w:t>
      </w:r>
      <w:r>
        <w:rPr>
          <w:spacing w:val="-3"/>
          <w:szCs w:val="24"/>
          <w:lang w:val="en-GB"/>
        </w:rPr>
        <w:t>new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spacing w:val="-3"/>
          <w:szCs w:val="24"/>
          <w:lang w:val="en-GB"/>
        </w:rPr>
        <w:t>road be opened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 xml:space="preserve">through part Lots 8408 and 8046 Town of </w:t>
      </w:r>
      <w:proofErr w:type="spellStart"/>
      <w:r>
        <w:rPr>
          <w:rFonts w:cs="Helvetica"/>
          <w:spacing w:val="-3"/>
          <w:szCs w:val="24"/>
          <w:lang w:val="en-GB"/>
        </w:rPr>
        <w:t>Palmerston</w:t>
      </w:r>
      <w:proofErr w:type="spellEnd"/>
      <w:r>
        <w:rPr>
          <w:rFonts w:cs="Helvetica"/>
          <w:spacing w:val="-3"/>
          <w:szCs w:val="24"/>
          <w:lang w:val="en-GB"/>
        </w:rPr>
        <w:t xml:space="preserve"> in accordance with</w:t>
      </w:r>
      <w:r w:rsidRPr="00827520">
        <w:rPr>
          <w:rFonts w:cs="Helvetica"/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Survey Plan No.S2015/197 and as shown</w:t>
      </w:r>
      <w:r w:rsidRPr="00827520">
        <w:rPr>
          <w:rFonts w:cs="Helvetica"/>
          <w:spacing w:val="-3"/>
          <w:szCs w:val="24"/>
          <w:lang w:val="en-GB"/>
        </w:rPr>
        <w:t xml:space="preserve"> on the map in the Schedule</w:t>
      </w:r>
      <w:r w:rsidRPr="008662D3">
        <w:rPr>
          <w:spacing w:val="-3"/>
          <w:szCs w:val="24"/>
          <w:lang w:val="en-GB"/>
        </w:rPr>
        <w:t>.</w:t>
      </w:r>
    </w:p>
    <w:p w:rsidR="00537C93" w:rsidRPr="008662D3" w:rsidRDefault="00537C93" w:rsidP="0023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jc w:val="both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Dat</w:t>
      </w:r>
      <w:r>
        <w:rPr>
          <w:spacing w:val="-3"/>
          <w:szCs w:val="24"/>
          <w:lang w:val="en-GB"/>
        </w:rPr>
        <w:t>ed</w:t>
      </w:r>
      <w:r w:rsidR="006B0543">
        <w:rPr>
          <w:spacing w:val="-3"/>
          <w:szCs w:val="24"/>
          <w:lang w:val="en-GB"/>
        </w:rPr>
        <w:t xml:space="preserve"> 16 March 2016</w:t>
      </w:r>
    </w:p>
    <w:p w:rsidR="006B0543" w:rsidRDefault="006B0543" w:rsidP="006B0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jc w:val="right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R. L. Smith</w:t>
      </w:r>
    </w:p>
    <w:p w:rsidR="00537C93" w:rsidRDefault="00537C93" w:rsidP="00537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Director Land Administration</w:t>
      </w:r>
    </w:p>
    <w:p w:rsidR="00537C93" w:rsidRPr="000A1F68" w:rsidRDefault="00537C93" w:rsidP="00495F14">
      <w:pPr>
        <w:spacing w:before="120"/>
        <w:rPr>
          <w:rFonts w:cs="Helvetica"/>
          <w:i/>
          <w:sz w:val="20"/>
          <w:lang w:val="en-GB"/>
        </w:rPr>
      </w:pPr>
      <w:r w:rsidRPr="000A1F68">
        <w:rPr>
          <w:rFonts w:cs="Helvetica"/>
          <w:i/>
          <w:sz w:val="20"/>
          <w:lang w:val="en-GB"/>
        </w:rPr>
        <w:t>Note: Survey Plan No</w:t>
      </w:r>
      <w:r>
        <w:rPr>
          <w:rFonts w:cs="Helvetica"/>
          <w:i/>
          <w:sz w:val="20"/>
          <w:lang w:val="en-GB"/>
        </w:rPr>
        <w:t>.</w:t>
      </w:r>
      <w:r w:rsidRPr="000A1F68">
        <w:rPr>
          <w:rFonts w:cs="Helvetica"/>
          <w:i/>
          <w:sz w:val="20"/>
          <w:lang w:val="en-GB"/>
        </w:rPr>
        <w:t xml:space="preserve"> </w:t>
      </w:r>
      <w:r>
        <w:rPr>
          <w:rFonts w:cs="Helvetica"/>
          <w:i/>
          <w:sz w:val="20"/>
          <w:lang w:val="en-GB"/>
        </w:rPr>
        <w:t xml:space="preserve">S2015/197 </w:t>
      </w:r>
      <w:r w:rsidRPr="000A1F68">
        <w:rPr>
          <w:rFonts w:cs="Helvetica"/>
          <w:i/>
          <w:sz w:val="20"/>
          <w:lang w:val="en-GB"/>
        </w:rPr>
        <w:t>may be inspected at the office of the Surv</w:t>
      </w:r>
      <w:r>
        <w:rPr>
          <w:rFonts w:cs="Helvetica"/>
          <w:i/>
          <w:sz w:val="20"/>
          <w:lang w:val="en-GB"/>
        </w:rPr>
        <w:t xml:space="preserve">eyor-General, </w:t>
      </w:r>
      <w:proofErr w:type="spellStart"/>
      <w:r>
        <w:rPr>
          <w:rFonts w:cs="Helvetica"/>
          <w:i/>
          <w:sz w:val="20"/>
          <w:lang w:val="en-GB"/>
        </w:rPr>
        <w:t>Arnhemica</w:t>
      </w:r>
      <w:proofErr w:type="spellEnd"/>
      <w:r>
        <w:rPr>
          <w:rFonts w:cs="Helvetica"/>
          <w:i/>
          <w:sz w:val="20"/>
          <w:lang w:val="en-GB"/>
        </w:rPr>
        <w:t xml:space="preserve"> House,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>
        <w:rPr>
          <w:rFonts w:cs="Helvetica"/>
          <w:i/>
          <w:sz w:val="20"/>
          <w:lang w:val="en-GB"/>
        </w:rPr>
        <w:t xml:space="preserve"> Road,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 w:rsidRPr="000A1F68">
        <w:rPr>
          <w:rFonts w:cs="Helvetica"/>
          <w:i/>
          <w:sz w:val="20"/>
          <w:lang w:val="en-GB"/>
        </w:rPr>
        <w:t>.</w:t>
      </w:r>
    </w:p>
    <w:p w:rsidR="0027715D" w:rsidRDefault="002E2C11" w:rsidP="00495F14">
      <w:pPr>
        <w:spacing w:before="24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4363200" cy="4363200"/>
            <wp:effectExtent l="0" t="0" r="0" b="0"/>
            <wp:docPr id="4" name="Picture 4" descr="Map - Lots 8406 and 8408" title="Schedu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92" t="-30907" r="-30692" b="-30907"/>
                    <a:stretch/>
                  </pic:blipFill>
                  <pic:spPr bwMode="auto">
                    <a:xfrm>
                      <a:off x="0" y="0"/>
                      <a:ext cx="4363200" cy="4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44" w:rsidRPr="001F2D88" w:rsidRDefault="0019034C" w:rsidP="0019034C">
      <w:pPr>
        <w:pageBreakBefore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 xml:space="preserve">Northern Territory </w:t>
      </w:r>
      <w:r>
        <w:rPr>
          <w:spacing w:val="-3"/>
        </w:rPr>
        <w:t>o</w:t>
      </w:r>
      <w:r w:rsidRPr="00CE1DB8">
        <w:rPr>
          <w:spacing w:val="-3"/>
        </w:rPr>
        <w:t>f Australia</w:t>
      </w:r>
    </w:p>
    <w:p w:rsidR="00BE0044" w:rsidRPr="004C196F" w:rsidRDefault="00BE0044" w:rsidP="00BE0044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Place Names Act</w:t>
      </w:r>
    </w:p>
    <w:p w:rsidR="00BE0044" w:rsidRPr="00CE1DB8" w:rsidRDefault="0019034C" w:rsidP="0019034C">
      <w:pPr>
        <w:spacing w:line="360" w:lineRule="auto"/>
        <w:jc w:val="center"/>
        <w:rPr>
          <w:spacing w:val="-3"/>
        </w:rPr>
      </w:pPr>
      <w:r>
        <w:rPr>
          <w:spacing w:val="-3"/>
        </w:rPr>
        <w:t>Naming of Places</w:t>
      </w:r>
      <w:r>
        <w:rPr>
          <w:spacing w:val="-3"/>
        </w:rPr>
        <w:br/>
        <w:t xml:space="preserve">Roads </w:t>
      </w:r>
      <w:r w:rsidR="002E4AFB">
        <w:rPr>
          <w:spacing w:val="-3"/>
        </w:rPr>
        <w:t>i</w:t>
      </w:r>
      <w:r>
        <w:rPr>
          <w:spacing w:val="-3"/>
        </w:rPr>
        <w:t xml:space="preserve">n </w:t>
      </w:r>
      <w:proofErr w:type="spellStart"/>
      <w:r>
        <w:rPr>
          <w:spacing w:val="-3"/>
        </w:rPr>
        <w:t>Hundred</w:t>
      </w:r>
      <w:proofErr w:type="spellEnd"/>
      <w:r>
        <w:rPr>
          <w:spacing w:val="-3"/>
        </w:rPr>
        <w:t xml:space="preserve"> </w:t>
      </w:r>
      <w:r w:rsidR="002E4AFB">
        <w:rPr>
          <w:spacing w:val="-3"/>
        </w:rPr>
        <w:t>o</w:t>
      </w:r>
      <w:r>
        <w:rPr>
          <w:spacing w:val="-3"/>
        </w:rPr>
        <w:t>f Cavanagh</w:t>
      </w:r>
    </w:p>
    <w:p w:rsidR="00BE0044" w:rsidRDefault="00BE0044" w:rsidP="00BE0044">
      <w:pPr>
        <w:spacing w:after="120" w:line="360" w:lineRule="auto"/>
        <w:jc w:val="both"/>
      </w:pPr>
      <w:r w:rsidRPr="00CE1DB8">
        <w:t xml:space="preserve">I, </w:t>
      </w:r>
      <w:r>
        <w:t>David William Tollner</w:t>
      </w:r>
      <w:r w:rsidRPr="00CE1DB8">
        <w:t xml:space="preserve">, </w:t>
      </w:r>
      <w:r>
        <w:t>Minister for Lands and Planning</w:t>
      </w:r>
      <w:r w:rsidRPr="00CE1DB8">
        <w:t>, under section </w:t>
      </w:r>
      <w:r>
        <w:t xml:space="preserve">11D(1) </w:t>
      </w:r>
      <w:r w:rsidRPr="00CE1DB8">
        <w:t xml:space="preserve">of the </w:t>
      </w:r>
      <w:r>
        <w:rPr>
          <w:i/>
        </w:rPr>
        <w:t xml:space="preserve">Place Names </w:t>
      </w:r>
      <w:r w:rsidRPr="00643A83">
        <w:rPr>
          <w:i/>
        </w:rPr>
        <w:t>Act</w:t>
      </w:r>
      <w:r w:rsidRPr="00CE1DB8">
        <w:t xml:space="preserve">, </w:t>
      </w:r>
      <w:r>
        <w:t>give notice that:</w:t>
      </w:r>
    </w:p>
    <w:p w:rsidR="00BE0044" w:rsidRDefault="00BE0044" w:rsidP="00BE0044">
      <w:pPr>
        <w:spacing w:after="120" w:line="360" w:lineRule="auto"/>
        <w:ind w:left="720" w:hanging="720"/>
        <w:jc w:val="both"/>
      </w:pPr>
      <w:r>
        <w:t>(a)</w:t>
      </w:r>
      <w:r>
        <w:tab/>
        <w:t>on the recommendation of the Place Names Committee for the Northern</w:t>
      </w:r>
      <w:r w:rsidR="002E4AFB">
        <w:t> </w:t>
      </w:r>
      <w:r>
        <w:t xml:space="preserve">Territory, I have approved the naming of roads in </w:t>
      </w:r>
      <w:proofErr w:type="spellStart"/>
      <w:r>
        <w:t>Hundred</w:t>
      </w:r>
      <w:proofErr w:type="spellEnd"/>
      <w:r w:rsidR="008B02D9">
        <w:t> </w:t>
      </w:r>
      <w:r>
        <w:t>of</w:t>
      </w:r>
      <w:r w:rsidR="008B02D9">
        <w:t> </w:t>
      </w:r>
      <w:r>
        <w:t>Cavanagh; and</w:t>
      </w:r>
    </w:p>
    <w:p w:rsidR="00BE0044" w:rsidRDefault="00BE0044" w:rsidP="00BE0044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the name and location of each road is as indicated on Compiled Plan CP5562, which may be inspected during business hours at the office of the Surveyor-General, Level 1, </w:t>
      </w:r>
      <w:proofErr w:type="spellStart"/>
      <w:r>
        <w:t>Arnhemica</w:t>
      </w:r>
      <w:proofErr w:type="spellEnd"/>
      <w:r>
        <w:t xml:space="preserve"> House, 16 </w:t>
      </w:r>
      <w:proofErr w:type="spellStart"/>
      <w:r>
        <w:t>Parap</w:t>
      </w:r>
      <w:proofErr w:type="spellEnd"/>
      <w:r w:rsidR="002E4AFB">
        <w:t> </w:t>
      </w:r>
      <w:r>
        <w:t xml:space="preserve">Road, </w:t>
      </w:r>
      <w:proofErr w:type="spellStart"/>
      <w:r>
        <w:t>Parap</w:t>
      </w:r>
      <w:proofErr w:type="spellEnd"/>
      <w:r>
        <w:t xml:space="preserve"> NT 0820; and</w:t>
      </w:r>
    </w:p>
    <w:p w:rsidR="00BE0044" w:rsidRDefault="00BE0044" w:rsidP="00BE0044">
      <w:pPr>
        <w:spacing w:after="120" w:line="360" w:lineRule="auto"/>
        <w:ind w:left="720" w:hanging="720"/>
        <w:jc w:val="both"/>
      </w:pPr>
      <w:r>
        <w:t>(c)</w:t>
      </w:r>
      <w:r>
        <w:tab/>
        <w:t>the names are recorded in the register kept by the Committee, which may be inspected on the Committee's website at:</w:t>
      </w:r>
    </w:p>
    <w:p w:rsidR="00BE0044" w:rsidRPr="00CE1DB8" w:rsidRDefault="00BE0044" w:rsidP="00BE0044">
      <w:pPr>
        <w:spacing w:after="120" w:line="360" w:lineRule="auto"/>
        <w:ind w:left="720" w:hanging="720"/>
        <w:jc w:val="both"/>
      </w:pPr>
      <w:r>
        <w:tab/>
      </w:r>
      <w:hyperlink r:id="rId20" w:history="1">
        <w:r w:rsidRPr="001B7E2D">
          <w:rPr>
            <w:rStyle w:val="Hyperlink"/>
          </w:rPr>
          <w:t>http://www.placenames.nt.gov.au/register/approvals-2016</w:t>
        </w:r>
      </w:hyperlink>
      <w:r>
        <w:t xml:space="preserve">. </w:t>
      </w:r>
    </w:p>
    <w:p w:rsidR="00BE0044" w:rsidRPr="00CE1DB8" w:rsidRDefault="00BE0044" w:rsidP="008164F1">
      <w:pPr>
        <w:spacing w:before="240" w:after="240" w:line="360" w:lineRule="auto"/>
      </w:pPr>
      <w:r w:rsidRPr="00CE1DB8">
        <w:t>Dated</w:t>
      </w:r>
      <w:r w:rsidR="007366E8">
        <w:t xml:space="preserve"> </w:t>
      </w:r>
      <w:r w:rsidR="008164F1">
        <w:t>9 March 2016</w:t>
      </w:r>
    </w:p>
    <w:p w:rsidR="008164F1" w:rsidRDefault="008164F1" w:rsidP="008164F1">
      <w:pPr>
        <w:spacing w:before="240"/>
        <w:jc w:val="right"/>
        <w:rPr>
          <w:spacing w:val="-3"/>
        </w:rPr>
      </w:pPr>
      <w:r>
        <w:rPr>
          <w:spacing w:val="-3"/>
        </w:rPr>
        <w:t>D. W. Tollner</w:t>
      </w:r>
    </w:p>
    <w:p w:rsidR="00312AE4" w:rsidRDefault="00BE0044" w:rsidP="00BE0044">
      <w:pPr>
        <w:jc w:val="right"/>
        <w:rPr>
          <w:spacing w:val="-3"/>
        </w:rPr>
      </w:pPr>
      <w:r>
        <w:rPr>
          <w:spacing w:val="-3"/>
        </w:rPr>
        <w:t>Minister for Lands and Planning</w:t>
      </w:r>
    </w:p>
    <w:p w:rsidR="007D04BF" w:rsidRPr="00545719" w:rsidRDefault="007D04BF" w:rsidP="00440FDD">
      <w:pPr>
        <w:pStyle w:val="NoSpacing"/>
        <w:spacing w:before="480" w:line="360" w:lineRule="auto"/>
        <w:jc w:val="center"/>
        <w:rPr>
          <w:rFonts w:cs="Arial"/>
          <w:szCs w:val="24"/>
        </w:rPr>
      </w:pPr>
      <w:r w:rsidRPr="00545719">
        <w:rPr>
          <w:rFonts w:cs="Arial"/>
          <w:szCs w:val="24"/>
        </w:rPr>
        <w:t xml:space="preserve">Schedule – Naming of Roads, </w:t>
      </w:r>
      <w:proofErr w:type="spellStart"/>
      <w:r w:rsidRPr="00545719">
        <w:rPr>
          <w:rFonts w:cs="Arial"/>
          <w:szCs w:val="24"/>
        </w:rPr>
        <w:t>Hundred</w:t>
      </w:r>
      <w:proofErr w:type="spellEnd"/>
      <w:r w:rsidRPr="00545719">
        <w:rPr>
          <w:rFonts w:cs="Arial"/>
          <w:szCs w:val="24"/>
        </w:rPr>
        <w:t xml:space="preserve"> of </w:t>
      </w:r>
      <w:proofErr w:type="spellStart"/>
      <w:r w:rsidRPr="00545719">
        <w:rPr>
          <w:rFonts w:cs="Arial"/>
          <w:szCs w:val="24"/>
        </w:rPr>
        <w:t>Cavenagh</w:t>
      </w:r>
      <w:proofErr w:type="spellEnd"/>
    </w:p>
    <w:p w:rsidR="007D04BF" w:rsidRPr="00545719" w:rsidRDefault="007D04BF" w:rsidP="00440FDD">
      <w:pPr>
        <w:pStyle w:val="NoSpacing"/>
        <w:spacing w:line="360" w:lineRule="auto"/>
        <w:jc w:val="center"/>
        <w:rPr>
          <w:rFonts w:cs="Arial"/>
          <w:szCs w:val="24"/>
        </w:rPr>
      </w:pPr>
      <w:r w:rsidRPr="00545719">
        <w:rPr>
          <w:rFonts w:cs="Arial"/>
          <w:szCs w:val="24"/>
        </w:rPr>
        <w:t>PNJOBFILE2015/0031</w:t>
      </w:r>
    </w:p>
    <w:p w:rsidR="007D04BF" w:rsidRPr="0093607C" w:rsidRDefault="007D04BF" w:rsidP="00440FDD">
      <w:pPr>
        <w:spacing w:line="360" w:lineRule="auto"/>
        <w:jc w:val="center"/>
        <w:rPr>
          <w:rFonts w:cs="Arial"/>
          <w:szCs w:val="24"/>
        </w:rPr>
      </w:pPr>
      <w:proofErr w:type="spellStart"/>
      <w:r w:rsidRPr="0093607C">
        <w:rPr>
          <w:rFonts w:cs="Arial"/>
          <w:szCs w:val="24"/>
        </w:rPr>
        <w:t>Mielang</w:t>
      </w:r>
      <w:proofErr w:type="spellEnd"/>
      <w:r w:rsidRPr="0093607C">
        <w:rPr>
          <w:rFonts w:cs="Arial"/>
          <w:szCs w:val="24"/>
        </w:rPr>
        <w:t xml:space="preserve"> Road</w:t>
      </w:r>
    </w:p>
    <w:p w:rsidR="007D04BF" w:rsidRPr="0093607C" w:rsidRDefault="007D04BF" w:rsidP="00440FDD">
      <w:pPr>
        <w:spacing w:line="360" w:lineRule="auto"/>
        <w:jc w:val="center"/>
        <w:rPr>
          <w:rFonts w:cs="Arial"/>
          <w:szCs w:val="24"/>
        </w:rPr>
      </w:pPr>
      <w:proofErr w:type="spellStart"/>
      <w:r w:rsidRPr="0093607C">
        <w:rPr>
          <w:rFonts w:cs="Arial"/>
          <w:szCs w:val="24"/>
        </w:rPr>
        <w:t>Tuey</w:t>
      </w:r>
      <w:proofErr w:type="spellEnd"/>
      <w:r w:rsidRPr="0093607C">
        <w:rPr>
          <w:rFonts w:cs="Arial"/>
          <w:szCs w:val="24"/>
        </w:rPr>
        <w:t xml:space="preserve"> Close</w:t>
      </w:r>
    </w:p>
    <w:p w:rsidR="007D04BF" w:rsidRDefault="007D04BF" w:rsidP="00440FDD">
      <w:pPr>
        <w:spacing w:line="360" w:lineRule="auto"/>
        <w:jc w:val="center"/>
        <w:rPr>
          <w:rFonts w:cs="Arial"/>
          <w:szCs w:val="24"/>
        </w:rPr>
      </w:pPr>
      <w:r w:rsidRPr="0093607C">
        <w:rPr>
          <w:rFonts w:cs="Arial"/>
          <w:szCs w:val="24"/>
        </w:rPr>
        <w:t>Richards Road</w:t>
      </w:r>
    </w:p>
    <w:p w:rsidR="0093607C" w:rsidRDefault="0093607C" w:rsidP="00C36191">
      <w:pPr>
        <w:pageBreakBefore/>
        <w:spacing w:before="240"/>
        <w:jc w:val="center"/>
        <w:rPr>
          <w:spacing w:val="-3"/>
        </w:rPr>
      </w:pPr>
      <w:r>
        <w:rPr>
          <w:noProof/>
          <w:spacing w:val="-3"/>
          <w:lang w:val="en-AU" w:eastAsia="en-AU"/>
        </w:rPr>
        <w:lastRenderedPageBreak/>
        <w:drawing>
          <wp:inline distT="0" distB="0" distL="0" distR="0">
            <wp:extent cx="5506085" cy="7948677"/>
            <wp:effectExtent l="0" t="0" r="0" b="0"/>
            <wp:docPr id="5" name="Picture 5" descr="Map - Mielang Road, Tuey Close, and Richards Road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79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07C" w:rsidSect="00523E9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8" w:h="16833"/>
      <w:pgMar w:top="1440" w:right="1797" w:bottom="1797" w:left="1440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0" w:rsidRDefault="00564410" w:rsidP="00262753">
      <w:r>
        <w:separator/>
      </w:r>
    </w:p>
  </w:endnote>
  <w:endnote w:type="continuationSeparator" w:id="0">
    <w:p w:rsidR="00564410" w:rsidRDefault="00564410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64410" w:rsidRDefault="00564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1D4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4E3F71">
    <w:pPr>
      <w:pStyle w:val="Footer"/>
      <w:spacing w:before="240"/>
    </w:pPr>
  </w:p>
  <w:p w:rsidR="00564410" w:rsidRPr="004C6C8F" w:rsidRDefault="00564410" w:rsidP="004E3F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Default="00A56C7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56C79" w:rsidRDefault="00A56C7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Default="00A56C79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63B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Default="00A56C79" w:rsidP="004E3F71">
    <w:pPr>
      <w:pStyle w:val="Footer"/>
      <w:spacing w:before="240"/>
    </w:pPr>
  </w:p>
  <w:p w:rsidR="00A56C79" w:rsidRPr="004C6C8F" w:rsidRDefault="00A56C79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0" w:rsidRDefault="00564410" w:rsidP="00262753">
      <w:r>
        <w:separator/>
      </w:r>
    </w:p>
  </w:footnote>
  <w:footnote w:type="continuationSeparator" w:id="0">
    <w:p w:rsidR="00564410" w:rsidRDefault="00564410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Pr="00217476" w:rsidRDefault="00564410" w:rsidP="001E056E">
    <w:pPr>
      <w:pStyle w:val="Header"/>
    </w:pPr>
    <w:r w:rsidRPr="00246A76">
      <w:t xml:space="preserve">Northern Territory Government Gazette No. </w:t>
    </w:r>
    <w:r w:rsidR="004D7699">
      <w:t>G12</w:t>
    </w:r>
    <w:r w:rsidRPr="00246A76">
      <w:t xml:space="preserve">, </w:t>
    </w:r>
    <w:r w:rsidR="004D7699">
      <w:t>23</w:t>
    </w:r>
    <w:r w:rsidR="006D7F0A">
      <w:t xml:space="preserve"> March</w:t>
    </w:r>
    <w:r>
      <w:t xml:space="preserve">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Default="00A56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Pr="00217476" w:rsidRDefault="00A56C79" w:rsidP="001E056E">
    <w:pPr>
      <w:pStyle w:val="Header"/>
    </w:pPr>
    <w:r w:rsidRPr="00246A76">
      <w:t xml:space="preserve">Northern Territory Government Gazette No. </w:t>
    </w:r>
    <w:r>
      <w:t>G12</w:t>
    </w:r>
    <w:r w:rsidRPr="00246A76">
      <w:t xml:space="preserve">, </w:t>
    </w:r>
    <w:r>
      <w:t>23 March 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79" w:rsidRDefault="00A56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2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9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41BC"/>
    <w:rsid w:val="00034591"/>
    <w:rsid w:val="00034994"/>
    <w:rsid w:val="00035B56"/>
    <w:rsid w:val="00036DE3"/>
    <w:rsid w:val="00037AEA"/>
    <w:rsid w:val="00041D19"/>
    <w:rsid w:val="0004201F"/>
    <w:rsid w:val="000426E9"/>
    <w:rsid w:val="000428BD"/>
    <w:rsid w:val="00042951"/>
    <w:rsid w:val="00043F72"/>
    <w:rsid w:val="00044167"/>
    <w:rsid w:val="00046708"/>
    <w:rsid w:val="00046B22"/>
    <w:rsid w:val="00046E30"/>
    <w:rsid w:val="00047869"/>
    <w:rsid w:val="00051F8F"/>
    <w:rsid w:val="00052CFB"/>
    <w:rsid w:val="00057846"/>
    <w:rsid w:val="00060E29"/>
    <w:rsid w:val="00061992"/>
    <w:rsid w:val="00061C24"/>
    <w:rsid w:val="000627F9"/>
    <w:rsid w:val="00062F32"/>
    <w:rsid w:val="00066CB2"/>
    <w:rsid w:val="00070359"/>
    <w:rsid w:val="00071527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391"/>
    <w:rsid w:val="00085A38"/>
    <w:rsid w:val="00086A18"/>
    <w:rsid w:val="00086EA5"/>
    <w:rsid w:val="00090395"/>
    <w:rsid w:val="00090BA2"/>
    <w:rsid w:val="000918B5"/>
    <w:rsid w:val="00091F24"/>
    <w:rsid w:val="00092B63"/>
    <w:rsid w:val="00094601"/>
    <w:rsid w:val="00094856"/>
    <w:rsid w:val="00095585"/>
    <w:rsid w:val="000A1A45"/>
    <w:rsid w:val="000A1ADF"/>
    <w:rsid w:val="000A276F"/>
    <w:rsid w:val="000A2A63"/>
    <w:rsid w:val="000A379D"/>
    <w:rsid w:val="000A4D10"/>
    <w:rsid w:val="000A532C"/>
    <w:rsid w:val="000A5954"/>
    <w:rsid w:val="000A5FC4"/>
    <w:rsid w:val="000B0E81"/>
    <w:rsid w:val="000B297F"/>
    <w:rsid w:val="000B43B1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727"/>
    <w:rsid w:val="000D181F"/>
    <w:rsid w:val="000D3226"/>
    <w:rsid w:val="000D4330"/>
    <w:rsid w:val="000D5300"/>
    <w:rsid w:val="000E42D3"/>
    <w:rsid w:val="000E4DB8"/>
    <w:rsid w:val="000E64CB"/>
    <w:rsid w:val="000E6BFC"/>
    <w:rsid w:val="000E6F62"/>
    <w:rsid w:val="000F13D2"/>
    <w:rsid w:val="000F2E89"/>
    <w:rsid w:val="000F365B"/>
    <w:rsid w:val="000F395B"/>
    <w:rsid w:val="000F5E0E"/>
    <w:rsid w:val="000F6DE7"/>
    <w:rsid w:val="00100C6C"/>
    <w:rsid w:val="00101724"/>
    <w:rsid w:val="0010196E"/>
    <w:rsid w:val="00101D85"/>
    <w:rsid w:val="00104E14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560B"/>
    <w:rsid w:val="00126EF5"/>
    <w:rsid w:val="001271A2"/>
    <w:rsid w:val="00130D8B"/>
    <w:rsid w:val="00130E4A"/>
    <w:rsid w:val="00131AF4"/>
    <w:rsid w:val="00135118"/>
    <w:rsid w:val="001361FD"/>
    <w:rsid w:val="0013661D"/>
    <w:rsid w:val="00141486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924"/>
    <w:rsid w:val="00186538"/>
    <w:rsid w:val="001866A6"/>
    <w:rsid w:val="00186C42"/>
    <w:rsid w:val="00187D81"/>
    <w:rsid w:val="0019034C"/>
    <w:rsid w:val="00191A18"/>
    <w:rsid w:val="001934FD"/>
    <w:rsid w:val="00193715"/>
    <w:rsid w:val="00193938"/>
    <w:rsid w:val="001955F6"/>
    <w:rsid w:val="001A0552"/>
    <w:rsid w:val="001A21EF"/>
    <w:rsid w:val="001A59AA"/>
    <w:rsid w:val="001A6E25"/>
    <w:rsid w:val="001B182C"/>
    <w:rsid w:val="001B1D89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60EB"/>
    <w:rsid w:val="001D7433"/>
    <w:rsid w:val="001D77F3"/>
    <w:rsid w:val="001E00DF"/>
    <w:rsid w:val="001E056E"/>
    <w:rsid w:val="001E0AEB"/>
    <w:rsid w:val="001E1739"/>
    <w:rsid w:val="001E248D"/>
    <w:rsid w:val="001E2508"/>
    <w:rsid w:val="001E2716"/>
    <w:rsid w:val="001E3D24"/>
    <w:rsid w:val="001E3EDD"/>
    <w:rsid w:val="001E42AB"/>
    <w:rsid w:val="001E4990"/>
    <w:rsid w:val="001E670B"/>
    <w:rsid w:val="001E7691"/>
    <w:rsid w:val="001E7A6B"/>
    <w:rsid w:val="001E7E94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4284"/>
    <w:rsid w:val="002169E9"/>
    <w:rsid w:val="00216D4E"/>
    <w:rsid w:val="00217476"/>
    <w:rsid w:val="0022263C"/>
    <w:rsid w:val="0022503C"/>
    <w:rsid w:val="002326C7"/>
    <w:rsid w:val="00232A9A"/>
    <w:rsid w:val="002330E7"/>
    <w:rsid w:val="00233999"/>
    <w:rsid w:val="00235253"/>
    <w:rsid w:val="00235D4C"/>
    <w:rsid w:val="002368D0"/>
    <w:rsid w:val="002372CE"/>
    <w:rsid w:val="00237DB0"/>
    <w:rsid w:val="00237DCE"/>
    <w:rsid w:val="002417AC"/>
    <w:rsid w:val="00244528"/>
    <w:rsid w:val="00245960"/>
    <w:rsid w:val="00246A31"/>
    <w:rsid w:val="00246A76"/>
    <w:rsid w:val="0025069E"/>
    <w:rsid w:val="0025078B"/>
    <w:rsid w:val="00250CEE"/>
    <w:rsid w:val="00252114"/>
    <w:rsid w:val="00252637"/>
    <w:rsid w:val="00252C86"/>
    <w:rsid w:val="002545A5"/>
    <w:rsid w:val="00257163"/>
    <w:rsid w:val="00260062"/>
    <w:rsid w:val="0026173A"/>
    <w:rsid w:val="0026178A"/>
    <w:rsid w:val="00262753"/>
    <w:rsid w:val="00262E94"/>
    <w:rsid w:val="00263B64"/>
    <w:rsid w:val="00265E64"/>
    <w:rsid w:val="00270032"/>
    <w:rsid w:val="002724BF"/>
    <w:rsid w:val="00272AD5"/>
    <w:rsid w:val="00273482"/>
    <w:rsid w:val="00273EED"/>
    <w:rsid w:val="002740A0"/>
    <w:rsid w:val="002744F3"/>
    <w:rsid w:val="002763B9"/>
    <w:rsid w:val="0027715D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657C"/>
    <w:rsid w:val="00291001"/>
    <w:rsid w:val="00291472"/>
    <w:rsid w:val="00291E97"/>
    <w:rsid w:val="0029274F"/>
    <w:rsid w:val="0029283B"/>
    <w:rsid w:val="002929EB"/>
    <w:rsid w:val="00295250"/>
    <w:rsid w:val="002975C2"/>
    <w:rsid w:val="002A04B6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4DA"/>
    <w:rsid w:val="002B7BAD"/>
    <w:rsid w:val="002B7EDB"/>
    <w:rsid w:val="002C08AF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2C11"/>
    <w:rsid w:val="002E3060"/>
    <w:rsid w:val="002E46B3"/>
    <w:rsid w:val="002E4AFB"/>
    <w:rsid w:val="002E4FB1"/>
    <w:rsid w:val="002E60B0"/>
    <w:rsid w:val="002E6826"/>
    <w:rsid w:val="002E6AE1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2AE4"/>
    <w:rsid w:val="00315E8B"/>
    <w:rsid w:val="0031662A"/>
    <w:rsid w:val="003168ED"/>
    <w:rsid w:val="003176A9"/>
    <w:rsid w:val="00320CD9"/>
    <w:rsid w:val="003212DA"/>
    <w:rsid w:val="003228DA"/>
    <w:rsid w:val="00323586"/>
    <w:rsid w:val="0032398E"/>
    <w:rsid w:val="00327685"/>
    <w:rsid w:val="00327898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CEE"/>
    <w:rsid w:val="00394871"/>
    <w:rsid w:val="00395152"/>
    <w:rsid w:val="00397746"/>
    <w:rsid w:val="00397875"/>
    <w:rsid w:val="00397F9E"/>
    <w:rsid w:val="003A3280"/>
    <w:rsid w:val="003A3615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D6965"/>
    <w:rsid w:val="003E06AD"/>
    <w:rsid w:val="003E07F8"/>
    <w:rsid w:val="003E1CAD"/>
    <w:rsid w:val="003E277C"/>
    <w:rsid w:val="003E28E9"/>
    <w:rsid w:val="003E38CC"/>
    <w:rsid w:val="003E6A44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4DE3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F83"/>
    <w:rsid w:val="00422B03"/>
    <w:rsid w:val="00423295"/>
    <w:rsid w:val="004235A5"/>
    <w:rsid w:val="004240C7"/>
    <w:rsid w:val="0042431F"/>
    <w:rsid w:val="00426569"/>
    <w:rsid w:val="00427D51"/>
    <w:rsid w:val="00432413"/>
    <w:rsid w:val="0043241B"/>
    <w:rsid w:val="0043394C"/>
    <w:rsid w:val="00434201"/>
    <w:rsid w:val="004349A5"/>
    <w:rsid w:val="00435239"/>
    <w:rsid w:val="00436805"/>
    <w:rsid w:val="004406BF"/>
    <w:rsid w:val="00440FDD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5149D"/>
    <w:rsid w:val="00451D8B"/>
    <w:rsid w:val="00452A46"/>
    <w:rsid w:val="00452DCF"/>
    <w:rsid w:val="0045482B"/>
    <w:rsid w:val="00454CCD"/>
    <w:rsid w:val="004555E8"/>
    <w:rsid w:val="00455B07"/>
    <w:rsid w:val="00460FDC"/>
    <w:rsid w:val="00462455"/>
    <w:rsid w:val="00462573"/>
    <w:rsid w:val="004647A2"/>
    <w:rsid w:val="00466D20"/>
    <w:rsid w:val="00466D2D"/>
    <w:rsid w:val="00467403"/>
    <w:rsid w:val="0046795F"/>
    <w:rsid w:val="0047337A"/>
    <w:rsid w:val="00473B15"/>
    <w:rsid w:val="0047468A"/>
    <w:rsid w:val="004755C2"/>
    <w:rsid w:val="004826F5"/>
    <w:rsid w:val="00482E23"/>
    <w:rsid w:val="0048403E"/>
    <w:rsid w:val="00484B29"/>
    <w:rsid w:val="00486425"/>
    <w:rsid w:val="004901D5"/>
    <w:rsid w:val="004912BA"/>
    <w:rsid w:val="0049207B"/>
    <w:rsid w:val="00492EC0"/>
    <w:rsid w:val="00493A86"/>
    <w:rsid w:val="00493D30"/>
    <w:rsid w:val="004946D4"/>
    <w:rsid w:val="00494ED6"/>
    <w:rsid w:val="004952A9"/>
    <w:rsid w:val="00495F14"/>
    <w:rsid w:val="00496104"/>
    <w:rsid w:val="0049791D"/>
    <w:rsid w:val="004A00F2"/>
    <w:rsid w:val="004A230F"/>
    <w:rsid w:val="004A3A05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0D69"/>
    <w:rsid w:val="004C117C"/>
    <w:rsid w:val="004C277A"/>
    <w:rsid w:val="004C3155"/>
    <w:rsid w:val="004C62EA"/>
    <w:rsid w:val="004C78AF"/>
    <w:rsid w:val="004D0751"/>
    <w:rsid w:val="004D19FA"/>
    <w:rsid w:val="004D32EE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6247"/>
    <w:rsid w:val="004E6500"/>
    <w:rsid w:val="004E6535"/>
    <w:rsid w:val="004F09C2"/>
    <w:rsid w:val="004F0A1E"/>
    <w:rsid w:val="004F2069"/>
    <w:rsid w:val="004F4D05"/>
    <w:rsid w:val="004F4FBA"/>
    <w:rsid w:val="004F54B4"/>
    <w:rsid w:val="004F5A08"/>
    <w:rsid w:val="004F63C6"/>
    <w:rsid w:val="0050328D"/>
    <w:rsid w:val="0050568E"/>
    <w:rsid w:val="005074C5"/>
    <w:rsid w:val="00511FA6"/>
    <w:rsid w:val="005124BD"/>
    <w:rsid w:val="00513330"/>
    <w:rsid w:val="005152A9"/>
    <w:rsid w:val="00515334"/>
    <w:rsid w:val="00516A85"/>
    <w:rsid w:val="00516F63"/>
    <w:rsid w:val="005177BD"/>
    <w:rsid w:val="0052062E"/>
    <w:rsid w:val="00521586"/>
    <w:rsid w:val="00523E92"/>
    <w:rsid w:val="0052599D"/>
    <w:rsid w:val="00526439"/>
    <w:rsid w:val="00527F4C"/>
    <w:rsid w:val="00530795"/>
    <w:rsid w:val="00532A19"/>
    <w:rsid w:val="005350EA"/>
    <w:rsid w:val="00535465"/>
    <w:rsid w:val="00537C93"/>
    <w:rsid w:val="00542BBD"/>
    <w:rsid w:val="00543466"/>
    <w:rsid w:val="00543554"/>
    <w:rsid w:val="00543EEA"/>
    <w:rsid w:val="00544A99"/>
    <w:rsid w:val="005454D3"/>
    <w:rsid w:val="00545719"/>
    <w:rsid w:val="005466D1"/>
    <w:rsid w:val="005474D3"/>
    <w:rsid w:val="00551FCA"/>
    <w:rsid w:val="0055330A"/>
    <w:rsid w:val="005547A8"/>
    <w:rsid w:val="0055528C"/>
    <w:rsid w:val="0055583E"/>
    <w:rsid w:val="00555AB5"/>
    <w:rsid w:val="00556699"/>
    <w:rsid w:val="005601D9"/>
    <w:rsid w:val="005642B7"/>
    <w:rsid w:val="00564410"/>
    <w:rsid w:val="00565FD0"/>
    <w:rsid w:val="00570E81"/>
    <w:rsid w:val="00572414"/>
    <w:rsid w:val="0057293B"/>
    <w:rsid w:val="00580811"/>
    <w:rsid w:val="00580B8D"/>
    <w:rsid w:val="00580C8C"/>
    <w:rsid w:val="00581974"/>
    <w:rsid w:val="005820BB"/>
    <w:rsid w:val="00584823"/>
    <w:rsid w:val="005858CC"/>
    <w:rsid w:val="00586648"/>
    <w:rsid w:val="005866DD"/>
    <w:rsid w:val="00590E1F"/>
    <w:rsid w:val="00591898"/>
    <w:rsid w:val="00593BCF"/>
    <w:rsid w:val="00596D16"/>
    <w:rsid w:val="005A1723"/>
    <w:rsid w:val="005A189D"/>
    <w:rsid w:val="005A34BF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4559"/>
    <w:rsid w:val="005E4B1F"/>
    <w:rsid w:val="005E5BC2"/>
    <w:rsid w:val="005E6227"/>
    <w:rsid w:val="005E665A"/>
    <w:rsid w:val="005E73D0"/>
    <w:rsid w:val="005F1244"/>
    <w:rsid w:val="005F237D"/>
    <w:rsid w:val="005F27EA"/>
    <w:rsid w:val="005F40BE"/>
    <w:rsid w:val="005F6055"/>
    <w:rsid w:val="005F790B"/>
    <w:rsid w:val="006002F4"/>
    <w:rsid w:val="00600F3B"/>
    <w:rsid w:val="0060625D"/>
    <w:rsid w:val="006076F2"/>
    <w:rsid w:val="00607CB7"/>
    <w:rsid w:val="00607E50"/>
    <w:rsid w:val="00610D86"/>
    <w:rsid w:val="00613A7C"/>
    <w:rsid w:val="0061420C"/>
    <w:rsid w:val="006146D0"/>
    <w:rsid w:val="00614A6A"/>
    <w:rsid w:val="00614F9D"/>
    <w:rsid w:val="00617392"/>
    <w:rsid w:val="00620883"/>
    <w:rsid w:val="00620DF0"/>
    <w:rsid w:val="00623A75"/>
    <w:rsid w:val="006259A7"/>
    <w:rsid w:val="00625DDE"/>
    <w:rsid w:val="00626636"/>
    <w:rsid w:val="006307F1"/>
    <w:rsid w:val="006326D7"/>
    <w:rsid w:val="0063315B"/>
    <w:rsid w:val="006357FF"/>
    <w:rsid w:val="006378F0"/>
    <w:rsid w:val="00641320"/>
    <w:rsid w:val="0064187A"/>
    <w:rsid w:val="00641EBB"/>
    <w:rsid w:val="0064349A"/>
    <w:rsid w:val="00643AD0"/>
    <w:rsid w:val="006450FE"/>
    <w:rsid w:val="0064539C"/>
    <w:rsid w:val="00647617"/>
    <w:rsid w:val="00652206"/>
    <w:rsid w:val="0065281B"/>
    <w:rsid w:val="00652BEB"/>
    <w:rsid w:val="00654073"/>
    <w:rsid w:val="00655BC9"/>
    <w:rsid w:val="00655C50"/>
    <w:rsid w:val="00657742"/>
    <w:rsid w:val="00660C6F"/>
    <w:rsid w:val="00660D60"/>
    <w:rsid w:val="00660DCA"/>
    <w:rsid w:val="00663234"/>
    <w:rsid w:val="0066369C"/>
    <w:rsid w:val="006671C5"/>
    <w:rsid w:val="006735A4"/>
    <w:rsid w:val="00676A92"/>
    <w:rsid w:val="00677C27"/>
    <w:rsid w:val="006802A2"/>
    <w:rsid w:val="00681567"/>
    <w:rsid w:val="00681B10"/>
    <w:rsid w:val="0068315E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CAF"/>
    <w:rsid w:val="006A66C9"/>
    <w:rsid w:val="006A7EC5"/>
    <w:rsid w:val="006B0543"/>
    <w:rsid w:val="006B0F34"/>
    <w:rsid w:val="006B106A"/>
    <w:rsid w:val="006B2334"/>
    <w:rsid w:val="006B3D24"/>
    <w:rsid w:val="006B4CD2"/>
    <w:rsid w:val="006C0736"/>
    <w:rsid w:val="006C0F05"/>
    <w:rsid w:val="006C2DE2"/>
    <w:rsid w:val="006C3531"/>
    <w:rsid w:val="006C5039"/>
    <w:rsid w:val="006D081C"/>
    <w:rsid w:val="006D0FD8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E528E"/>
    <w:rsid w:val="006F0A77"/>
    <w:rsid w:val="006F1307"/>
    <w:rsid w:val="006F2966"/>
    <w:rsid w:val="006F755C"/>
    <w:rsid w:val="006F7E5D"/>
    <w:rsid w:val="00701DE4"/>
    <w:rsid w:val="00701F76"/>
    <w:rsid w:val="007021F0"/>
    <w:rsid w:val="0070355A"/>
    <w:rsid w:val="007047CF"/>
    <w:rsid w:val="007069EF"/>
    <w:rsid w:val="00713029"/>
    <w:rsid w:val="0071319B"/>
    <w:rsid w:val="00713E04"/>
    <w:rsid w:val="00714FF5"/>
    <w:rsid w:val="0071616A"/>
    <w:rsid w:val="00720614"/>
    <w:rsid w:val="00720841"/>
    <w:rsid w:val="007211DE"/>
    <w:rsid w:val="00722EE3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51C8"/>
    <w:rsid w:val="007366E8"/>
    <w:rsid w:val="00736BF1"/>
    <w:rsid w:val="0073791D"/>
    <w:rsid w:val="00737DE8"/>
    <w:rsid w:val="00740516"/>
    <w:rsid w:val="007433DD"/>
    <w:rsid w:val="00743D66"/>
    <w:rsid w:val="00745577"/>
    <w:rsid w:val="0074563E"/>
    <w:rsid w:val="00746115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71908"/>
    <w:rsid w:val="007745A0"/>
    <w:rsid w:val="00775247"/>
    <w:rsid w:val="00776295"/>
    <w:rsid w:val="0077662A"/>
    <w:rsid w:val="00776911"/>
    <w:rsid w:val="00776EAE"/>
    <w:rsid w:val="007776B0"/>
    <w:rsid w:val="00780D63"/>
    <w:rsid w:val="00781733"/>
    <w:rsid w:val="00781872"/>
    <w:rsid w:val="00781FDF"/>
    <w:rsid w:val="0078479D"/>
    <w:rsid w:val="0078680E"/>
    <w:rsid w:val="00787099"/>
    <w:rsid w:val="00792876"/>
    <w:rsid w:val="007934E9"/>
    <w:rsid w:val="00794440"/>
    <w:rsid w:val="00796305"/>
    <w:rsid w:val="00796671"/>
    <w:rsid w:val="00796ACC"/>
    <w:rsid w:val="007A3FFD"/>
    <w:rsid w:val="007A4906"/>
    <w:rsid w:val="007A561C"/>
    <w:rsid w:val="007A57C6"/>
    <w:rsid w:val="007A5EFB"/>
    <w:rsid w:val="007A73BA"/>
    <w:rsid w:val="007A7CDD"/>
    <w:rsid w:val="007B12AF"/>
    <w:rsid w:val="007B23B0"/>
    <w:rsid w:val="007B28DD"/>
    <w:rsid w:val="007B3061"/>
    <w:rsid w:val="007B3664"/>
    <w:rsid w:val="007B4A03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4BF"/>
    <w:rsid w:val="007D0D9F"/>
    <w:rsid w:val="007D1FC2"/>
    <w:rsid w:val="007D2B07"/>
    <w:rsid w:val="007D398D"/>
    <w:rsid w:val="007D57B8"/>
    <w:rsid w:val="007D59C4"/>
    <w:rsid w:val="007D7F2B"/>
    <w:rsid w:val="007E03DC"/>
    <w:rsid w:val="007E238C"/>
    <w:rsid w:val="007E2B53"/>
    <w:rsid w:val="007E5108"/>
    <w:rsid w:val="007E564F"/>
    <w:rsid w:val="007E6B0B"/>
    <w:rsid w:val="007E6E76"/>
    <w:rsid w:val="007E7C4F"/>
    <w:rsid w:val="007F0485"/>
    <w:rsid w:val="007F272C"/>
    <w:rsid w:val="007F2BBE"/>
    <w:rsid w:val="007F2EDE"/>
    <w:rsid w:val="007F2F13"/>
    <w:rsid w:val="007F344C"/>
    <w:rsid w:val="007F397D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4F1"/>
    <w:rsid w:val="0081652B"/>
    <w:rsid w:val="0082007C"/>
    <w:rsid w:val="00820662"/>
    <w:rsid w:val="008208BE"/>
    <w:rsid w:val="00821319"/>
    <w:rsid w:val="00822155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68A0"/>
    <w:rsid w:val="00846D09"/>
    <w:rsid w:val="00846D53"/>
    <w:rsid w:val="008471D0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858"/>
    <w:rsid w:val="00862AED"/>
    <w:rsid w:val="00862B3D"/>
    <w:rsid w:val="00864248"/>
    <w:rsid w:val="00865E23"/>
    <w:rsid w:val="0087320E"/>
    <w:rsid w:val="00873F91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D20"/>
    <w:rsid w:val="0089371B"/>
    <w:rsid w:val="008947AA"/>
    <w:rsid w:val="008950AD"/>
    <w:rsid w:val="0089660E"/>
    <w:rsid w:val="00897165"/>
    <w:rsid w:val="00897B25"/>
    <w:rsid w:val="00897D84"/>
    <w:rsid w:val="008A0B68"/>
    <w:rsid w:val="008A0C9A"/>
    <w:rsid w:val="008A10CA"/>
    <w:rsid w:val="008A1612"/>
    <w:rsid w:val="008A1BAF"/>
    <w:rsid w:val="008A228D"/>
    <w:rsid w:val="008A2C37"/>
    <w:rsid w:val="008A33EA"/>
    <w:rsid w:val="008A4438"/>
    <w:rsid w:val="008A4C91"/>
    <w:rsid w:val="008A5334"/>
    <w:rsid w:val="008A6B66"/>
    <w:rsid w:val="008A6F06"/>
    <w:rsid w:val="008A77FE"/>
    <w:rsid w:val="008B00F4"/>
    <w:rsid w:val="008B02B7"/>
    <w:rsid w:val="008B02D9"/>
    <w:rsid w:val="008B0A93"/>
    <w:rsid w:val="008B19D8"/>
    <w:rsid w:val="008B1A5F"/>
    <w:rsid w:val="008B2DE6"/>
    <w:rsid w:val="008B47D3"/>
    <w:rsid w:val="008B4A18"/>
    <w:rsid w:val="008B654E"/>
    <w:rsid w:val="008B683B"/>
    <w:rsid w:val="008C1786"/>
    <w:rsid w:val="008C3678"/>
    <w:rsid w:val="008C5B23"/>
    <w:rsid w:val="008C5C16"/>
    <w:rsid w:val="008C5D28"/>
    <w:rsid w:val="008C64AC"/>
    <w:rsid w:val="008C7517"/>
    <w:rsid w:val="008D371F"/>
    <w:rsid w:val="008D5BA8"/>
    <w:rsid w:val="008D71BB"/>
    <w:rsid w:val="008E05EA"/>
    <w:rsid w:val="008E673F"/>
    <w:rsid w:val="008E6BD7"/>
    <w:rsid w:val="008F0D0A"/>
    <w:rsid w:val="008F0D87"/>
    <w:rsid w:val="008F1A61"/>
    <w:rsid w:val="008F2E15"/>
    <w:rsid w:val="008F3842"/>
    <w:rsid w:val="008F66A0"/>
    <w:rsid w:val="008F6F00"/>
    <w:rsid w:val="0090001D"/>
    <w:rsid w:val="009012BC"/>
    <w:rsid w:val="00901C30"/>
    <w:rsid w:val="00904253"/>
    <w:rsid w:val="0090522C"/>
    <w:rsid w:val="0090545D"/>
    <w:rsid w:val="00906391"/>
    <w:rsid w:val="00906748"/>
    <w:rsid w:val="00906E72"/>
    <w:rsid w:val="00906FDD"/>
    <w:rsid w:val="009072CD"/>
    <w:rsid w:val="009077A7"/>
    <w:rsid w:val="009111A9"/>
    <w:rsid w:val="00911618"/>
    <w:rsid w:val="00913286"/>
    <w:rsid w:val="00914B21"/>
    <w:rsid w:val="00916058"/>
    <w:rsid w:val="0091622C"/>
    <w:rsid w:val="00917A66"/>
    <w:rsid w:val="00922ABA"/>
    <w:rsid w:val="009234F1"/>
    <w:rsid w:val="00924AFC"/>
    <w:rsid w:val="0092527F"/>
    <w:rsid w:val="00925B92"/>
    <w:rsid w:val="009260F3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607C"/>
    <w:rsid w:val="0093764B"/>
    <w:rsid w:val="00937BD1"/>
    <w:rsid w:val="0094130B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16BF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146E"/>
    <w:rsid w:val="00994FE1"/>
    <w:rsid w:val="00995005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76E2"/>
    <w:rsid w:val="009E7CE7"/>
    <w:rsid w:val="009E7E2A"/>
    <w:rsid w:val="009F151C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228B"/>
    <w:rsid w:val="00A02B4D"/>
    <w:rsid w:val="00A02CD7"/>
    <w:rsid w:val="00A042A9"/>
    <w:rsid w:val="00A06B99"/>
    <w:rsid w:val="00A0765E"/>
    <w:rsid w:val="00A1072A"/>
    <w:rsid w:val="00A10EC6"/>
    <w:rsid w:val="00A1223C"/>
    <w:rsid w:val="00A12368"/>
    <w:rsid w:val="00A14117"/>
    <w:rsid w:val="00A14215"/>
    <w:rsid w:val="00A14872"/>
    <w:rsid w:val="00A14DA8"/>
    <w:rsid w:val="00A14E7F"/>
    <w:rsid w:val="00A15FD9"/>
    <w:rsid w:val="00A223CC"/>
    <w:rsid w:val="00A23A41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3F9F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22D1"/>
    <w:rsid w:val="00A53C2E"/>
    <w:rsid w:val="00A5452C"/>
    <w:rsid w:val="00A554D1"/>
    <w:rsid w:val="00A5564B"/>
    <w:rsid w:val="00A56C79"/>
    <w:rsid w:val="00A60FC5"/>
    <w:rsid w:val="00A632F4"/>
    <w:rsid w:val="00A64AF7"/>
    <w:rsid w:val="00A67BF3"/>
    <w:rsid w:val="00A70A2F"/>
    <w:rsid w:val="00A710D8"/>
    <w:rsid w:val="00A742A4"/>
    <w:rsid w:val="00A742BF"/>
    <w:rsid w:val="00A77397"/>
    <w:rsid w:val="00A777D0"/>
    <w:rsid w:val="00A778B9"/>
    <w:rsid w:val="00A82FB4"/>
    <w:rsid w:val="00A83099"/>
    <w:rsid w:val="00A8383B"/>
    <w:rsid w:val="00A84ABF"/>
    <w:rsid w:val="00A866AC"/>
    <w:rsid w:val="00A869EB"/>
    <w:rsid w:val="00A87C3B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72EE"/>
    <w:rsid w:val="00AB79CD"/>
    <w:rsid w:val="00AB7B4C"/>
    <w:rsid w:val="00AC026A"/>
    <w:rsid w:val="00AC1B51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3F1F"/>
    <w:rsid w:val="00AE403F"/>
    <w:rsid w:val="00AE4C2F"/>
    <w:rsid w:val="00AE7D38"/>
    <w:rsid w:val="00AF0ABD"/>
    <w:rsid w:val="00AF184D"/>
    <w:rsid w:val="00AF370D"/>
    <w:rsid w:val="00AF377F"/>
    <w:rsid w:val="00AF3F4D"/>
    <w:rsid w:val="00AF5930"/>
    <w:rsid w:val="00AF627A"/>
    <w:rsid w:val="00AF71AB"/>
    <w:rsid w:val="00AF7A46"/>
    <w:rsid w:val="00AF7B59"/>
    <w:rsid w:val="00B027C1"/>
    <w:rsid w:val="00B02E19"/>
    <w:rsid w:val="00B046C7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0FF9"/>
    <w:rsid w:val="00B32AB6"/>
    <w:rsid w:val="00B33655"/>
    <w:rsid w:val="00B401A2"/>
    <w:rsid w:val="00B40483"/>
    <w:rsid w:val="00B40DFE"/>
    <w:rsid w:val="00B411D0"/>
    <w:rsid w:val="00B41780"/>
    <w:rsid w:val="00B42978"/>
    <w:rsid w:val="00B4468E"/>
    <w:rsid w:val="00B448B5"/>
    <w:rsid w:val="00B450CA"/>
    <w:rsid w:val="00B476BC"/>
    <w:rsid w:val="00B519E7"/>
    <w:rsid w:val="00B51D7F"/>
    <w:rsid w:val="00B5311D"/>
    <w:rsid w:val="00B537D4"/>
    <w:rsid w:val="00B54B9C"/>
    <w:rsid w:val="00B54F39"/>
    <w:rsid w:val="00B5588A"/>
    <w:rsid w:val="00B6019C"/>
    <w:rsid w:val="00B60643"/>
    <w:rsid w:val="00B61DD4"/>
    <w:rsid w:val="00B621FC"/>
    <w:rsid w:val="00B630D0"/>
    <w:rsid w:val="00B639E5"/>
    <w:rsid w:val="00B640E7"/>
    <w:rsid w:val="00B65AF9"/>
    <w:rsid w:val="00B70E62"/>
    <w:rsid w:val="00B72479"/>
    <w:rsid w:val="00B731D3"/>
    <w:rsid w:val="00B74453"/>
    <w:rsid w:val="00B75024"/>
    <w:rsid w:val="00B75F2F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90E1E"/>
    <w:rsid w:val="00B91D45"/>
    <w:rsid w:val="00B91EE9"/>
    <w:rsid w:val="00B92318"/>
    <w:rsid w:val="00B930B6"/>
    <w:rsid w:val="00B939F3"/>
    <w:rsid w:val="00B95CE7"/>
    <w:rsid w:val="00B9619C"/>
    <w:rsid w:val="00B9658F"/>
    <w:rsid w:val="00B97EAB"/>
    <w:rsid w:val="00BA0055"/>
    <w:rsid w:val="00BA20A8"/>
    <w:rsid w:val="00BA3298"/>
    <w:rsid w:val="00BA3CCC"/>
    <w:rsid w:val="00BA4F6C"/>
    <w:rsid w:val="00BA729F"/>
    <w:rsid w:val="00BB03B4"/>
    <w:rsid w:val="00BB1489"/>
    <w:rsid w:val="00BB31E7"/>
    <w:rsid w:val="00BB3726"/>
    <w:rsid w:val="00BB4CA1"/>
    <w:rsid w:val="00BB73CF"/>
    <w:rsid w:val="00BB7CBB"/>
    <w:rsid w:val="00BC2B69"/>
    <w:rsid w:val="00BC31E4"/>
    <w:rsid w:val="00BC3240"/>
    <w:rsid w:val="00BC3F35"/>
    <w:rsid w:val="00BC4667"/>
    <w:rsid w:val="00BC4721"/>
    <w:rsid w:val="00BC58BA"/>
    <w:rsid w:val="00BC66D5"/>
    <w:rsid w:val="00BD02A0"/>
    <w:rsid w:val="00BD27BC"/>
    <w:rsid w:val="00BD379C"/>
    <w:rsid w:val="00BD4F22"/>
    <w:rsid w:val="00BD56D0"/>
    <w:rsid w:val="00BD6BEA"/>
    <w:rsid w:val="00BD6E91"/>
    <w:rsid w:val="00BD78C1"/>
    <w:rsid w:val="00BE0044"/>
    <w:rsid w:val="00BE17B3"/>
    <w:rsid w:val="00BE19A6"/>
    <w:rsid w:val="00BE2484"/>
    <w:rsid w:val="00BE2E30"/>
    <w:rsid w:val="00BE3381"/>
    <w:rsid w:val="00BF0532"/>
    <w:rsid w:val="00BF0B1B"/>
    <w:rsid w:val="00BF0B5C"/>
    <w:rsid w:val="00BF1E6F"/>
    <w:rsid w:val="00BF386B"/>
    <w:rsid w:val="00BF447D"/>
    <w:rsid w:val="00BF6825"/>
    <w:rsid w:val="00BF746D"/>
    <w:rsid w:val="00BF785F"/>
    <w:rsid w:val="00C02FE0"/>
    <w:rsid w:val="00C03D0B"/>
    <w:rsid w:val="00C03FDD"/>
    <w:rsid w:val="00C05A09"/>
    <w:rsid w:val="00C06C73"/>
    <w:rsid w:val="00C07847"/>
    <w:rsid w:val="00C07BF6"/>
    <w:rsid w:val="00C109C3"/>
    <w:rsid w:val="00C119AB"/>
    <w:rsid w:val="00C1579D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6191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6159"/>
    <w:rsid w:val="00C667CD"/>
    <w:rsid w:val="00C66F9D"/>
    <w:rsid w:val="00C67B14"/>
    <w:rsid w:val="00C715C0"/>
    <w:rsid w:val="00C72935"/>
    <w:rsid w:val="00C73DB0"/>
    <w:rsid w:val="00C776D2"/>
    <w:rsid w:val="00C80271"/>
    <w:rsid w:val="00C80759"/>
    <w:rsid w:val="00C807D3"/>
    <w:rsid w:val="00C814B8"/>
    <w:rsid w:val="00C8638B"/>
    <w:rsid w:val="00C90E11"/>
    <w:rsid w:val="00C91DDA"/>
    <w:rsid w:val="00C91E10"/>
    <w:rsid w:val="00C96CF5"/>
    <w:rsid w:val="00CA5F84"/>
    <w:rsid w:val="00CA64DE"/>
    <w:rsid w:val="00CA7157"/>
    <w:rsid w:val="00CB0391"/>
    <w:rsid w:val="00CB0AB8"/>
    <w:rsid w:val="00CB1EF2"/>
    <w:rsid w:val="00CB538F"/>
    <w:rsid w:val="00CB6593"/>
    <w:rsid w:val="00CB7267"/>
    <w:rsid w:val="00CB72C5"/>
    <w:rsid w:val="00CC0233"/>
    <w:rsid w:val="00CC079E"/>
    <w:rsid w:val="00CC0B15"/>
    <w:rsid w:val="00CC1777"/>
    <w:rsid w:val="00CC18B8"/>
    <w:rsid w:val="00CC5C80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153A"/>
    <w:rsid w:val="00D1513A"/>
    <w:rsid w:val="00D161E8"/>
    <w:rsid w:val="00D163C3"/>
    <w:rsid w:val="00D16AE6"/>
    <w:rsid w:val="00D22992"/>
    <w:rsid w:val="00D2313B"/>
    <w:rsid w:val="00D23156"/>
    <w:rsid w:val="00D23EA3"/>
    <w:rsid w:val="00D242D7"/>
    <w:rsid w:val="00D264D4"/>
    <w:rsid w:val="00D26B5B"/>
    <w:rsid w:val="00D27357"/>
    <w:rsid w:val="00D274AD"/>
    <w:rsid w:val="00D301DA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9A9"/>
    <w:rsid w:val="00D5288D"/>
    <w:rsid w:val="00D52A4A"/>
    <w:rsid w:val="00D52C38"/>
    <w:rsid w:val="00D5478F"/>
    <w:rsid w:val="00D547DF"/>
    <w:rsid w:val="00D558DE"/>
    <w:rsid w:val="00D55CDE"/>
    <w:rsid w:val="00D56530"/>
    <w:rsid w:val="00D56C8D"/>
    <w:rsid w:val="00D56E8B"/>
    <w:rsid w:val="00D609CC"/>
    <w:rsid w:val="00D60D07"/>
    <w:rsid w:val="00D61A1A"/>
    <w:rsid w:val="00D638F4"/>
    <w:rsid w:val="00D669B0"/>
    <w:rsid w:val="00D66D67"/>
    <w:rsid w:val="00D7164E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6AA7"/>
    <w:rsid w:val="00D87457"/>
    <w:rsid w:val="00D91150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B08A9"/>
    <w:rsid w:val="00DB3AF6"/>
    <w:rsid w:val="00DB42F1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678E"/>
    <w:rsid w:val="00DC70D6"/>
    <w:rsid w:val="00DC72D4"/>
    <w:rsid w:val="00DD0F22"/>
    <w:rsid w:val="00DD1275"/>
    <w:rsid w:val="00DD1DA3"/>
    <w:rsid w:val="00DD30CF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F14F2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58D0"/>
    <w:rsid w:val="00E06B39"/>
    <w:rsid w:val="00E1026C"/>
    <w:rsid w:val="00E11032"/>
    <w:rsid w:val="00E12905"/>
    <w:rsid w:val="00E13F66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50956"/>
    <w:rsid w:val="00E53DB1"/>
    <w:rsid w:val="00E54A96"/>
    <w:rsid w:val="00E571C3"/>
    <w:rsid w:val="00E60D8E"/>
    <w:rsid w:val="00E62F10"/>
    <w:rsid w:val="00E652D6"/>
    <w:rsid w:val="00E657FC"/>
    <w:rsid w:val="00E65EFC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5425"/>
    <w:rsid w:val="00E91F53"/>
    <w:rsid w:val="00E9294B"/>
    <w:rsid w:val="00E9430D"/>
    <w:rsid w:val="00E943CB"/>
    <w:rsid w:val="00E944FB"/>
    <w:rsid w:val="00E94BB2"/>
    <w:rsid w:val="00E96817"/>
    <w:rsid w:val="00E9784E"/>
    <w:rsid w:val="00E9787F"/>
    <w:rsid w:val="00E97A27"/>
    <w:rsid w:val="00EA17B3"/>
    <w:rsid w:val="00EA18B2"/>
    <w:rsid w:val="00EA34F5"/>
    <w:rsid w:val="00EA3B98"/>
    <w:rsid w:val="00EA5F48"/>
    <w:rsid w:val="00EA64D3"/>
    <w:rsid w:val="00EB0C10"/>
    <w:rsid w:val="00EB4E56"/>
    <w:rsid w:val="00EB5A34"/>
    <w:rsid w:val="00EB6627"/>
    <w:rsid w:val="00EB72B1"/>
    <w:rsid w:val="00EC093A"/>
    <w:rsid w:val="00EC12E6"/>
    <w:rsid w:val="00EC26FB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DA6"/>
    <w:rsid w:val="00ED19A0"/>
    <w:rsid w:val="00ED31F9"/>
    <w:rsid w:val="00ED35D2"/>
    <w:rsid w:val="00ED4533"/>
    <w:rsid w:val="00ED6228"/>
    <w:rsid w:val="00ED6AFC"/>
    <w:rsid w:val="00ED7BE1"/>
    <w:rsid w:val="00EE182E"/>
    <w:rsid w:val="00EE1B3D"/>
    <w:rsid w:val="00EE304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5E4"/>
    <w:rsid w:val="00F05769"/>
    <w:rsid w:val="00F074AA"/>
    <w:rsid w:val="00F079E6"/>
    <w:rsid w:val="00F07E18"/>
    <w:rsid w:val="00F10850"/>
    <w:rsid w:val="00F1101A"/>
    <w:rsid w:val="00F110D0"/>
    <w:rsid w:val="00F11E94"/>
    <w:rsid w:val="00F13AED"/>
    <w:rsid w:val="00F13B25"/>
    <w:rsid w:val="00F153FD"/>
    <w:rsid w:val="00F200CB"/>
    <w:rsid w:val="00F203A3"/>
    <w:rsid w:val="00F20B4C"/>
    <w:rsid w:val="00F21916"/>
    <w:rsid w:val="00F21A4C"/>
    <w:rsid w:val="00F21CF9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40DD4"/>
    <w:rsid w:val="00F44BB5"/>
    <w:rsid w:val="00F44D48"/>
    <w:rsid w:val="00F45B0D"/>
    <w:rsid w:val="00F479F0"/>
    <w:rsid w:val="00F47FB5"/>
    <w:rsid w:val="00F51296"/>
    <w:rsid w:val="00F52B06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8245D"/>
    <w:rsid w:val="00F83436"/>
    <w:rsid w:val="00F855DB"/>
    <w:rsid w:val="00F936A7"/>
    <w:rsid w:val="00F93A62"/>
    <w:rsid w:val="00F9463B"/>
    <w:rsid w:val="00F962C7"/>
    <w:rsid w:val="00FA0120"/>
    <w:rsid w:val="00FA01A5"/>
    <w:rsid w:val="00FA126F"/>
    <w:rsid w:val="00FA1A26"/>
    <w:rsid w:val="00FA6AA7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266"/>
    <w:rsid w:val="00FB5B4E"/>
    <w:rsid w:val="00FB6624"/>
    <w:rsid w:val="00FB781A"/>
    <w:rsid w:val="00FB7C85"/>
    <w:rsid w:val="00FC0F6D"/>
    <w:rsid w:val="00FC0F6E"/>
    <w:rsid w:val="00FC10F9"/>
    <w:rsid w:val="00FC125E"/>
    <w:rsid w:val="00FC1B7B"/>
    <w:rsid w:val="00FC3E5F"/>
    <w:rsid w:val="00FC4A86"/>
    <w:rsid w:val="00FC59A5"/>
    <w:rsid w:val="00FC5E0D"/>
    <w:rsid w:val="00FC74F3"/>
    <w:rsid w:val="00FD0C3D"/>
    <w:rsid w:val="00FD0CE6"/>
    <w:rsid w:val="00FD0D32"/>
    <w:rsid w:val="00FD1A90"/>
    <w:rsid w:val="00FD1AAC"/>
    <w:rsid w:val="00FD33B1"/>
    <w:rsid w:val="00FD34B3"/>
    <w:rsid w:val="00FD4D44"/>
    <w:rsid w:val="00FE1788"/>
    <w:rsid w:val="00FE39FF"/>
    <w:rsid w:val="00FE65F9"/>
    <w:rsid w:val="00FE74A5"/>
    <w:rsid w:val="00FE789F"/>
    <w:rsid w:val="00FF048C"/>
    <w:rsid w:val="00FF1EEA"/>
    <w:rsid w:val="00FF30FF"/>
    <w:rsid w:val="00FF3622"/>
    <w:rsid w:val="00FF3910"/>
    <w:rsid w:val="00FF4ED8"/>
    <w:rsid w:val="00FF52C0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placenames.nt.gov.au/register/approvals-20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mailto:gazettes@nt.gov.au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D686-5488-4A07-AFD5-6F980F5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G12</vt:lpstr>
    </vt:vector>
  </TitlesOfParts>
  <Company>NTG</Company>
  <LinksUpToDate>false</LinksUpToDate>
  <CharactersWithSpaces>7888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G12</dc:title>
  <dc:creator>Northern Territory Government</dc:creator>
  <cp:lastModifiedBy>mahec</cp:lastModifiedBy>
  <cp:revision>23</cp:revision>
  <cp:lastPrinted>2016-03-21T00:16:00Z</cp:lastPrinted>
  <dcterms:created xsi:type="dcterms:W3CDTF">2016-03-10T04:39:00Z</dcterms:created>
  <dcterms:modified xsi:type="dcterms:W3CDTF">2016-03-21T00:17:00Z</dcterms:modified>
</cp:coreProperties>
</file>