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3C4941" w:rsidP="005A0501">
      <w:pPr>
        <w:pStyle w:val="Heading1"/>
        <w:numPr>
          <w:ilvl w:val="0"/>
          <w:numId w:val="0"/>
        </w:numPr>
        <w:rPr>
          <w:noProof/>
          <w:lang w:eastAsia="en-AU"/>
        </w:rPr>
      </w:pPr>
      <w:bookmarkStart w:id="0" w:name="_GoBack"/>
      <w:bookmarkEnd w:id="0"/>
      <w:r>
        <w:rPr>
          <w:noProof/>
          <w:lang w:eastAsia="en-AU"/>
        </w:rPr>
        <w:t>How to use this template</w:t>
      </w:r>
    </w:p>
    <w:p w:rsidR="005A0501" w:rsidRPr="005A0501" w:rsidRDefault="00A57793" w:rsidP="005A0501">
      <w:pPr>
        <w:rPr>
          <w:i/>
        </w:rPr>
      </w:pPr>
      <w:r>
        <w:rPr>
          <w:i/>
        </w:rPr>
        <w:t>A</w:t>
      </w:r>
      <w:r w:rsidR="005A0501" w:rsidRPr="005A0501">
        <w:rPr>
          <w:i/>
        </w:rPr>
        <w:t xml:space="preserve"> Standard Operating Procedure (SOP) </w:t>
      </w:r>
      <w:r>
        <w:rPr>
          <w:i/>
        </w:rPr>
        <w:t xml:space="preserve">for use of 1080 concentrate </w:t>
      </w:r>
      <w:r w:rsidR="005A0501" w:rsidRPr="005A0501">
        <w:rPr>
          <w:i/>
        </w:rPr>
        <w:t xml:space="preserve">and </w:t>
      </w:r>
      <w:r>
        <w:rPr>
          <w:i/>
        </w:rPr>
        <w:t>subsequent</w:t>
      </w:r>
      <w:r w:rsidR="005A0501" w:rsidRPr="005A0501">
        <w:rPr>
          <w:i/>
        </w:rPr>
        <w:t xml:space="preserve"> approval </w:t>
      </w:r>
      <w:r>
        <w:rPr>
          <w:i/>
        </w:rPr>
        <w:t>through</w:t>
      </w:r>
      <w:r w:rsidR="005A0501" w:rsidRPr="005A0501">
        <w:rPr>
          <w:i/>
        </w:rPr>
        <w:t xml:space="preserve"> Chemical Services is one of the essential requirements before a 1080 Bait Injection Authorisation can be issued.  </w:t>
      </w:r>
    </w:p>
    <w:p w:rsidR="005A0501" w:rsidRPr="005A0501" w:rsidRDefault="005A0501" w:rsidP="005A0501">
      <w:pPr>
        <w:rPr>
          <w:i/>
        </w:rPr>
      </w:pPr>
      <w:r w:rsidRPr="005A0501">
        <w:rPr>
          <w:i/>
        </w:rPr>
        <w:t xml:space="preserve">The Department of Industry, Tourism and Trade (DITT) has produced the Model Standard Operating Procedure for preparation of 1080 wild dog baits which is available on the Chemical Services website: </w:t>
      </w:r>
      <w:hyperlink r:id="rId9" w:history="1">
        <w:r w:rsidR="00A57793" w:rsidRPr="0090711A">
          <w:rPr>
            <w:rStyle w:val="Hyperlink"/>
            <w:rFonts w:cs="Arial"/>
          </w:rPr>
          <w:t>NT.GOV.AU</w:t>
        </w:r>
      </w:hyperlink>
      <w:r w:rsidR="00A57793">
        <w:rPr>
          <w:rStyle w:val="Hyperlink"/>
          <w:rFonts w:cs="Arial"/>
        </w:rPr>
        <w:t xml:space="preserve"> </w:t>
      </w:r>
      <w:r w:rsidRPr="005A0501">
        <w:rPr>
          <w:i/>
        </w:rPr>
        <w:t>.  This</w:t>
      </w:r>
      <w:r w:rsidR="00A57793">
        <w:rPr>
          <w:i/>
        </w:rPr>
        <w:t xml:space="preserve"> template</w:t>
      </w:r>
      <w:r w:rsidRPr="005A0501">
        <w:rPr>
          <w:i/>
        </w:rPr>
        <w:t xml:space="preserve">, in conjunction with the 1080 bait injection training course </w:t>
      </w:r>
      <w:proofErr w:type="spellStart"/>
      <w:r w:rsidRPr="005A0501">
        <w:rPr>
          <w:i/>
        </w:rPr>
        <w:t>note</w:t>
      </w:r>
      <w:proofErr w:type="gramStart"/>
      <w:r w:rsidR="00A57793">
        <w:rPr>
          <w:i/>
        </w:rPr>
        <w:t>,</w:t>
      </w:r>
      <w:r w:rsidRPr="005A0501">
        <w:rPr>
          <w:i/>
        </w:rPr>
        <w:t>s</w:t>
      </w:r>
      <w:proofErr w:type="spellEnd"/>
      <w:proofErr w:type="gramEnd"/>
      <w:r w:rsidRPr="005A0501">
        <w:rPr>
          <w:i/>
        </w:rPr>
        <w:t xml:space="preserve"> can be used to help you develop your personalised SOP.  Your personalised SOP is required to ensure that you follow procedures that result in safe and responsible handling of 1080 concentrate.</w:t>
      </w:r>
    </w:p>
    <w:p w:rsidR="005A0501" w:rsidRPr="005A0501" w:rsidRDefault="005A0501" w:rsidP="005A0501">
      <w:pPr>
        <w:rPr>
          <w:i/>
        </w:rPr>
      </w:pPr>
      <w:r w:rsidRPr="005A0501">
        <w:rPr>
          <w:i/>
        </w:rPr>
        <w:t>This personalised SOP shall not contravene any of the following:</w:t>
      </w:r>
    </w:p>
    <w:p w:rsidR="005A0501" w:rsidRPr="005A0501" w:rsidRDefault="005A0501" w:rsidP="005A0501">
      <w:pPr>
        <w:rPr>
          <w:i/>
        </w:rPr>
      </w:pPr>
      <w:r w:rsidRPr="005A0501">
        <w:rPr>
          <w:i/>
        </w:rPr>
        <w:t>•</w:t>
      </w:r>
      <w:r w:rsidRPr="005A0501">
        <w:rPr>
          <w:i/>
        </w:rPr>
        <w:tab/>
        <w:t xml:space="preserve">Instructions on the registered chemical product label, </w:t>
      </w:r>
    </w:p>
    <w:p w:rsidR="005A0501" w:rsidRPr="005A0501" w:rsidRDefault="005A0501" w:rsidP="005A0501">
      <w:pPr>
        <w:rPr>
          <w:i/>
        </w:rPr>
      </w:pPr>
      <w:r w:rsidRPr="005A0501">
        <w:rPr>
          <w:i/>
        </w:rPr>
        <w:t>•</w:t>
      </w:r>
      <w:r w:rsidRPr="005A0501">
        <w:rPr>
          <w:i/>
        </w:rPr>
        <w:tab/>
        <w:t xml:space="preserve">APVMA permit number PER8781 (Supplying </w:t>
      </w:r>
      <w:proofErr w:type="gramStart"/>
      <w:r w:rsidRPr="005A0501">
        <w:rPr>
          <w:i/>
        </w:rPr>
        <w:t>A Perishable Bait Treated With</w:t>
      </w:r>
      <w:proofErr w:type="gramEnd"/>
      <w:r w:rsidRPr="005A0501">
        <w:rPr>
          <w:i/>
        </w:rPr>
        <w:t xml:space="preserve"> a Registered Chemical Product),</w:t>
      </w:r>
    </w:p>
    <w:p w:rsidR="005A0501" w:rsidRPr="005A0501" w:rsidRDefault="005A0501" w:rsidP="005A0501">
      <w:pPr>
        <w:rPr>
          <w:i/>
        </w:rPr>
      </w:pPr>
      <w:r w:rsidRPr="005A0501">
        <w:rPr>
          <w:i/>
        </w:rPr>
        <w:t>•</w:t>
      </w:r>
      <w:r w:rsidRPr="005A0501">
        <w:rPr>
          <w:i/>
        </w:rPr>
        <w:tab/>
        <w:t xml:space="preserve">Direction for use of 1080 for wild dog control issued by DITT, </w:t>
      </w:r>
    </w:p>
    <w:p w:rsidR="005A0501" w:rsidRPr="005A0501" w:rsidRDefault="005A0501" w:rsidP="005A0501">
      <w:pPr>
        <w:rPr>
          <w:i/>
        </w:rPr>
      </w:pPr>
      <w:r w:rsidRPr="005A0501">
        <w:rPr>
          <w:i/>
        </w:rPr>
        <w:t>•</w:t>
      </w:r>
      <w:r w:rsidRPr="005A0501">
        <w:rPr>
          <w:i/>
        </w:rPr>
        <w:tab/>
        <w:t>Conditions prescribed on a 1080 Bait Injection Authorisation when issued, or</w:t>
      </w:r>
    </w:p>
    <w:p w:rsidR="005A0501" w:rsidRDefault="005A0501" w:rsidP="005A0501">
      <w:pPr>
        <w:rPr>
          <w:i/>
        </w:rPr>
      </w:pPr>
      <w:r w:rsidRPr="005A0501">
        <w:rPr>
          <w:i/>
        </w:rPr>
        <w:t>•</w:t>
      </w:r>
      <w:r w:rsidRPr="005A0501">
        <w:rPr>
          <w:i/>
        </w:rPr>
        <w:tab/>
        <w:t>Any conditions as prescribed on a Pest Animal Management Authorisation and Permit when issued.</w:t>
      </w:r>
    </w:p>
    <w:p w:rsidR="00A57793" w:rsidRPr="005A0501" w:rsidRDefault="00A57793" w:rsidP="005A0501">
      <w:pPr>
        <w:rPr>
          <w:i/>
        </w:rPr>
      </w:pPr>
      <w:r w:rsidRPr="00A57793">
        <w:rPr>
          <w:i/>
        </w:rPr>
        <w:t>Any of the material in the guideline for the development of a SOP for wild dog baiting, particularly the checklists as provided in Section 19 - Attachments 3, 4 and 5</w:t>
      </w:r>
      <w:r>
        <w:rPr>
          <w:i/>
        </w:rPr>
        <w:t>,</w:t>
      </w:r>
      <w:r w:rsidRPr="00A57793">
        <w:rPr>
          <w:i/>
        </w:rPr>
        <w:t xml:space="preserve"> can be referenced, extracted and utilised to develop your SOP.</w:t>
      </w:r>
    </w:p>
    <w:p w:rsidR="005A0501" w:rsidRPr="005A0501" w:rsidRDefault="005A0501" w:rsidP="005A0501">
      <w:pPr>
        <w:pBdr>
          <w:top w:val="single" w:sz="4" w:space="1" w:color="auto"/>
        </w:pBdr>
        <w:spacing w:before="720"/>
        <w:ind w:right="-408"/>
        <w:jc w:val="both"/>
        <w:rPr>
          <w:rFonts w:cs="Arial"/>
          <w:b/>
        </w:rPr>
      </w:pPr>
      <w:r w:rsidRPr="005A0501">
        <w:rPr>
          <w:rFonts w:cs="Arial"/>
          <w:b/>
        </w:rPr>
        <w:t xml:space="preserve">The following aspects must be </w:t>
      </w:r>
      <w:r w:rsidR="00A57793">
        <w:rPr>
          <w:rFonts w:cs="Arial"/>
          <w:b/>
        </w:rPr>
        <w:t>covered</w:t>
      </w:r>
      <w:r w:rsidRPr="005A0501">
        <w:rPr>
          <w:rFonts w:cs="Arial"/>
          <w:b/>
        </w:rPr>
        <w:t xml:space="preserve"> in your personalised SOP:</w:t>
      </w:r>
    </w:p>
    <w:tbl>
      <w:tblPr>
        <w:tblW w:w="9889" w:type="dxa"/>
        <w:tblLook w:val="01E0" w:firstRow="1" w:lastRow="1" w:firstColumn="1" w:lastColumn="1" w:noHBand="0" w:noVBand="0"/>
      </w:tblPr>
      <w:tblGrid>
        <w:gridCol w:w="3936"/>
        <w:gridCol w:w="5953"/>
      </w:tblGrid>
      <w:tr w:rsidR="005A0501" w:rsidRPr="005A0501" w:rsidTr="004E4AD1">
        <w:trPr>
          <w:trHeight w:val="556"/>
        </w:trPr>
        <w:tc>
          <w:tcPr>
            <w:tcW w:w="3936" w:type="dxa"/>
            <w:shd w:val="clear" w:color="auto" w:fill="auto"/>
            <w:vAlign w:val="bottom"/>
          </w:tcPr>
          <w:p w:rsidR="005A0501" w:rsidRPr="005A0501" w:rsidRDefault="005A0501" w:rsidP="005A0501">
            <w:pPr>
              <w:rPr>
                <w:b/>
              </w:rPr>
            </w:pPr>
            <w:r w:rsidRPr="005A0501">
              <w:rPr>
                <w:b/>
              </w:rPr>
              <w:t>Full Name of 1080 Bait Injector:</w:t>
            </w:r>
          </w:p>
        </w:tc>
        <w:tc>
          <w:tcPr>
            <w:tcW w:w="5953" w:type="dxa"/>
            <w:tcBorders>
              <w:bottom w:val="single" w:sz="4" w:space="0" w:color="auto"/>
            </w:tcBorders>
            <w:shd w:val="clear" w:color="auto" w:fill="auto"/>
            <w:vAlign w:val="bottom"/>
          </w:tcPr>
          <w:p w:rsidR="005A0501" w:rsidRPr="005A0501" w:rsidRDefault="005A0501" w:rsidP="005A0501">
            <w:pPr>
              <w:rPr>
                <w:b/>
              </w:rPr>
            </w:pPr>
          </w:p>
        </w:tc>
      </w:tr>
      <w:tr w:rsidR="005A0501" w:rsidRPr="005A0501" w:rsidTr="004E4AD1">
        <w:trPr>
          <w:trHeight w:val="480"/>
        </w:trPr>
        <w:tc>
          <w:tcPr>
            <w:tcW w:w="3936" w:type="dxa"/>
            <w:shd w:val="clear" w:color="auto" w:fill="auto"/>
            <w:vAlign w:val="bottom"/>
          </w:tcPr>
          <w:p w:rsidR="005A0501" w:rsidRPr="005A0501" w:rsidRDefault="005A0501" w:rsidP="005A0501">
            <w:pPr>
              <w:rPr>
                <w:b/>
              </w:rPr>
            </w:pPr>
            <w:r w:rsidRPr="005A0501">
              <w:rPr>
                <w:b/>
              </w:rPr>
              <w:t>Bait Injector Authorisation No:</w:t>
            </w:r>
          </w:p>
        </w:tc>
        <w:tc>
          <w:tcPr>
            <w:tcW w:w="5953" w:type="dxa"/>
            <w:tcBorders>
              <w:top w:val="single" w:sz="4" w:space="0" w:color="auto"/>
              <w:bottom w:val="single" w:sz="4" w:space="0" w:color="auto"/>
            </w:tcBorders>
            <w:shd w:val="clear" w:color="auto" w:fill="auto"/>
            <w:vAlign w:val="bottom"/>
          </w:tcPr>
          <w:p w:rsidR="005A0501" w:rsidRPr="005A0501" w:rsidRDefault="005A0501" w:rsidP="005A0501">
            <w:pPr>
              <w:rPr>
                <w:b/>
              </w:rPr>
            </w:pPr>
            <w:r w:rsidRPr="005A0501">
              <w:rPr>
                <w:b/>
              </w:rPr>
              <w:t>1080BIA/</w:t>
            </w:r>
          </w:p>
        </w:tc>
      </w:tr>
      <w:tr w:rsidR="005A0501" w:rsidRPr="005A0501" w:rsidTr="004E4AD1">
        <w:trPr>
          <w:trHeight w:val="559"/>
        </w:trPr>
        <w:tc>
          <w:tcPr>
            <w:tcW w:w="3936" w:type="dxa"/>
            <w:shd w:val="clear" w:color="auto" w:fill="auto"/>
            <w:vAlign w:val="bottom"/>
          </w:tcPr>
          <w:p w:rsidR="005A0501" w:rsidRPr="005A0501" w:rsidRDefault="005A0501" w:rsidP="005A0501">
            <w:pPr>
              <w:rPr>
                <w:b/>
              </w:rPr>
            </w:pPr>
          </w:p>
        </w:tc>
        <w:tc>
          <w:tcPr>
            <w:tcW w:w="5953" w:type="dxa"/>
            <w:tcBorders>
              <w:top w:val="single" w:sz="4" w:space="0" w:color="auto"/>
            </w:tcBorders>
            <w:shd w:val="clear" w:color="auto" w:fill="auto"/>
            <w:vAlign w:val="bottom"/>
          </w:tcPr>
          <w:p w:rsidR="005A0501" w:rsidRPr="005A0501" w:rsidRDefault="005A0501" w:rsidP="005A0501"/>
        </w:tc>
      </w:tr>
    </w:tbl>
    <w:p w:rsidR="005A0501" w:rsidRPr="0061078F" w:rsidRDefault="005A0501" w:rsidP="0061078F">
      <w:pPr>
        <w:pStyle w:val="ListParagraph"/>
        <w:numPr>
          <w:ilvl w:val="0"/>
          <w:numId w:val="10"/>
        </w:numPr>
        <w:rPr>
          <w:b/>
          <w:sz w:val="24"/>
          <w:lang w:eastAsia="en-AU"/>
        </w:rPr>
      </w:pPr>
      <w:r w:rsidRPr="0061078F">
        <w:rPr>
          <w:b/>
          <w:sz w:val="24"/>
          <w:lang w:eastAsia="en-AU"/>
        </w:rPr>
        <w:t>Safety equipment and precautions</w:t>
      </w:r>
    </w:p>
    <w:p w:rsidR="005A0501" w:rsidRPr="005A0501" w:rsidRDefault="005A0501" w:rsidP="0061078F">
      <w:pPr>
        <w:rPr>
          <w:rFonts w:eastAsia="Times New Roman"/>
          <w:sz w:val="20"/>
          <w:szCs w:val="20"/>
          <w:lang w:eastAsia="en-AU"/>
        </w:rPr>
      </w:pPr>
      <w:r w:rsidRPr="005A0501">
        <w:rPr>
          <w:rFonts w:eastAsia="Times New Roman"/>
          <w:i/>
          <w:sz w:val="20"/>
          <w:szCs w:val="20"/>
          <w:lang w:eastAsia="en-AU"/>
        </w:rPr>
        <w:t>(Must include information on your Personal Protective Equipment [PPE]</w:t>
      </w:r>
      <w:r w:rsidRPr="005A0501">
        <w:rPr>
          <w:rFonts w:eastAsia="Times New Roman"/>
          <w:sz w:val="20"/>
          <w:szCs w:val="20"/>
          <w:lang w:eastAsia="en-AU"/>
        </w:rPr>
        <w:t>)</w:t>
      </w:r>
    </w:p>
    <w:p w:rsidR="005A0501" w:rsidRPr="0061078F" w:rsidRDefault="005A0501" w:rsidP="0061078F">
      <w:pPr>
        <w:pStyle w:val="ListParagraph"/>
        <w:numPr>
          <w:ilvl w:val="0"/>
          <w:numId w:val="10"/>
        </w:numPr>
        <w:rPr>
          <w:b/>
          <w:sz w:val="24"/>
          <w:lang w:eastAsia="en-AU"/>
        </w:rPr>
      </w:pPr>
      <w:r w:rsidRPr="0061078F">
        <w:rPr>
          <w:b/>
          <w:sz w:val="24"/>
          <w:lang w:eastAsia="en-AU"/>
        </w:rPr>
        <w:t>Maintenance and calibration of injecting equipment</w:t>
      </w:r>
    </w:p>
    <w:p w:rsidR="005A0501" w:rsidRPr="0061078F" w:rsidRDefault="005A0501" w:rsidP="0061078F">
      <w:pPr>
        <w:pStyle w:val="ListParagraph"/>
        <w:numPr>
          <w:ilvl w:val="0"/>
          <w:numId w:val="10"/>
        </w:numPr>
        <w:rPr>
          <w:b/>
          <w:sz w:val="24"/>
          <w:lang w:eastAsia="en-AU"/>
        </w:rPr>
      </w:pPr>
      <w:r w:rsidRPr="0061078F">
        <w:rPr>
          <w:b/>
          <w:sz w:val="24"/>
          <w:lang w:eastAsia="en-AU"/>
        </w:rPr>
        <w:t>Preparation of freshly cured wet meat baits</w:t>
      </w:r>
    </w:p>
    <w:p w:rsidR="005A0501" w:rsidRPr="0061078F" w:rsidRDefault="005A0501" w:rsidP="0061078F">
      <w:pPr>
        <w:pStyle w:val="ListParagraph"/>
        <w:numPr>
          <w:ilvl w:val="0"/>
          <w:numId w:val="10"/>
        </w:numPr>
        <w:rPr>
          <w:b/>
          <w:sz w:val="24"/>
          <w:lang w:eastAsia="en-AU"/>
        </w:rPr>
      </w:pPr>
      <w:r w:rsidRPr="0061078F">
        <w:rPr>
          <w:b/>
          <w:sz w:val="24"/>
          <w:lang w:eastAsia="en-AU"/>
        </w:rPr>
        <w:t>Transport and storage of 1080 concentrate</w:t>
      </w:r>
    </w:p>
    <w:p w:rsidR="005A0501" w:rsidRPr="0061078F" w:rsidRDefault="00E22254" w:rsidP="0061078F">
      <w:pPr>
        <w:pStyle w:val="ListParagraph"/>
        <w:numPr>
          <w:ilvl w:val="0"/>
          <w:numId w:val="10"/>
        </w:numPr>
        <w:rPr>
          <w:b/>
          <w:sz w:val="24"/>
          <w:lang w:eastAsia="en-AU"/>
        </w:rPr>
      </w:pPr>
      <w:bookmarkStart w:id="1" w:name="_Toc325095225"/>
      <w:bookmarkEnd w:id="1"/>
      <w:r w:rsidRPr="0061078F">
        <w:rPr>
          <w:b/>
          <w:sz w:val="24"/>
          <w:lang w:eastAsia="en-AU"/>
        </w:rPr>
        <w:t>Storage and distribution of prepared wet and dry baits</w:t>
      </w:r>
    </w:p>
    <w:p w:rsidR="005A0501" w:rsidRPr="0061078F" w:rsidRDefault="00E22254" w:rsidP="0061078F">
      <w:pPr>
        <w:pStyle w:val="ListParagraph"/>
        <w:numPr>
          <w:ilvl w:val="0"/>
          <w:numId w:val="10"/>
        </w:numPr>
        <w:rPr>
          <w:b/>
          <w:sz w:val="24"/>
          <w:lang w:eastAsia="en-AU"/>
        </w:rPr>
      </w:pPr>
      <w:r w:rsidRPr="0061078F">
        <w:rPr>
          <w:b/>
          <w:sz w:val="24"/>
          <w:lang w:eastAsia="en-AU"/>
        </w:rPr>
        <w:lastRenderedPageBreak/>
        <w:t>Checklists</w:t>
      </w:r>
    </w:p>
    <w:p w:rsidR="005A0501" w:rsidRPr="005A0501" w:rsidRDefault="005A0501" w:rsidP="0061078F">
      <w:pPr>
        <w:rPr>
          <w:rFonts w:eastAsia="Times New Roman"/>
          <w:sz w:val="20"/>
          <w:szCs w:val="20"/>
          <w:lang w:eastAsia="en-AU"/>
        </w:rPr>
      </w:pPr>
      <w:r w:rsidRPr="005A0501">
        <w:rPr>
          <w:rFonts w:eastAsia="Times New Roman"/>
          <w:sz w:val="20"/>
          <w:szCs w:val="20"/>
          <w:lang w:eastAsia="en-AU"/>
        </w:rPr>
        <w:t>(</w:t>
      </w:r>
      <w:r w:rsidRPr="005A0501">
        <w:rPr>
          <w:rFonts w:eastAsia="Times New Roman"/>
          <w:i/>
          <w:sz w:val="20"/>
          <w:szCs w:val="20"/>
          <w:lang w:eastAsia="en-AU"/>
        </w:rPr>
        <w:t>For activities that need to be carried out before, during and after bait preparation.</w:t>
      </w:r>
      <w:r w:rsidRPr="005A0501">
        <w:rPr>
          <w:rFonts w:eastAsia="Times New Roman"/>
          <w:sz w:val="20"/>
          <w:szCs w:val="20"/>
          <w:lang w:eastAsia="en-AU"/>
        </w:rPr>
        <w:t xml:space="preserve"> </w:t>
      </w:r>
      <w:r w:rsidRPr="005A0501">
        <w:rPr>
          <w:rFonts w:eastAsia="Times New Roman"/>
          <w:i/>
          <w:sz w:val="20"/>
          <w:szCs w:val="20"/>
          <w:lang w:eastAsia="en-AU"/>
        </w:rPr>
        <w:t>Attach these to the end of your SOP</w:t>
      </w:r>
      <w:r w:rsidRPr="005A0501">
        <w:rPr>
          <w:rFonts w:eastAsia="Times New Roman"/>
          <w:sz w:val="20"/>
          <w:szCs w:val="20"/>
          <w:lang w:eastAsia="en-AU"/>
        </w:rPr>
        <w:t>)</w:t>
      </w:r>
    </w:p>
    <w:p w:rsidR="005A0501" w:rsidRPr="0061078F" w:rsidRDefault="00E22254" w:rsidP="0061078F">
      <w:pPr>
        <w:pStyle w:val="ListParagraph"/>
        <w:numPr>
          <w:ilvl w:val="0"/>
          <w:numId w:val="10"/>
        </w:numPr>
        <w:rPr>
          <w:b/>
          <w:sz w:val="24"/>
          <w:lang w:eastAsia="en-AU"/>
        </w:rPr>
      </w:pPr>
      <w:r w:rsidRPr="0061078F">
        <w:rPr>
          <w:b/>
          <w:sz w:val="24"/>
          <w:lang w:eastAsia="en-AU"/>
        </w:rPr>
        <w:t>Record keeping</w:t>
      </w:r>
    </w:p>
    <w:p w:rsidR="00812D05" w:rsidRPr="005A0501" w:rsidRDefault="00812D05" w:rsidP="0061078F">
      <w:pPr>
        <w:rPr>
          <w:rFonts w:eastAsia="Times New Roman"/>
          <w:sz w:val="20"/>
          <w:szCs w:val="20"/>
          <w:lang w:eastAsia="en-AU"/>
        </w:rPr>
      </w:pPr>
      <w:r>
        <w:rPr>
          <w:rFonts w:eastAsia="Times New Roman"/>
          <w:i/>
          <w:sz w:val="20"/>
          <w:szCs w:val="20"/>
          <w:lang w:eastAsia="en-AU"/>
        </w:rPr>
        <w:t>Note: records must be kept for at least two years and in accordance with section 19 of the Control of Use Act</w:t>
      </w:r>
    </w:p>
    <w:sectPr w:rsidR="00812D05" w:rsidRPr="005A0501"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DC" w:rsidRDefault="00BF48DC" w:rsidP="007332FF">
      <w:r>
        <w:separator/>
      </w:r>
    </w:p>
  </w:endnote>
  <w:endnote w:type="continuationSeparator" w:id="0">
    <w:p w:rsidR="00BF48DC" w:rsidRDefault="00BF48D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22254">
                <w:rPr>
                  <w:rStyle w:val="PageNumber"/>
                  <w:b/>
                </w:rPr>
                <w:t>INDUSTRY, TOURISM AND TRADE</w:t>
              </w:r>
            </w:sdtContent>
          </w:sdt>
          <w:r w:rsidR="00E22254">
            <w:rPr>
              <w:rStyle w:val="PageNumber"/>
            </w:rPr>
            <w:t xml:space="preserve"> - </w:t>
          </w:r>
        </w:p>
        <w:p w:rsidR="00D47DC7" w:rsidRPr="00CE6614" w:rsidRDefault="00BF48DC"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0-11-18T00:00:00Z">
                <w:dateFormat w:val="d MMMM yyyy"/>
                <w:lid w:val="en-AU"/>
                <w:storeMappedDataAs w:val="dateTime"/>
                <w:calendar w:val="gregorian"/>
              </w:date>
            </w:sdtPr>
            <w:sdtEndPr>
              <w:rPr>
                <w:rStyle w:val="PageNumber"/>
              </w:rPr>
            </w:sdtEndPr>
            <w:sdtContent>
              <w:r w:rsidR="00E22254">
                <w:rPr>
                  <w:rStyle w:val="PageNumber"/>
                </w:rPr>
                <w:t>18 November 2020</w:t>
              </w:r>
            </w:sdtContent>
          </w:sdt>
          <w:r w:rsidR="00E22254">
            <w:rPr>
              <w:rStyle w:val="PageNumber"/>
            </w:rPr>
            <w:t xml:space="preserve"> | </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03BD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03BDF">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22254">
                <w:rPr>
                  <w:rStyle w:val="PageNumber"/>
                  <w:b/>
                </w:rPr>
                <w:t>INDUSTRY, TOURISM AND TRADE</w:t>
              </w:r>
            </w:sdtContent>
          </w:sdt>
          <w:r w:rsidR="00E22254">
            <w:rPr>
              <w:rStyle w:val="PageNumber"/>
            </w:rPr>
            <w:t xml:space="preserve"> - </w:t>
          </w:r>
        </w:p>
        <w:p w:rsidR="00D47DC7" w:rsidRPr="00CE6614" w:rsidRDefault="00BF48DC"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1-18T00:00:00Z">
                <w:dateFormat w:val="d MMMM yyyy"/>
                <w:lid w:val="en-AU"/>
                <w:storeMappedDataAs w:val="dateTime"/>
                <w:calendar w:val="gregorian"/>
              </w:date>
            </w:sdtPr>
            <w:sdtEndPr>
              <w:rPr>
                <w:rStyle w:val="PageNumber"/>
              </w:rPr>
            </w:sdtEndPr>
            <w:sdtContent>
              <w:r w:rsidR="00E22254">
                <w:rPr>
                  <w:rStyle w:val="PageNumber"/>
                </w:rPr>
                <w:t>18 November 2020</w:t>
              </w:r>
            </w:sdtContent>
          </w:sdt>
          <w:r w:rsidR="00D47DC7" w:rsidRPr="00CE6614">
            <w:rPr>
              <w:rStyle w:val="PageNumber"/>
            </w:rPr>
            <w:t xml:space="preserve"> | </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03BD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03BDF">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DC" w:rsidRDefault="00BF48DC" w:rsidP="007332FF">
      <w:r>
        <w:separator/>
      </w:r>
    </w:p>
  </w:footnote>
  <w:footnote w:type="continuationSeparator" w:id="0">
    <w:p w:rsidR="00BF48DC" w:rsidRDefault="00BF48D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F48D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A0501">
          <w:t>1080 Standard Operating Procedures -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5A0501" w:rsidP="00435082">
        <w:pPr>
          <w:pStyle w:val="Title"/>
        </w:pPr>
        <w:r w:rsidRPr="005A0501">
          <w:rPr>
            <w:rStyle w:val="TitleChar"/>
            <w:sz w:val="56"/>
          </w:rPr>
          <w:t xml:space="preserve">1080 Standard Operating Procedures - </w:t>
        </w:r>
        <w:r w:rsidRPr="005A0501">
          <w:rPr>
            <w:rStyle w:val="TitleChar"/>
            <w:sz w:val="56"/>
          </w:rPr>
          <w:br/>
          <w:t>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9FD3A20"/>
    <w:multiLevelType w:val="multilevel"/>
    <w:tmpl w:val="3E5E177A"/>
    <w:name w:val="NTG Table Bullet List3322222222222"/>
    <w:numStyleLink w:val="Tablenumberlist"/>
  </w:abstractNum>
  <w:abstractNum w:abstractNumId="22" w15:restartNumberingAfterBreak="0">
    <w:nsid w:val="4B2C2A7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C8F1D15"/>
    <w:multiLevelType w:val="hybridMultilevel"/>
    <w:tmpl w:val="796CC630"/>
    <w:lvl w:ilvl="0" w:tplc="EA181F5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86F1546"/>
    <w:multiLevelType w:val="hybridMultilevel"/>
    <w:tmpl w:val="88E65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23"/>
  </w:num>
  <w:num w:numId="4">
    <w:abstractNumId w:val="15"/>
  </w:num>
  <w:num w:numId="5">
    <w:abstractNumId w:val="7"/>
  </w:num>
  <w:num w:numId="6">
    <w:abstractNumId w:val="25"/>
  </w:num>
  <w:num w:numId="7">
    <w:abstractNumId w:val="14"/>
  </w:num>
  <w:num w:numId="8">
    <w:abstractNumId w:val="30"/>
  </w:num>
  <w:num w:numId="9">
    <w:abstractNumId w:val="22"/>
  </w:num>
  <w:num w:numId="1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01"/>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0501"/>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078F"/>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2D05"/>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57793"/>
    <w:rsid w:val="00A70DD8"/>
    <w:rsid w:val="00A76790"/>
    <w:rsid w:val="00A85D0C"/>
    <w:rsid w:val="00A925EC"/>
    <w:rsid w:val="00A929AA"/>
    <w:rsid w:val="00A92B6B"/>
    <w:rsid w:val="00AA541E"/>
    <w:rsid w:val="00AD0DA4"/>
    <w:rsid w:val="00AD4169"/>
    <w:rsid w:val="00AE25C6"/>
    <w:rsid w:val="00AE306C"/>
    <w:rsid w:val="00AF28C1"/>
    <w:rsid w:val="00B02EF1"/>
    <w:rsid w:val="00B03BDF"/>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48DC"/>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AB3"/>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2254"/>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55FB9-C862-45EB-803F-A7356652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numPr>
        <w:numId w:val="9"/>
      </w:numPr>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numPr>
        <w:ilvl w:val="1"/>
        <w:numId w:val="9"/>
      </w:numPr>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numPr>
        <w:ilvl w:val="2"/>
        <w:numId w:val="9"/>
      </w:numPr>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numPr>
        <w:ilvl w:val="3"/>
        <w:numId w:val="9"/>
      </w:numPr>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9"/>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9"/>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9"/>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9"/>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9"/>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7"/>
      </w:numPr>
      <w:spacing w:after="120"/>
      <w:ind w:left="0" w:firstLine="0"/>
    </w:pPr>
  </w:style>
  <w:style w:type="paragraph" w:styleId="ListBullet2">
    <w:name w:val="List Bullet 2"/>
    <w:aliases w:val="Bullet list level 2"/>
    <w:basedOn w:val="Normal"/>
    <w:uiPriority w:val="4"/>
    <w:semiHidden/>
    <w:rsid w:val="006847AD"/>
    <w:pPr>
      <w:numPr>
        <w:ilvl w:val="1"/>
        <w:numId w:val="7"/>
      </w:numPr>
      <w:spacing w:after="120"/>
    </w:pPr>
  </w:style>
  <w:style w:type="paragraph" w:styleId="ListBullet3">
    <w:name w:val="List Bullet 3"/>
    <w:aliases w:val="Bullet list level 3"/>
    <w:basedOn w:val="Normal"/>
    <w:uiPriority w:val="4"/>
    <w:semiHidden/>
    <w:rsid w:val="006847AD"/>
    <w:pPr>
      <w:numPr>
        <w:ilvl w:val="2"/>
        <w:numId w:val="7"/>
      </w:numPr>
      <w:spacing w:after="120"/>
    </w:pPr>
  </w:style>
  <w:style w:type="paragraph" w:styleId="ListBullet4">
    <w:name w:val="List Bullet 4"/>
    <w:aliases w:val="Bullet list level 4"/>
    <w:basedOn w:val="Normal"/>
    <w:uiPriority w:val="4"/>
    <w:semiHidden/>
    <w:rsid w:val="006847AD"/>
    <w:pPr>
      <w:numPr>
        <w:ilvl w:val="3"/>
        <w:numId w:val="7"/>
      </w:numPr>
      <w:spacing w:after="120"/>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872EF1"/>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t.gov.au/industry/agriculture/farm-manageme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B4E80-BA88-4024-B6D0-67A88C59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1080 Standard Operating Procedures - 
Template</vt:lpstr>
    </vt:vector>
  </TitlesOfParts>
  <Company>INDUSTRY, TOURISM AND TRADE</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 Standard Operating Procedures - 
Template</dc:title>
  <dc:creator>Northern Territory Government</dc:creator>
  <cp:lastModifiedBy>Andrea Ruske</cp:lastModifiedBy>
  <cp:revision>2</cp:revision>
  <cp:lastPrinted>2019-07-29T01:45:00Z</cp:lastPrinted>
  <dcterms:created xsi:type="dcterms:W3CDTF">2020-11-19T06:07:00Z</dcterms:created>
  <dcterms:modified xsi:type="dcterms:W3CDTF">2020-11-19T06:07:00Z</dcterms:modified>
</cp:coreProperties>
</file>