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FFEB" w14:textId="77777777" w:rsidR="006A4E90" w:rsidRDefault="006A4E90" w:rsidP="004E4371">
      <w:pPr>
        <w:spacing w:before="120"/>
        <w:rPr>
          <w:rFonts w:cs="Arial"/>
          <w:b/>
          <w:color w:val="000000"/>
          <w:sz w:val="16"/>
          <w:szCs w:val="16"/>
        </w:rPr>
      </w:pPr>
    </w:p>
    <w:tbl>
      <w:tblPr>
        <w:tblStyle w:val="TableGrid"/>
        <w:tblW w:w="5000" w:type="pct"/>
        <w:tblInd w:w="108" w:type="dxa"/>
        <w:tblBorders>
          <w:bottom w:val="none" w:sz="0" w:space="0" w:color="auto"/>
        </w:tblBorders>
        <w:tblLayout w:type="fixed"/>
        <w:tblLook w:val="01E0" w:firstRow="1" w:lastRow="1" w:firstColumn="1" w:lastColumn="1" w:noHBand="0" w:noVBand="0"/>
        <w:tblCaption w:val="Contact Details for Mineral Production Return"/>
      </w:tblPr>
      <w:tblGrid>
        <w:gridCol w:w="1841"/>
        <w:gridCol w:w="314"/>
        <w:gridCol w:w="1415"/>
        <w:gridCol w:w="142"/>
        <w:gridCol w:w="1984"/>
        <w:gridCol w:w="1559"/>
        <w:gridCol w:w="604"/>
        <w:gridCol w:w="497"/>
        <w:gridCol w:w="1167"/>
        <w:gridCol w:w="2091"/>
        <w:gridCol w:w="36"/>
        <w:gridCol w:w="2129"/>
        <w:gridCol w:w="1943"/>
      </w:tblGrid>
      <w:tr w:rsidR="009D057E" w:rsidRPr="004E4371" w14:paraId="05FD85E4" w14:textId="77777777" w:rsidTr="00EC75D4">
        <w:trPr>
          <w:tblHeader/>
        </w:trPr>
        <w:tc>
          <w:tcPr>
            <w:tcW w:w="1572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24066" w14:textId="1685FD0C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"/>
                <w:szCs w:val="2"/>
              </w:rPr>
            </w:pPr>
            <w:r w:rsidRPr="004E4371">
              <w:rPr>
                <w:rStyle w:val="Hidden"/>
                <w:szCs w:val="2"/>
              </w:rPr>
              <w:t>Questions are followed by answer fields. Use the ‘Tab’ key to navigate through. Replace Y/N or Yes/No fields with your answer</w:t>
            </w:r>
          </w:p>
        </w:tc>
      </w:tr>
      <w:tr w:rsidR="009D057E" w:rsidRPr="004E4371" w14:paraId="1C32C802" w14:textId="77777777" w:rsidTr="00EC75D4">
        <w:trPr>
          <w:trHeight w:val="294"/>
        </w:trPr>
        <w:tc>
          <w:tcPr>
            <w:tcW w:w="7859" w:type="dxa"/>
            <w:gridSpan w:val="7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F62CFEE" w14:textId="69D98E3E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</w:rPr>
            </w:pPr>
            <w:r w:rsidRPr="004E4371">
              <w:rPr>
                <w:rFonts w:ascii="Lato" w:hAnsi="Lato" w:cs="Arial"/>
              </w:rPr>
              <w:t xml:space="preserve">MTA Approved Form 22 </w:t>
            </w:r>
          </w:p>
        </w:tc>
        <w:tc>
          <w:tcPr>
            <w:tcW w:w="7863" w:type="dxa"/>
            <w:gridSpan w:val="6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8E74AF1" w14:textId="5A32E0E0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</w:rPr>
            </w:pPr>
            <w:r w:rsidRPr="004E4371">
              <w:rPr>
                <w:rFonts w:ascii="Lato" w:hAnsi="Lato" w:cs="Arial"/>
              </w:rPr>
              <w:t>Regulation 84</w:t>
            </w:r>
          </w:p>
        </w:tc>
      </w:tr>
      <w:tr w:rsidR="009D057E" w:rsidRPr="004E4371" w14:paraId="0AEF0A12" w14:textId="77777777" w:rsidTr="00EC75D4">
        <w:trPr>
          <w:trHeight w:val="294"/>
        </w:trPr>
        <w:tc>
          <w:tcPr>
            <w:tcW w:w="1572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11B" w14:textId="69E80503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before="100" w:after="100"/>
              <w:ind w:right="-108"/>
              <w:rPr>
                <w:rFonts w:ascii="Lato" w:hAnsi="Lato" w:cs="Arial"/>
                <w:b/>
                <w:sz w:val="20"/>
              </w:rPr>
            </w:pPr>
            <w:r w:rsidRPr="004E4371">
              <w:rPr>
                <w:rFonts w:ascii="Lato" w:hAnsi="Lato" w:cs="Arial"/>
                <w:b/>
                <w:sz w:val="20"/>
              </w:rPr>
              <w:t>Use this form for metallic commodities, diamonds, gemstones/mineral specimens, REE, limestone/quicklime, uranium, phosphates, salt and vermiculite</w:t>
            </w:r>
            <w:r w:rsidR="00CD28AA">
              <w:rPr>
                <w:rFonts w:ascii="Lato" w:hAnsi="Lato" w:cs="Arial"/>
                <w:b/>
                <w:sz w:val="20"/>
              </w:rPr>
              <w:t>.</w:t>
            </w:r>
          </w:p>
        </w:tc>
      </w:tr>
      <w:tr w:rsidR="009D057E" w:rsidRPr="004E4371" w14:paraId="2D55F676" w14:textId="77777777" w:rsidTr="00EC75D4">
        <w:trPr>
          <w:trHeight w:val="294"/>
        </w:trPr>
        <w:tc>
          <w:tcPr>
            <w:tcW w:w="157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D1DBD" w14:textId="71EA96BF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 xml:space="preserve">Under the </w:t>
            </w:r>
            <w:r w:rsidRPr="00897DA4">
              <w:rPr>
                <w:rFonts w:ascii="Lato" w:hAnsi="Lato" w:cs="Arial"/>
                <w:i/>
                <w:sz w:val="20"/>
              </w:rPr>
              <w:t>Mineral Titles Act</w:t>
            </w:r>
            <w:r w:rsidRPr="004E4371">
              <w:rPr>
                <w:rFonts w:ascii="Lato" w:hAnsi="Lato" w:cs="Arial"/>
                <w:sz w:val="20"/>
              </w:rPr>
              <w:t xml:space="preserve"> Regulation 84, </w:t>
            </w:r>
            <w:r w:rsidR="004340ED">
              <w:rPr>
                <w:rFonts w:ascii="Lato" w:hAnsi="Lato" w:cs="Arial"/>
                <w:sz w:val="20"/>
              </w:rPr>
              <w:t xml:space="preserve">the holder of an ML must provide the Minister a </w:t>
            </w:r>
            <w:r w:rsidRPr="004E4371">
              <w:rPr>
                <w:rFonts w:ascii="Lato" w:hAnsi="Lato" w:cs="Arial"/>
                <w:sz w:val="20"/>
              </w:rPr>
              <w:t xml:space="preserve">yearly </w:t>
            </w:r>
            <w:r w:rsidR="004340ED">
              <w:rPr>
                <w:rFonts w:ascii="Lato" w:hAnsi="Lato" w:cs="Arial"/>
                <w:sz w:val="20"/>
              </w:rPr>
              <w:t xml:space="preserve">production </w:t>
            </w:r>
            <w:r w:rsidRPr="004E4371">
              <w:rPr>
                <w:rFonts w:ascii="Lato" w:hAnsi="Lato" w:cs="Arial"/>
                <w:sz w:val="20"/>
              </w:rPr>
              <w:t>return</w:t>
            </w:r>
            <w:r w:rsidR="004340ED">
              <w:rPr>
                <w:rFonts w:ascii="Lato" w:hAnsi="Lato" w:cs="Arial"/>
                <w:sz w:val="20"/>
              </w:rPr>
              <w:t>.</w:t>
            </w:r>
            <w:r w:rsidRPr="004E4371">
              <w:rPr>
                <w:rFonts w:ascii="Lato" w:hAnsi="Lato" w:cs="Arial"/>
                <w:sz w:val="20"/>
              </w:rPr>
              <w:t xml:space="preserve"> </w:t>
            </w:r>
            <w:r w:rsidR="004340ED" w:rsidRPr="004340ED">
              <w:rPr>
                <w:rFonts w:ascii="Lato" w:hAnsi="Lato" w:cs="Arial"/>
                <w:sz w:val="20"/>
              </w:rPr>
              <w:t>MLs granted for purposes ancillary to mining are not required to lodge a production report.</w:t>
            </w:r>
            <w:r w:rsidR="004340ED">
              <w:rPr>
                <w:rFonts w:ascii="Lato" w:hAnsi="Lato" w:cs="Arial"/>
                <w:sz w:val="20"/>
              </w:rPr>
              <w:t xml:space="preserve"> </w:t>
            </w:r>
            <w:r w:rsidRPr="004E4371">
              <w:rPr>
                <w:rFonts w:ascii="Lato" w:hAnsi="Lato" w:cs="Arial"/>
                <w:sz w:val="20"/>
              </w:rPr>
              <w:t xml:space="preserve">Lodge this return within 14 days of the end of the fiscal year with the </w:t>
            </w:r>
            <w:r w:rsidR="004340ED" w:rsidRPr="004340ED">
              <w:rPr>
                <w:rFonts w:ascii="Lato" w:hAnsi="Lato" w:cs="Arial"/>
                <w:sz w:val="20"/>
              </w:rPr>
              <w:t>Info</w:t>
            </w:r>
            <w:r w:rsidR="00B300BA">
              <w:rPr>
                <w:rFonts w:ascii="Lato" w:hAnsi="Lato" w:cs="Arial"/>
                <w:sz w:val="20"/>
              </w:rPr>
              <w:t>Centre</w:t>
            </w:r>
            <w:r w:rsidRPr="004E4371">
              <w:rPr>
                <w:rFonts w:ascii="Lato" w:hAnsi="Lato" w:cs="Arial"/>
                <w:sz w:val="20"/>
              </w:rPr>
              <w:t>, Northern Territory</w:t>
            </w:r>
            <w:r w:rsidR="004340ED">
              <w:rPr>
                <w:rFonts w:ascii="Lato" w:hAnsi="Lato" w:cs="Arial"/>
                <w:sz w:val="20"/>
              </w:rPr>
              <w:t xml:space="preserve"> Geological Survey.</w:t>
            </w:r>
          </w:p>
          <w:p w14:paraId="72F7F3EE" w14:textId="4899FDDF" w:rsidR="009D057E" w:rsidRPr="004E4371" w:rsidRDefault="009D057E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>E-mail: geoscience.info@nt.gov.au   Post: GPO Box 4550 Darwin NT 0801   Enquiries: Phone 08 8999 5282</w:t>
            </w:r>
          </w:p>
        </w:tc>
      </w:tr>
      <w:tr w:rsidR="00A1714D" w:rsidRPr="004E4371" w14:paraId="591D7A62" w14:textId="77777777" w:rsidTr="00EC75D4">
        <w:trPr>
          <w:trHeight w:val="294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5E" w14:textId="77777777" w:rsidR="00A1714D" w:rsidRPr="004E4371" w:rsidRDefault="00A1714D" w:rsidP="00EC75D4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Project Name: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D7A5F" w14:textId="77777777" w:rsidR="00A1714D" w:rsidRPr="004E4371" w:rsidRDefault="00A1714D" w:rsidP="00EC75D4">
            <w:pPr>
              <w:pStyle w:val="BodyText"/>
              <w:tabs>
                <w:tab w:val="left" w:pos="3119"/>
                <w:tab w:val="left" w:pos="15735"/>
              </w:tabs>
              <w:spacing w:after="0"/>
              <w:ind w:left="34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0" w14:textId="77777777" w:rsidR="00A1714D" w:rsidRPr="004E4371" w:rsidRDefault="00A1714D" w:rsidP="00EC75D4">
            <w:pPr>
              <w:pStyle w:val="StyleBodyText10ptBoldRight006cm"/>
              <w:rPr>
                <w:rFonts w:ascii="Lato" w:hAnsi="Lato"/>
                <w:b w:val="0"/>
                <w:bCs w:val="0"/>
              </w:rPr>
            </w:pPr>
            <w:r w:rsidRPr="004E4371">
              <w:rPr>
                <w:rFonts w:ascii="Lato" w:hAnsi="Lato"/>
              </w:rPr>
              <w:t>MMA Authorisation Number: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1" w14:textId="77777777" w:rsidR="00A1714D" w:rsidRPr="004E4371" w:rsidRDefault="00A1714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1714D" w:rsidRPr="004E4371" w14:paraId="591D7A67" w14:textId="77777777" w:rsidTr="00EC75D4">
        <w:trPr>
          <w:trHeight w:val="357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3" w14:textId="77777777" w:rsidR="00A1714D" w:rsidRPr="004E4371" w:rsidRDefault="00A1714D" w:rsidP="00EC75D4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Operator Name: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4" w14:textId="77777777" w:rsidR="00A1714D" w:rsidRPr="004E4371" w:rsidRDefault="00A1714D" w:rsidP="00EC75D4">
            <w:pPr>
              <w:pStyle w:val="StyleBodyText10ptBoldRight006cm"/>
              <w:rPr>
                <w:rFonts w:ascii="Lato" w:hAnsi="Lato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5" w14:textId="77777777" w:rsidR="00A1714D" w:rsidRPr="004E4371" w:rsidRDefault="00A1714D" w:rsidP="00EC75D4">
            <w:pPr>
              <w:pStyle w:val="StyleBodyText10ptBoldRight006cm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Phone: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6" w14:textId="77777777" w:rsidR="00A1714D" w:rsidRPr="004E4371" w:rsidRDefault="00A1714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A1714D" w:rsidRPr="004E4371" w14:paraId="591D7A6C" w14:textId="77777777" w:rsidTr="00EC75D4">
        <w:trPr>
          <w:trHeight w:val="277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8" w14:textId="77777777" w:rsidR="00A1714D" w:rsidRPr="004E4371" w:rsidRDefault="00A1714D" w:rsidP="00EC75D4">
            <w:pPr>
              <w:pStyle w:val="StyleBodyText10ptBoldRight006cm"/>
              <w:spacing w:before="60" w:after="100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Name:</w:t>
            </w:r>
          </w:p>
        </w:tc>
        <w:tc>
          <w:tcPr>
            <w:tcW w:w="651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9" w14:textId="77777777" w:rsidR="00A1714D" w:rsidRPr="004E4371" w:rsidRDefault="00A1714D" w:rsidP="00EC75D4">
            <w:pPr>
              <w:pStyle w:val="StyleBodyText10ptBoldRight006cm"/>
              <w:spacing w:before="60" w:after="100"/>
              <w:rPr>
                <w:rFonts w:ascii="Lato" w:hAnsi="Lato"/>
              </w:rPr>
            </w:pP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A" w14:textId="77777777" w:rsidR="00A1714D" w:rsidRPr="004E4371" w:rsidRDefault="00A1714D" w:rsidP="00EC75D4">
            <w:pPr>
              <w:pStyle w:val="StyleBodyText10ptBoldRight006cm"/>
              <w:spacing w:before="60" w:after="100"/>
              <w:rPr>
                <w:rFonts w:ascii="Lato" w:hAnsi="Lato"/>
              </w:rPr>
            </w:pPr>
            <w:r w:rsidRPr="004E4371">
              <w:rPr>
                <w:rFonts w:ascii="Lato" w:hAnsi="Lato"/>
              </w:rPr>
              <w:t>Contact Email: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D7A6B" w14:textId="6A1710F3" w:rsidR="00A1714D" w:rsidRPr="004E4371" w:rsidRDefault="00A1714D" w:rsidP="00EC75D4">
            <w:pPr>
              <w:pStyle w:val="BodyText"/>
              <w:tabs>
                <w:tab w:val="left" w:pos="3720"/>
                <w:tab w:val="left" w:pos="15735"/>
              </w:tabs>
              <w:spacing w:before="60" w:after="10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3E71FE80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5BABFD4" w14:textId="4F74B761" w:rsidR="00BD4210" w:rsidRPr="004E4371" w:rsidRDefault="00BD4210" w:rsidP="00EC75D4">
            <w:pPr>
              <w:pStyle w:val="BodyText"/>
              <w:tabs>
                <w:tab w:val="left" w:pos="3720"/>
                <w:tab w:val="left" w:pos="15735"/>
              </w:tabs>
              <w:ind w:right="-108"/>
              <w:rPr>
                <w:rFonts w:ascii="Lato" w:hAnsi="Lato" w:cs="Arial"/>
                <w:b/>
                <w:color w:val="FFFFFF" w:themeColor="background1"/>
                <w:sz w:val="20"/>
              </w:rPr>
            </w:pPr>
            <w:r w:rsidRPr="004E4371">
              <w:rPr>
                <w:rFonts w:ascii="Lato" w:hAnsi="Lato"/>
                <w:b/>
                <w:color w:val="FFFFFF" w:themeColor="background1"/>
              </w:rPr>
              <w:t>Mining title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3329552" w14:textId="77777777" w:rsidR="00BD4210" w:rsidRPr="004E4371" w:rsidRDefault="00BD4210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FFFFFF" w:themeColor="background1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Mined ore</w:t>
            </w:r>
          </w:p>
          <w:p w14:paraId="05F088F9" w14:textId="0CBC329C" w:rsidR="00BD4210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w</w:t>
            </w:r>
            <w:r w:rsidR="00BD4210"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rite Nil if no ore mined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21E669FB" w14:textId="77777777" w:rsidR="00BD4210" w:rsidRPr="004E4371" w:rsidRDefault="00BD4210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FFFFFF" w:themeColor="background1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Produced</w:t>
            </w:r>
          </w:p>
          <w:p w14:paraId="1E10AD02" w14:textId="12DB6D70" w:rsidR="00BD4210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w</w:t>
            </w:r>
            <w:r w:rsidR="00BD4210"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rite Nil if no commodity produced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12F2705D" w14:textId="77777777" w:rsidR="00BD4210" w:rsidRPr="004E4371" w:rsidRDefault="00BD4210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FFFFFF" w:themeColor="background1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Metallic content</w:t>
            </w:r>
          </w:p>
          <w:p w14:paraId="00C9EE56" w14:textId="3866C1D9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FFFFFF" w:themeColor="background1"/>
                <w:sz w:val="20"/>
                <w:szCs w:val="20"/>
              </w:rPr>
              <w:t xml:space="preserve">if </w:t>
            </w:r>
            <w:r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applicable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4DC0FA2C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FFFFFF" w:themeColor="background1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>Sales</w:t>
            </w:r>
          </w:p>
          <w:p w14:paraId="30FEEA5F" w14:textId="291E6083" w:rsidR="00BD4210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color w:val="FFFFFF" w:themeColor="background1"/>
                <w:sz w:val="18"/>
                <w:szCs w:val="18"/>
              </w:rPr>
              <w:t>write Nil if no sales</w:t>
            </w:r>
          </w:p>
        </w:tc>
      </w:tr>
      <w:tr w:rsidR="00636EA6" w:rsidRPr="004E4371" w14:paraId="0D3211B5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A8F18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07C1D" w14:textId="2ADEE3EC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/>
                <w:sz w:val="20"/>
                <w:szCs w:val="20"/>
              </w:rPr>
              <w:t>quantity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629B1" w14:textId="5A98422E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/>
                <w:sz w:val="20"/>
                <w:szCs w:val="20"/>
              </w:rPr>
              <w:t>average grade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A5E3E" w14:textId="05E48A45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>commodity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3C6D" w14:textId="63FBB4DE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/>
                <w:sz w:val="20"/>
                <w:szCs w:val="20"/>
              </w:rPr>
              <w:t>quantity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0FB83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A6416" w14:textId="07A12550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/>
                <w:sz w:val="20"/>
                <w:szCs w:val="20"/>
              </w:rPr>
              <w:t>quantity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DA93A" w14:textId="0B0F57C4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sz w:val="20"/>
              </w:rPr>
              <w:t>$ amount</w:t>
            </w:r>
          </w:p>
        </w:tc>
      </w:tr>
      <w:tr w:rsidR="00636EA6" w:rsidRPr="004E4371" w14:paraId="4F4EC879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FE1441" w14:textId="0F835650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Enter the mining title type/s and number related to production reported.</w:t>
            </w:r>
          </w:p>
          <w:p w14:paraId="4DC840FD" w14:textId="199D4C6B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Report for each mining title separately –not for a group of mining titles</w:t>
            </w: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13E028" w14:textId="5C60EF36" w:rsidR="00636EA6" w:rsidRPr="004E4371" w:rsidRDefault="00636EA6" w:rsidP="00EC75D4">
            <w:pPr>
              <w:tabs>
                <w:tab w:val="left" w:pos="15735"/>
              </w:tabs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Use tonnes for all commodities.</w:t>
            </w:r>
          </w:p>
          <w:p w14:paraId="16721AD4" w14:textId="095EAC6F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Enter a whole number if possible</w:t>
            </w:r>
            <w:r w:rsidR="00EC75D4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E9BB6AC" w14:textId="7FA80946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Note if grams per tonne (g/t) or percent (%).</w:t>
            </w:r>
          </w:p>
          <w:p w14:paraId="327C0697" w14:textId="60FEDBB9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U</w:t>
            </w: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se % for uranium</w:t>
            </w:r>
            <w:r w:rsidR="00EC75D4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4F7CD" w14:textId="126720D5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Refer to the Mineral Commodity Table</w:t>
            </w:r>
            <w:r w:rsidR="00EC75D4"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5B15A4F2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0A09C6" w14:textId="77777777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Use tonnes except for the following:</w:t>
            </w:r>
          </w:p>
          <w:p w14:paraId="1225D736" w14:textId="475D7A0E" w:rsidR="00636EA6" w:rsidRPr="004E4371" w:rsidRDefault="00636EA6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grams for gold and silver</w:t>
            </w:r>
          </w:p>
          <w:p w14:paraId="50BDE3D8" w14:textId="240A3CD7" w:rsidR="00636EA6" w:rsidRPr="004E4371" w:rsidRDefault="00636EA6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carats for diamonds</w:t>
            </w:r>
          </w:p>
          <w:p w14:paraId="1FDABC46" w14:textId="221ADDF1" w:rsidR="00636EA6" w:rsidRPr="004E4371" w:rsidRDefault="00636EA6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proofErr w:type="gramStart"/>
            <w:r w:rsidRPr="004E4371">
              <w:rPr>
                <w:rFonts w:ascii="Lato" w:hAnsi="Lato" w:cs="Arial"/>
                <w:color w:val="000000"/>
                <w:sz w:val="20"/>
              </w:rPr>
              <w:t>kilograms</w:t>
            </w:r>
            <w:proofErr w:type="gramEnd"/>
            <w:r w:rsidR="00213433" w:rsidRPr="004E4371">
              <w:rPr>
                <w:rFonts w:ascii="Lato" w:hAnsi="Lato" w:cs="Arial"/>
                <w:color w:val="000000"/>
                <w:sz w:val="20"/>
              </w:rPr>
              <w:t xml:space="preserve"> </w:t>
            </w:r>
            <w:r w:rsidRPr="004E4371">
              <w:rPr>
                <w:rFonts w:ascii="Lato" w:hAnsi="Lato" w:cs="Arial"/>
                <w:color w:val="000000"/>
                <w:sz w:val="20"/>
              </w:rPr>
              <w:t>for gemstones or mineral specimens</w:t>
            </w:r>
            <w:r w:rsidR="00EC75D4"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6865CCCD" w14:textId="4A3CF794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Enter a whole number if possible</w:t>
            </w:r>
            <w:r w:rsidR="00EC75D4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0F1A8" w14:textId="3B8F5BCB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Enter percent (%) of gold and silver for</w:t>
            </w:r>
            <w:r w:rsidR="00213433" w:rsidRPr="004E4371">
              <w:rPr>
                <w:rFonts w:ascii="Lato" w:hAnsi="Lato" w:cs="Arial"/>
                <w:color w:val="000000"/>
                <w:sz w:val="20"/>
              </w:rPr>
              <w:t xml:space="preserve"> gold dore.</w:t>
            </w:r>
          </w:p>
          <w:p w14:paraId="6D338EEC" w14:textId="76C59FF7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Enter % of zinc and lead for zinc/lead concentrate</w:t>
            </w:r>
            <w:r w:rsidR="00213433" w:rsidRPr="004E4371"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246EBC1A" w14:textId="676BE4B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Entering % for other commodities is optional</w:t>
            </w:r>
            <w:r w:rsidR="00EC75D4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050024BB" w14:textId="77777777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Use tonnes except for the following:</w:t>
            </w:r>
          </w:p>
          <w:p w14:paraId="6DC9BB7D" w14:textId="77777777" w:rsidR="00213433" w:rsidRPr="004E4371" w:rsidRDefault="00213433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grams for gold and silver</w:t>
            </w:r>
          </w:p>
          <w:p w14:paraId="6F2A9FF8" w14:textId="77777777" w:rsidR="00213433" w:rsidRPr="004E4371" w:rsidRDefault="00213433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carats for diamonds</w:t>
            </w:r>
          </w:p>
          <w:p w14:paraId="5147ED25" w14:textId="78CC8A73" w:rsidR="00213433" w:rsidRPr="004E4371" w:rsidRDefault="00213433" w:rsidP="00EC75D4">
            <w:pPr>
              <w:pStyle w:val="ListParagraph"/>
              <w:numPr>
                <w:ilvl w:val="0"/>
                <w:numId w:val="6"/>
              </w:numPr>
              <w:tabs>
                <w:tab w:val="left" w:pos="15735"/>
              </w:tabs>
              <w:ind w:left="175" w:hanging="175"/>
              <w:rPr>
                <w:rFonts w:ascii="Lato" w:hAnsi="Lato" w:cs="Arial"/>
                <w:color w:val="000000"/>
                <w:sz w:val="20"/>
              </w:rPr>
            </w:pPr>
            <w:proofErr w:type="gramStart"/>
            <w:r w:rsidRPr="004E4371">
              <w:rPr>
                <w:rFonts w:ascii="Lato" w:hAnsi="Lato" w:cs="Arial"/>
                <w:color w:val="000000"/>
                <w:sz w:val="20"/>
              </w:rPr>
              <w:t>kilograms</w:t>
            </w:r>
            <w:proofErr w:type="gramEnd"/>
            <w:r w:rsidRPr="004E4371">
              <w:rPr>
                <w:rFonts w:ascii="Lato" w:hAnsi="Lato" w:cs="Arial"/>
                <w:color w:val="000000"/>
                <w:sz w:val="20"/>
              </w:rPr>
              <w:t xml:space="preserve"> for gemstones or mineral specimens</w:t>
            </w:r>
            <w:r w:rsidR="00EC75D4"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4732ECF0" w14:textId="6DC35665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Enter a whole number if possible</w:t>
            </w:r>
            <w:r w:rsidR="00EC75D4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14:paraId="7E7ACAF9" w14:textId="52634504" w:rsidR="00636EA6" w:rsidRPr="004E4371" w:rsidRDefault="00636EA6" w:rsidP="00EC75D4">
            <w:pPr>
              <w:tabs>
                <w:tab w:val="left" w:pos="15735"/>
              </w:tabs>
              <w:ind w:left="-8"/>
              <w:rPr>
                <w:rFonts w:ascii="Lato" w:hAnsi="Lato" w:cs="Arial"/>
                <w:color w:val="000000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</w:rPr>
              <w:t>Gross sales in Australian dollars</w:t>
            </w:r>
            <w:r w:rsidR="00213433" w:rsidRPr="004E4371">
              <w:rPr>
                <w:rFonts w:ascii="Lato" w:hAnsi="Lato" w:cs="Arial"/>
                <w:color w:val="000000"/>
                <w:sz w:val="20"/>
              </w:rPr>
              <w:t>.</w:t>
            </w:r>
          </w:p>
          <w:p w14:paraId="07B89592" w14:textId="3D01289F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Round cents to the nearest dollar</w:t>
            </w:r>
            <w:r w:rsidR="00213433" w:rsidRPr="004E4371">
              <w:rPr>
                <w:rFonts w:ascii="Lato" w:hAnsi="Lato" w:cs="Arial"/>
                <w:color w:val="000000"/>
                <w:sz w:val="20"/>
                <w:szCs w:val="20"/>
              </w:rPr>
              <w:t>.</w:t>
            </w:r>
          </w:p>
        </w:tc>
      </w:tr>
      <w:tr w:rsidR="00636EA6" w:rsidRPr="004E4371" w14:paraId="16A0A87B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2765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A1327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D8141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47C65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50A1C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1785D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3575D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B3A84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6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636EA6" w:rsidRPr="004E4371" w14:paraId="7D4DFF2B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64D4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3EFC8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2B288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7F462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71970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79C40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236CA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CC0D1" w14:textId="77777777" w:rsidR="00636EA6" w:rsidRPr="004E4371" w:rsidRDefault="00636EA6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41B89253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80F9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9637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599F2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F83DA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F8BE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73D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9626F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4045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553FDC24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35F92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1BD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AD1F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752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0FD04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48B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E3CA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A6D4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3972E080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F0767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BB46A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5109D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B232A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0CAB7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D9AC2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6DADE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7610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44D06FB2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932B9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BB4F4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9D500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D2B1B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B76EF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E9DA5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28F38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D2DBD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13764432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79843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8FB5C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FDB06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276E1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77FC2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D3693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3A468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6FF20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62DD3AFB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7C07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EEF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93139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2EDA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C1E2F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EEBBB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64C09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CCB7" w14:textId="77777777" w:rsidR="00F6411D" w:rsidRPr="004E4371" w:rsidRDefault="00F6411D" w:rsidP="00EC75D4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7664F17E" w14:textId="77777777" w:rsidTr="008B7DF4">
        <w:trPr>
          <w:trHeight w:val="277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F4EBA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C073E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EAEEA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9153B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6A8C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46F46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DB85B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6526C" w14:textId="777777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</w:rPr>
            </w:pPr>
          </w:p>
        </w:tc>
      </w:tr>
      <w:tr w:rsidR="00F6411D" w:rsidRPr="004E4371" w14:paraId="373FA894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0F12B22C" w14:textId="117F31FB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lastRenderedPageBreak/>
              <w:t>Commodity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1F1F5F"/>
            <w:vAlign w:val="center"/>
          </w:tcPr>
          <w:p w14:paraId="39A2D7DA" w14:textId="3FE2A6EE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0"/>
              </w:rPr>
            </w:pPr>
            <w:r w:rsidRPr="004E4371">
              <w:rPr>
                <w:rFonts w:ascii="Lato" w:hAnsi="Lato" w:cs="Arial"/>
                <w:b/>
                <w:color w:val="FFFFFF" w:themeColor="background1"/>
              </w:rPr>
              <w:t xml:space="preserve">Types </w:t>
            </w:r>
            <w:r w:rsidR="00BC1986" w:rsidRPr="004E4371">
              <w:rPr>
                <w:rFonts w:ascii="Lato" w:hAnsi="Lato" w:cs="Arial"/>
                <w:b/>
                <w:color w:val="FFFFFF" w:themeColor="background1"/>
              </w:rPr>
              <w:t>c</w:t>
            </w:r>
            <w:r w:rsidRPr="004E4371">
              <w:rPr>
                <w:rFonts w:ascii="Lato" w:hAnsi="Lato" w:cs="Arial"/>
                <w:b/>
                <w:color w:val="FFFFFF" w:themeColor="background1"/>
              </w:rPr>
              <w:t>overed</w:t>
            </w:r>
          </w:p>
        </w:tc>
      </w:tr>
      <w:tr w:rsidR="00F6411D" w:rsidRPr="004E4371" w14:paraId="44949FA6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7F5D" w14:textId="26777828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Alumina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1F158" w14:textId="50495818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including alumina hydrate (as equivalent alumina).</w:t>
            </w:r>
          </w:p>
        </w:tc>
      </w:tr>
      <w:tr w:rsidR="00F6411D" w:rsidRPr="004E4371" w14:paraId="596984E3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9B5E" w14:textId="28C56816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Bauxite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2A87" w14:textId="3836E5E4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bauxite.</w:t>
            </w:r>
          </w:p>
        </w:tc>
      </w:tr>
      <w:tr w:rsidR="00F6411D" w:rsidRPr="004E4371" w14:paraId="247C60F7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1FE0B" w14:textId="4E6CABE4" w:rsidR="00F6411D" w:rsidRPr="004E4371" w:rsidRDefault="00BC1986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Copper c</w:t>
            </w:r>
            <w:r w:rsidR="00F6411D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E3BC" w14:textId="784EB1B3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where the commodity produced and sold is a concentrate.</w:t>
            </w:r>
          </w:p>
        </w:tc>
      </w:tr>
      <w:tr w:rsidR="00F6411D" w:rsidRPr="004E4371" w14:paraId="48EF2A89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83D40" w14:textId="7E041343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Diamonds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27BAB" w14:textId="7D63FFA0" w:rsidR="00F6411D" w:rsidRPr="004E4371" w:rsidRDefault="00F6411D" w:rsidP="00EC75D4">
            <w:pPr>
              <w:pStyle w:val="BodyText"/>
              <w:keepNext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diamonds.</w:t>
            </w:r>
          </w:p>
        </w:tc>
      </w:tr>
      <w:tr w:rsidR="00F6411D" w:rsidRPr="004E4371" w14:paraId="5F2508BB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7C455" w14:textId="45D9900F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Gemstones/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m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ineral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s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pecimens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3A45B" w14:textId="7C0E7566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gemstones or mineral specimens.</w:t>
            </w:r>
          </w:p>
        </w:tc>
      </w:tr>
      <w:tr w:rsidR="00F6411D" w:rsidRPr="004E4371" w14:paraId="73431356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BFC6" w14:textId="51BABB32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Gold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CEFAA" w14:textId="03AC6008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pure gold including gold nuggets.</w:t>
            </w:r>
          </w:p>
        </w:tc>
      </w:tr>
      <w:tr w:rsidR="00F6411D" w:rsidRPr="004E4371" w14:paraId="0B5CFC3A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EBA9" w14:textId="616405A5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Gold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d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86FFC" w14:textId="47213124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Report the gold and silver metal in gold dore as a metallic content % and not as separate gold and silver commodities.</w:t>
            </w:r>
          </w:p>
        </w:tc>
      </w:tr>
      <w:tr w:rsidR="00F6411D" w:rsidRPr="004E4371" w14:paraId="7C1BA4A6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5AF80" w14:textId="1A075F21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Iron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re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A92B9" w14:textId="0F04AAC3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iron ore including magnetite.</w:t>
            </w:r>
          </w:p>
        </w:tc>
      </w:tr>
      <w:tr w:rsidR="00F6411D" w:rsidRPr="004E4371" w14:paraId="774E9A19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AF25E" w14:textId="53611C8B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Iron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re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c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0E71A" w14:textId="45EE7AEF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 xml:space="preserve">Use where the commodity produced and sold is a concentrate. </w:t>
            </w:r>
          </w:p>
        </w:tc>
      </w:tr>
      <w:tr w:rsidR="00F6411D" w:rsidRPr="004E4371" w14:paraId="07974CE0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41F5B" w14:textId="0D709DF2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Lead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c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3BF87" w14:textId="7121AA7B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 xml:space="preserve">Use where the commodity produced and sold is a concentrate. </w:t>
            </w:r>
          </w:p>
        </w:tc>
      </w:tr>
      <w:tr w:rsidR="00F6411D" w:rsidRPr="004E4371" w14:paraId="10D4755D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F02B5" w14:textId="33961311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Limestone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7A728" w14:textId="1F6639B0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limestone.</w:t>
            </w:r>
          </w:p>
        </w:tc>
      </w:tr>
      <w:tr w:rsidR="00F6411D" w:rsidRPr="004E4371" w14:paraId="7C9445A8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F56D4" w14:textId="2FBFC57E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Lithium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E266" w14:textId="6B084139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lithium.</w:t>
            </w:r>
          </w:p>
        </w:tc>
      </w:tr>
      <w:tr w:rsidR="00F6411D" w:rsidRPr="004E4371" w14:paraId="3FFA3DED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EEA2F" w14:textId="36BB085E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Manganese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AF1C7" w14:textId="403CBDEA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manganese. This includes fines, lump and intermediate.</w:t>
            </w:r>
          </w:p>
        </w:tc>
      </w:tr>
      <w:tr w:rsidR="00F6411D" w:rsidRPr="004E4371" w14:paraId="2D9309F2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F73E" w14:textId="5A3CC3CC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Mineral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s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ands </w:t>
            </w:r>
            <w:r w:rsidR="00BC1986"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c</w:t>
            </w: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EEB9" w14:textId="601AF991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where the commodity produced (metallic or non-metallic) and sold is a concentrate. The minerals that make-up the concentrate should not be reported as separate commodities. It is optional to report the metallic content % of the concentrate.</w:t>
            </w:r>
          </w:p>
        </w:tc>
      </w:tr>
      <w:tr w:rsidR="00F6411D" w:rsidRPr="004E4371" w14:paraId="5159E610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63756" w14:textId="05E5150F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 xml:space="preserve">Phosphate 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5AAE5" w14:textId="40658AB6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phosphorite.</w:t>
            </w:r>
          </w:p>
        </w:tc>
      </w:tr>
      <w:tr w:rsidR="00F6411D" w:rsidRPr="004E4371" w14:paraId="1DB85301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F5F92" w14:textId="127CE2B1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Quicklime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22AFE" w14:textId="5C1168D4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quicklime.</w:t>
            </w:r>
          </w:p>
        </w:tc>
      </w:tr>
      <w:tr w:rsidR="00F6411D" w:rsidRPr="004E4371" w14:paraId="67003C04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96104" w14:textId="238B27E5" w:rsidR="00F6411D" w:rsidRPr="004E4371" w:rsidRDefault="00F6411D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REE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B9F6F" w14:textId="5A0C7A65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rare earth elements. Specify the content % of individual elements as well as the total.</w:t>
            </w:r>
          </w:p>
        </w:tc>
      </w:tr>
      <w:tr w:rsidR="00F6411D" w:rsidRPr="004E4371" w14:paraId="216EB560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BCE9" w14:textId="2BC05F7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Salt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523E4" w14:textId="0E1B2BDB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salt whether lake, evaporative or rock salt including potash.</w:t>
            </w:r>
          </w:p>
        </w:tc>
      </w:tr>
      <w:tr w:rsidR="00F6411D" w:rsidRPr="004E4371" w14:paraId="752BF6CC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2E66F" w14:textId="436E18F2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EE9CC" w14:textId="71BFD214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pure silver.</w:t>
            </w:r>
          </w:p>
        </w:tc>
      </w:tr>
      <w:tr w:rsidR="00F6411D" w:rsidRPr="004E4371" w14:paraId="1BA93533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52750" w14:textId="66EB451F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Tantalite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EA5F" w14:textId="6AC799D7" w:rsidR="00F6411D" w:rsidRPr="004E4371" w:rsidRDefault="00F6411D" w:rsidP="00F6411D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tantalite.</w:t>
            </w:r>
          </w:p>
        </w:tc>
      </w:tr>
      <w:tr w:rsidR="00BC1986" w:rsidRPr="004E4371" w14:paraId="286787A4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FA507" w14:textId="5A13B1F9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Tin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5E1" w14:textId="409F7C17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tin.</w:t>
            </w:r>
          </w:p>
        </w:tc>
      </w:tr>
      <w:tr w:rsidR="00BC1986" w:rsidRPr="004E4371" w14:paraId="29A3D365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16028" w14:textId="51B8DCA4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Tin/tantalite concentrate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28BA4" w14:textId="5D6ACC8C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where the commodity produced and sold is a concentrate. It is optional to report the metallic content % of the concentrate.</w:t>
            </w:r>
          </w:p>
        </w:tc>
      </w:tr>
      <w:tr w:rsidR="00BC1986" w:rsidRPr="004E4371" w14:paraId="401BAE7B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13B0D" w14:textId="6535FD0F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Uranium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307B6" w14:textId="633A1F5C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uranium including uranium oxide.</w:t>
            </w:r>
          </w:p>
        </w:tc>
      </w:tr>
      <w:tr w:rsidR="00BC1986" w:rsidRPr="004E4371" w14:paraId="08EC0E43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BB90" w14:textId="47D1F060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Vermiculite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74D44" w14:textId="5BFF788D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for all types of vermiculite.</w:t>
            </w:r>
          </w:p>
        </w:tc>
      </w:tr>
      <w:tr w:rsidR="00BC1986" w:rsidRPr="004E4371" w14:paraId="151FCC6B" w14:textId="77777777" w:rsidTr="00EC75D4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73DB" w14:textId="4BF0359D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Zinc concentrate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9312" w14:textId="3129BAE6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where the commodity produced and sold is a concentrate.</w:t>
            </w:r>
          </w:p>
        </w:tc>
      </w:tr>
      <w:tr w:rsidR="00BC1986" w:rsidRPr="004E4371" w14:paraId="5E5F29AF" w14:textId="77777777" w:rsidTr="00D71D71">
        <w:trPr>
          <w:trHeight w:val="277"/>
        </w:trPr>
        <w:tc>
          <w:tcPr>
            <w:tcW w:w="3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AE4B5" w14:textId="715F5F3E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b/>
                <w:color w:val="000000"/>
                <w:sz w:val="20"/>
                <w:szCs w:val="20"/>
              </w:rPr>
              <w:t>Zinc/lead concentrate</w:t>
            </w:r>
          </w:p>
        </w:tc>
        <w:tc>
          <w:tcPr>
            <w:tcW w:w="1215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4BFCF" w14:textId="2F95694C" w:rsidR="00BC1986" w:rsidRPr="004E4371" w:rsidRDefault="00BC1986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4E4371">
              <w:rPr>
                <w:rFonts w:ascii="Lato" w:hAnsi="Lato" w:cs="Arial"/>
                <w:color w:val="000000"/>
                <w:sz w:val="20"/>
                <w:szCs w:val="20"/>
              </w:rPr>
              <w:t>Use where the commodity produced and sold is a concentrate. The metal in the concentrate must be reported as the metallic content % of lead and zinc.</w:t>
            </w:r>
          </w:p>
        </w:tc>
      </w:tr>
      <w:tr w:rsidR="00D71D71" w:rsidRPr="00D71D71" w14:paraId="266AEE28" w14:textId="77777777" w:rsidTr="00D71D71">
        <w:trPr>
          <w:trHeight w:val="23"/>
        </w:trPr>
        <w:tc>
          <w:tcPr>
            <w:tcW w:w="35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B5B7A" w14:textId="4B00A88B" w:rsidR="00D71D71" w:rsidRPr="00D71D71" w:rsidRDefault="00D71D71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  <w:r w:rsidRPr="00D71D71">
              <w:rPr>
                <w:rFonts w:ascii="Lato" w:hAnsi="Lato" w:cs="Arial"/>
                <w:color w:val="FFFFFF" w:themeColor="background1"/>
                <w:sz w:val="2"/>
                <w:szCs w:val="2"/>
              </w:rPr>
              <w:t>End of form</w:t>
            </w:r>
          </w:p>
        </w:tc>
        <w:tc>
          <w:tcPr>
            <w:tcW w:w="1215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1501B" w14:textId="77777777" w:rsidR="00D71D71" w:rsidRPr="00D71D71" w:rsidRDefault="00D71D71" w:rsidP="00BC1986">
            <w:pPr>
              <w:pStyle w:val="BodyText"/>
              <w:tabs>
                <w:tab w:val="left" w:pos="3720"/>
                <w:tab w:val="left" w:pos="15735"/>
              </w:tabs>
              <w:spacing w:after="0"/>
              <w:ind w:right="-108"/>
              <w:rPr>
                <w:rFonts w:ascii="Lato" w:hAnsi="Lato" w:cs="Arial"/>
                <w:color w:val="FFFFFF" w:themeColor="background1"/>
                <w:sz w:val="2"/>
                <w:szCs w:val="2"/>
              </w:rPr>
            </w:pPr>
          </w:p>
        </w:tc>
      </w:tr>
    </w:tbl>
    <w:p w14:paraId="591D7B1D" w14:textId="77777777" w:rsidR="008A7C12" w:rsidRPr="005A4A87" w:rsidRDefault="008A7C12" w:rsidP="00A1714D">
      <w:bookmarkStart w:id="0" w:name="_GoBack"/>
      <w:bookmarkEnd w:id="0"/>
    </w:p>
    <w:sectPr w:rsidR="008A7C12" w:rsidRPr="005A4A87" w:rsidSect="004E4371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425" w:right="539" w:bottom="1134" w:left="567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B1403" w14:textId="77777777" w:rsidR="00666003" w:rsidRDefault="00666003" w:rsidP="007332FF">
      <w:r>
        <w:separator/>
      </w:r>
    </w:p>
  </w:endnote>
  <w:endnote w:type="continuationSeparator" w:id="0">
    <w:p w14:paraId="611216AE" w14:textId="77777777" w:rsidR="00666003" w:rsidRDefault="0066600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7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876"/>
    </w:tblGrid>
    <w:tr w:rsidR="001E6FEB" w:rsidRPr="00132658" w14:paraId="50429E31" w14:textId="77777777" w:rsidTr="001E6FEB">
      <w:trPr>
        <w:cantSplit/>
        <w:trHeight w:hRule="exact" w:val="850"/>
      </w:trPr>
      <w:tc>
        <w:tcPr>
          <w:tcW w:w="15876" w:type="dxa"/>
          <w:vAlign w:val="bottom"/>
        </w:tcPr>
        <w:p w14:paraId="73786899" w14:textId="77777777" w:rsidR="001E6FEB" w:rsidRPr="001E6FEB" w:rsidRDefault="001E6FEB" w:rsidP="001E6FEB">
          <w:pPr>
            <w:pStyle w:val="NTGFooter1items"/>
            <w:rPr>
              <w:rStyle w:val="NTGFooterDepartmentNameChar"/>
              <w:rFonts w:ascii="Lato" w:hAnsi="Lato"/>
              <w:szCs w:val="20"/>
            </w:rPr>
          </w:pPr>
          <w:r w:rsidRPr="001E6FEB">
            <w:rPr>
              <w:rStyle w:val="NTGFooterDepartmentNameChar"/>
              <w:rFonts w:ascii="Lato" w:hAnsi="Lato"/>
              <w:caps w:val="0"/>
              <w:szCs w:val="20"/>
            </w:rPr>
            <w:t>Department of</w:t>
          </w:r>
          <w:r w:rsidRPr="001E6FEB">
            <w:rPr>
              <w:rStyle w:val="NTGFooterDepartmentNameChar"/>
              <w:rFonts w:ascii="Lato" w:hAnsi="Lato"/>
              <w:szCs w:val="20"/>
            </w:rPr>
            <w:t xml:space="preserve"> </w:t>
          </w:r>
          <w:r w:rsidRPr="001E6FEB">
            <w:rPr>
              <w:rStyle w:val="NTGFooterDepartmentNameChar"/>
              <w:rFonts w:ascii="Lato" w:hAnsi="Lato"/>
              <w:b/>
              <w:szCs w:val="20"/>
            </w:rPr>
            <w:t>industry, Tourism and Trade</w:t>
          </w:r>
        </w:p>
        <w:p w14:paraId="19258A98" w14:textId="0A00D6FE" w:rsidR="001E6FEB" w:rsidRPr="00AC4488" w:rsidRDefault="001E6FEB" w:rsidP="001E6FEB">
          <w:pPr>
            <w:rPr>
              <w:rStyle w:val="PageNumber"/>
            </w:rPr>
          </w:pPr>
          <w:r w:rsidRPr="001E6FEB">
            <w:rPr>
              <w:rFonts w:ascii="Lato" w:hAnsi="Lato"/>
              <w:sz w:val="20"/>
            </w:rPr>
            <w:t xml:space="preserve">Page </w:t>
          </w:r>
          <w:r w:rsidRPr="001E6FEB">
            <w:rPr>
              <w:rFonts w:ascii="Lato" w:hAnsi="Lato"/>
              <w:sz w:val="20"/>
            </w:rPr>
            <w:fldChar w:fldCharType="begin"/>
          </w:r>
          <w:r w:rsidRPr="001E6FEB">
            <w:rPr>
              <w:rFonts w:ascii="Lato" w:hAnsi="Lato"/>
              <w:sz w:val="20"/>
            </w:rPr>
            <w:instrText xml:space="preserve"> PAGE  \* Arabic  \* MERGEFORMAT </w:instrText>
          </w:r>
          <w:r w:rsidRPr="001E6FEB">
            <w:rPr>
              <w:rFonts w:ascii="Lato" w:hAnsi="Lato"/>
              <w:sz w:val="20"/>
            </w:rPr>
            <w:fldChar w:fldCharType="separate"/>
          </w:r>
          <w:r w:rsidR="00D71D71">
            <w:rPr>
              <w:rFonts w:ascii="Lato" w:hAnsi="Lato"/>
              <w:noProof/>
              <w:sz w:val="20"/>
            </w:rPr>
            <w:t>2</w:t>
          </w:r>
          <w:r w:rsidRPr="001E6FEB">
            <w:rPr>
              <w:rFonts w:ascii="Lato" w:hAnsi="Lato"/>
              <w:sz w:val="20"/>
            </w:rPr>
            <w:fldChar w:fldCharType="end"/>
          </w:r>
          <w:r w:rsidRPr="001E6FEB">
            <w:rPr>
              <w:rFonts w:ascii="Lato" w:hAnsi="Lato"/>
              <w:sz w:val="20"/>
            </w:rPr>
            <w:t xml:space="preserve"> of </w:t>
          </w:r>
          <w:r w:rsidRPr="001E6FEB">
            <w:rPr>
              <w:rFonts w:ascii="Lato" w:hAnsi="Lato"/>
              <w:sz w:val="20"/>
            </w:rPr>
            <w:fldChar w:fldCharType="begin"/>
          </w:r>
          <w:r w:rsidRPr="001E6FEB">
            <w:rPr>
              <w:rFonts w:ascii="Lato" w:hAnsi="Lato"/>
              <w:sz w:val="20"/>
            </w:rPr>
            <w:instrText xml:space="preserve"> NUMPAGES  \* Arabic  \* MERGEFORMAT </w:instrText>
          </w:r>
          <w:r w:rsidRPr="001E6FEB">
            <w:rPr>
              <w:rFonts w:ascii="Lato" w:hAnsi="Lato"/>
              <w:sz w:val="20"/>
            </w:rPr>
            <w:fldChar w:fldCharType="separate"/>
          </w:r>
          <w:r w:rsidR="00D71D71">
            <w:rPr>
              <w:rFonts w:ascii="Lato" w:hAnsi="Lato"/>
              <w:noProof/>
              <w:sz w:val="20"/>
            </w:rPr>
            <w:t>2</w:t>
          </w:r>
          <w:r w:rsidRPr="001E6FEB">
            <w:rPr>
              <w:rFonts w:ascii="Lato" w:hAnsi="Lato"/>
              <w:noProof/>
              <w:sz w:val="20"/>
            </w:rPr>
            <w:fldChar w:fldCharType="end"/>
          </w:r>
          <w:r w:rsidRPr="001E6FEB">
            <w:rPr>
              <w:rFonts w:ascii="Lato" w:hAnsi="Lato"/>
              <w:sz w:val="20"/>
            </w:rPr>
            <w:tab/>
            <w:t>07 June 2021</w:t>
          </w:r>
        </w:p>
      </w:tc>
    </w:tr>
  </w:tbl>
  <w:p w14:paraId="591D7B2A" w14:textId="2CD05353" w:rsidR="0067400A" w:rsidRPr="001E6FEB" w:rsidRDefault="0067400A" w:rsidP="001E6FEB">
    <w:pPr>
      <w:pStyle w:val="Footer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7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9832"/>
      <w:gridCol w:w="5903"/>
    </w:tblGrid>
    <w:tr w:rsidR="004E4371" w:rsidRPr="00132658" w14:paraId="591D7B2F" w14:textId="77777777" w:rsidTr="004E4371">
      <w:trPr>
        <w:cantSplit/>
        <w:tblHeader/>
      </w:trPr>
      <w:tc>
        <w:tcPr>
          <w:tcW w:w="9832" w:type="dxa"/>
          <w:vAlign w:val="center"/>
        </w:tcPr>
        <w:p w14:paraId="10D2EEC7" w14:textId="75902C80" w:rsidR="004E4371" w:rsidRPr="001E6FEB" w:rsidRDefault="004E4371" w:rsidP="007B5DA2">
          <w:pPr>
            <w:pStyle w:val="NTGFooter1items"/>
            <w:rPr>
              <w:rStyle w:val="NTGFooterDepartmentNameChar"/>
              <w:rFonts w:ascii="Lato" w:hAnsi="Lato"/>
              <w:sz w:val="19"/>
              <w:szCs w:val="19"/>
            </w:rPr>
          </w:pPr>
          <w:r w:rsidRPr="001E6FEB">
            <w:rPr>
              <w:rStyle w:val="NTGFooterDepartmentNameChar"/>
              <w:rFonts w:ascii="Lato" w:hAnsi="Lato"/>
              <w:caps w:val="0"/>
              <w:sz w:val="19"/>
              <w:szCs w:val="19"/>
            </w:rPr>
            <w:t>Department of</w:t>
          </w:r>
          <w:r w:rsidRPr="001E6FEB">
            <w:rPr>
              <w:rStyle w:val="NTGFooterDepartmentNameChar"/>
              <w:rFonts w:ascii="Lato" w:hAnsi="Lato"/>
              <w:sz w:val="19"/>
              <w:szCs w:val="19"/>
            </w:rPr>
            <w:t xml:space="preserve"> </w:t>
          </w:r>
          <w:r w:rsidRPr="001E6FEB">
            <w:rPr>
              <w:rStyle w:val="NTGFooterDepartmentNameChar"/>
              <w:rFonts w:ascii="Lato" w:hAnsi="Lato"/>
              <w:b/>
              <w:sz w:val="19"/>
              <w:szCs w:val="19"/>
            </w:rPr>
            <w:t>industry, Tourism and Trade</w:t>
          </w:r>
        </w:p>
        <w:p w14:paraId="476C4981" w14:textId="7609B365" w:rsidR="004E4371" w:rsidRPr="002977A4" w:rsidRDefault="004E4371" w:rsidP="004E4371">
          <w:pPr>
            <w:pStyle w:val="NTGFooter1items"/>
          </w:pPr>
          <w:r w:rsidRPr="001E6FEB">
            <w:rPr>
              <w:rFonts w:ascii="Lato" w:hAnsi="Lato"/>
              <w:szCs w:val="20"/>
            </w:rPr>
            <w:t xml:space="preserve">Page </w:t>
          </w:r>
          <w:r w:rsidRPr="001E6FEB">
            <w:rPr>
              <w:rFonts w:ascii="Lato" w:hAnsi="Lato"/>
              <w:szCs w:val="20"/>
            </w:rPr>
            <w:fldChar w:fldCharType="begin"/>
          </w:r>
          <w:r w:rsidRPr="001E6FEB">
            <w:rPr>
              <w:rFonts w:ascii="Lato" w:hAnsi="Lato"/>
              <w:szCs w:val="20"/>
            </w:rPr>
            <w:instrText xml:space="preserve"> PAGE  \* Arabic  \* MERGEFORMAT </w:instrText>
          </w:r>
          <w:r w:rsidRPr="001E6FEB">
            <w:rPr>
              <w:rFonts w:ascii="Lato" w:hAnsi="Lato"/>
              <w:szCs w:val="20"/>
            </w:rPr>
            <w:fldChar w:fldCharType="separate"/>
          </w:r>
          <w:r w:rsidR="00D71D71">
            <w:rPr>
              <w:rFonts w:ascii="Lato" w:hAnsi="Lato"/>
              <w:noProof/>
              <w:szCs w:val="20"/>
            </w:rPr>
            <w:t>1</w:t>
          </w:r>
          <w:r w:rsidRPr="001E6FEB">
            <w:rPr>
              <w:rFonts w:ascii="Lato" w:hAnsi="Lato"/>
              <w:szCs w:val="20"/>
            </w:rPr>
            <w:fldChar w:fldCharType="end"/>
          </w:r>
          <w:r w:rsidRPr="001E6FEB">
            <w:rPr>
              <w:rFonts w:ascii="Lato" w:hAnsi="Lato"/>
              <w:szCs w:val="20"/>
            </w:rPr>
            <w:t xml:space="preserve"> of </w:t>
          </w:r>
          <w:r w:rsidRPr="001E6FEB">
            <w:rPr>
              <w:rFonts w:ascii="Lato" w:hAnsi="Lato"/>
              <w:szCs w:val="20"/>
            </w:rPr>
            <w:fldChar w:fldCharType="begin"/>
          </w:r>
          <w:r w:rsidRPr="001E6FEB">
            <w:rPr>
              <w:rFonts w:ascii="Lato" w:hAnsi="Lato"/>
              <w:szCs w:val="20"/>
            </w:rPr>
            <w:instrText xml:space="preserve"> NUMPAGES  \* Arabic  \* MERGEFORMAT </w:instrText>
          </w:r>
          <w:r w:rsidRPr="001E6FEB">
            <w:rPr>
              <w:rFonts w:ascii="Lato" w:hAnsi="Lato"/>
              <w:szCs w:val="20"/>
            </w:rPr>
            <w:fldChar w:fldCharType="separate"/>
          </w:r>
          <w:r w:rsidR="00D71D71">
            <w:rPr>
              <w:rFonts w:ascii="Lato" w:hAnsi="Lato"/>
              <w:noProof/>
              <w:szCs w:val="20"/>
            </w:rPr>
            <w:t>2</w:t>
          </w:r>
          <w:r w:rsidRPr="001E6FEB">
            <w:rPr>
              <w:rFonts w:ascii="Lato" w:hAnsi="Lato"/>
              <w:noProof/>
              <w:szCs w:val="20"/>
            </w:rPr>
            <w:fldChar w:fldCharType="end"/>
          </w:r>
          <w:r w:rsidRPr="001E6FEB">
            <w:rPr>
              <w:rFonts w:ascii="Lato" w:hAnsi="Lato"/>
              <w:szCs w:val="20"/>
            </w:rPr>
            <w:tab/>
          </w:r>
          <w:r w:rsidR="008B7DF4" w:rsidRPr="001E6FEB">
            <w:rPr>
              <w:rFonts w:ascii="Lato" w:hAnsi="Lato"/>
              <w:szCs w:val="20"/>
            </w:rPr>
            <w:t>07 June 2021</w:t>
          </w:r>
        </w:p>
      </w:tc>
      <w:tc>
        <w:tcPr>
          <w:tcW w:w="5903" w:type="dxa"/>
          <w:vAlign w:val="center"/>
        </w:tcPr>
        <w:p w14:paraId="591D7B2E" w14:textId="32FE5E5B" w:rsidR="004E4371" w:rsidRPr="001E14EB" w:rsidRDefault="004E4371" w:rsidP="00543BD1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91D7B35" wp14:editId="591D7B36">
                <wp:extent cx="1347470" cy="481330"/>
                <wp:effectExtent l="0" t="0" r="508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1D7B30" w14:textId="77777777" w:rsidR="0067400A" w:rsidRPr="00543BD1" w:rsidRDefault="0067400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257A" w14:textId="77777777" w:rsidR="00666003" w:rsidRDefault="00666003" w:rsidP="007332FF">
      <w:r>
        <w:separator/>
      </w:r>
    </w:p>
  </w:footnote>
  <w:footnote w:type="continuationSeparator" w:id="0">
    <w:p w14:paraId="4D3DFD2E" w14:textId="77777777" w:rsidR="00666003" w:rsidRDefault="0066600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7B27" w14:textId="3CFBE435" w:rsidR="0067400A" w:rsidRPr="004E4371" w:rsidRDefault="00214551" w:rsidP="004E4371">
    <w:pPr>
      <w:pStyle w:val="Title"/>
      <w:jc w:val="right"/>
      <w:rPr>
        <w:rFonts w:ascii="Lato" w:hAnsi="Lato"/>
        <w:b w:val="0"/>
        <w:color w:val="1F1F5F"/>
        <w:sz w:val="22"/>
        <w:szCs w:val="22"/>
      </w:rPr>
    </w:pPr>
    <w:r w:rsidRPr="004E4371">
      <w:rPr>
        <w:rFonts w:ascii="Lato" w:hAnsi="Lato"/>
        <w:b w:val="0"/>
        <w:color w:val="1F1F5F"/>
        <w:sz w:val="22"/>
        <w:szCs w:val="22"/>
      </w:rPr>
      <w:t xml:space="preserve">Mineral </w:t>
    </w:r>
    <w:r w:rsidR="001E6FEB">
      <w:rPr>
        <w:rFonts w:ascii="Lato" w:hAnsi="Lato"/>
        <w:b w:val="0"/>
        <w:color w:val="1F1F5F"/>
        <w:sz w:val="22"/>
        <w:szCs w:val="22"/>
      </w:rPr>
      <w:t>p</w:t>
    </w:r>
    <w:r w:rsidRPr="004E4371">
      <w:rPr>
        <w:rFonts w:ascii="Lato" w:hAnsi="Lato"/>
        <w:b w:val="0"/>
        <w:color w:val="1F1F5F"/>
        <w:sz w:val="22"/>
        <w:szCs w:val="22"/>
      </w:rPr>
      <w:t xml:space="preserve">roduction </w:t>
    </w:r>
    <w:r w:rsidR="001E6FEB">
      <w:rPr>
        <w:rFonts w:ascii="Lato" w:hAnsi="Lato"/>
        <w:b w:val="0"/>
        <w:color w:val="1F1F5F"/>
        <w:sz w:val="22"/>
        <w:szCs w:val="22"/>
      </w:rPr>
      <w:t>r</w:t>
    </w:r>
    <w:r w:rsidRPr="004E4371">
      <w:rPr>
        <w:rFonts w:ascii="Lato" w:hAnsi="Lato"/>
        <w:b w:val="0"/>
        <w:color w:val="1F1F5F"/>
        <w:sz w:val="22"/>
        <w:szCs w:val="22"/>
      </w:rPr>
      <w:t xml:space="preserve">eturn – </w:t>
    </w:r>
    <w:r w:rsidR="001E6FEB">
      <w:rPr>
        <w:rFonts w:ascii="Lato" w:hAnsi="Lato"/>
        <w:b w:val="0"/>
        <w:color w:val="1F1F5F"/>
        <w:sz w:val="22"/>
        <w:szCs w:val="22"/>
      </w:rPr>
      <w:t>f</w:t>
    </w:r>
    <w:r w:rsidRPr="004E4371">
      <w:rPr>
        <w:rFonts w:ascii="Lato" w:hAnsi="Lato"/>
        <w:b w:val="0"/>
        <w:color w:val="1F1F5F"/>
        <w:sz w:val="22"/>
        <w:szCs w:val="22"/>
      </w:rPr>
      <w:t xml:space="preserve">inancial </w:t>
    </w:r>
    <w:r w:rsidR="001E6FEB">
      <w:rPr>
        <w:rFonts w:ascii="Lato" w:hAnsi="Lato"/>
        <w:b w:val="0"/>
        <w:color w:val="1F1F5F"/>
        <w:sz w:val="22"/>
        <w:szCs w:val="22"/>
      </w:rPr>
      <w:t>y</w:t>
    </w:r>
    <w:r w:rsidRPr="004E4371">
      <w:rPr>
        <w:rFonts w:ascii="Lato" w:hAnsi="Lato"/>
        <w:b w:val="0"/>
        <w:color w:val="1F1F5F"/>
        <w:sz w:val="22"/>
        <w:szCs w:val="22"/>
      </w:rPr>
      <w:t xml:space="preserve">ear </w:t>
    </w:r>
    <w:r w:rsidR="001E6FEB">
      <w:rPr>
        <w:rFonts w:ascii="Lato" w:hAnsi="Lato"/>
        <w:b w:val="0"/>
        <w:color w:val="1F1F5F"/>
        <w:sz w:val="22"/>
        <w:szCs w:val="22"/>
      </w:rPr>
      <w:t>e</w:t>
    </w:r>
    <w:r w:rsidR="00747DF3" w:rsidRPr="004E4371">
      <w:rPr>
        <w:rFonts w:ascii="Lato" w:hAnsi="Lato"/>
        <w:b w:val="0"/>
        <w:color w:val="1F1F5F"/>
        <w:sz w:val="22"/>
        <w:szCs w:val="22"/>
      </w:rPr>
      <w:t xml:space="preserve">nding 30 </w:t>
    </w:r>
    <w:r w:rsidR="00213433" w:rsidRPr="004E4371">
      <w:rPr>
        <w:rFonts w:ascii="Lato" w:hAnsi="Lato"/>
        <w:b w:val="0"/>
        <w:color w:val="1F1F5F"/>
        <w:sz w:val="22"/>
        <w:szCs w:val="22"/>
      </w:rPr>
      <w:t>June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7B2B" w14:textId="2A9EB5C4" w:rsidR="0067400A" w:rsidRPr="004E4371" w:rsidRDefault="00591298" w:rsidP="0050530C">
    <w:pPr>
      <w:pStyle w:val="Title"/>
      <w:rPr>
        <w:rFonts w:ascii="Lato Semibold" w:hAnsi="Lato Semibold"/>
        <w:b w:val="0"/>
        <w:color w:val="1F1F5F"/>
        <w:sz w:val="60"/>
        <w:szCs w:val="60"/>
      </w:rPr>
    </w:pPr>
    <w:r w:rsidRPr="00330F9D">
      <w:rPr>
        <w:rFonts w:ascii="Lato Semibold" w:hAnsi="Lato Semibold"/>
        <w:b w:val="0"/>
        <w:color w:val="1F1F5F"/>
        <w:sz w:val="52"/>
        <w:szCs w:val="60"/>
      </w:rPr>
      <w:t>M</w:t>
    </w:r>
    <w:r w:rsidR="001E6FEB">
      <w:rPr>
        <w:rFonts w:ascii="Lato Semibold" w:hAnsi="Lato Semibold"/>
        <w:b w:val="0"/>
        <w:color w:val="1F1F5F"/>
        <w:sz w:val="52"/>
        <w:szCs w:val="60"/>
      </w:rPr>
      <w:t>ineral p</w:t>
    </w:r>
    <w:r w:rsidRPr="00330F9D">
      <w:rPr>
        <w:rFonts w:ascii="Lato Semibold" w:hAnsi="Lato Semibold"/>
        <w:b w:val="0"/>
        <w:color w:val="1F1F5F"/>
        <w:sz w:val="52"/>
        <w:szCs w:val="60"/>
      </w:rPr>
      <w:t xml:space="preserve">roduction </w:t>
    </w:r>
    <w:r w:rsidR="001E6FEB">
      <w:rPr>
        <w:rFonts w:ascii="Lato Semibold" w:hAnsi="Lato Semibold"/>
        <w:b w:val="0"/>
        <w:color w:val="1F1F5F"/>
        <w:sz w:val="52"/>
        <w:szCs w:val="60"/>
      </w:rPr>
      <w:t>r</w:t>
    </w:r>
    <w:r w:rsidRPr="00330F9D">
      <w:rPr>
        <w:rFonts w:ascii="Lato Semibold" w:hAnsi="Lato Semibold"/>
        <w:b w:val="0"/>
        <w:color w:val="1F1F5F"/>
        <w:sz w:val="52"/>
        <w:szCs w:val="60"/>
      </w:rPr>
      <w:t xml:space="preserve">eturn – </w:t>
    </w:r>
    <w:r w:rsidR="001E6FEB">
      <w:rPr>
        <w:rFonts w:ascii="Lato Semibold" w:hAnsi="Lato Semibold"/>
        <w:b w:val="0"/>
        <w:color w:val="1F1F5F"/>
        <w:sz w:val="52"/>
        <w:szCs w:val="60"/>
      </w:rPr>
      <w:t>f</w:t>
    </w:r>
    <w:r w:rsidRPr="00330F9D">
      <w:rPr>
        <w:rFonts w:ascii="Lato Semibold" w:hAnsi="Lato Semibold"/>
        <w:b w:val="0"/>
        <w:color w:val="1F1F5F"/>
        <w:sz w:val="52"/>
        <w:szCs w:val="60"/>
      </w:rPr>
      <w:t xml:space="preserve">inancial </w:t>
    </w:r>
    <w:r w:rsidR="001E6FEB">
      <w:rPr>
        <w:rFonts w:ascii="Lato Semibold" w:hAnsi="Lato Semibold"/>
        <w:b w:val="0"/>
        <w:color w:val="1F1F5F"/>
        <w:sz w:val="52"/>
        <w:szCs w:val="60"/>
      </w:rPr>
      <w:t>y</w:t>
    </w:r>
    <w:r w:rsidRPr="00330F9D">
      <w:rPr>
        <w:rFonts w:ascii="Lato Semibold" w:hAnsi="Lato Semibold"/>
        <w:b w:val="0"/>
        <w:color w:val="1F1F5F"/>
        <w:sz w:val="52"/>
        <w:szCs w:val="60"/>
      </w:rPr>
      <w:t xml:space="preserve">ear </w:t>
    </w:r>
    <w:r w:rsidR="004E4371" w:rsidRPr="00330F9D">
      <w:rPr>
        <w:rFonts w:ascii="Lato Semibold" w:hAnsi="Lato Semibold"/>
        <w:b w:val="0"/>
        <w:color w:val="1F1F5F"/>
        <w:sz w:val="52"/>
        <w:szCs w:val="60"/>
      </w:rPr>
      <w:t>ending 30 June</w:t>
    </w:r>
    <w:r w:rsidR="00330F9D">
      <w:rPr>
        <w:rFonts w:ascii="Lato Semibold" w:hAnsi="Lato Semibold"/>
        <w:b w:val="0"/>
        <w:color w:val="1F1F5F"/>
        <w:sz w:val="52"/>
        <w:szCs w:val="60"/>
      </w:rPr>
      <w:t xml:space="preserve">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68D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E93944"/>
    <w:multiLevelType w:val="multilevel"/>
    <w:tmpl w:val="561CD30E"/>
    <w:styleLink w:val="NTGStandar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2E3C0B"/>
    <w:multiLevelType w:val="hybridMultilevel"/>
    <w:tmpl w:val="4DD8A9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4"/>
    <w:rsid w:val="00006975"/>
    <w:rsid w:val="00027DB8"/>
    <w:rsid w:val="00031A96"/>
    <w:rsid w:val="00040BF3"/>
    <w:rsid w:val="00051F45"/>
    <w:rsid w:val="0007259C"/>
    <w:rsid w:val="00080202"/>
    <w:rsid w:val="00080DCD"/>
    <w:rsid w:val="000840A3"/>
    <w:rsid w:val="00086A5F"/>
    <w:rsid w:val="00097451"/>
    <w:rsid w:val="0010419F"/>
    <w:rsid w:val="00111877"/>
    <w:rsid w:val="001137EC"/>
    <w:rsid w:val="001152F5"/>
    <w:rsid w:val="0011658A"/>
    <w:rsid w:val="00117743"/>
    <w:rsid w:val="00117F5B"/>
    <w:rsid w:val="00132658"/>
    <w:rsid w:val="00164A3E"/>
    <w:rsid w:val="00181620"/>
    <w:rsid w:val="00193699"/>
    <w:rsid w:val="001957AD"/>
    <w:rsid w:val="001A2B7F"/>
    <w:rsid w:val="001B2B6C"/>
    <w:rsid w:val="001B7A5D"/>
    <w:rsid w:val="001D38FE"/>
    <w:rsid w:val="001D4EBB"/>
    <w:rsid w:val="001E14EB"/>
    <w:rsid w:val="001E6FEB"/>
    <w:rsid w:val="001F2336"/>
    <w:rsid w:val="001F59E6"/>
    <w:rsid w:val="00206936"/>
    <w:rsid w:val="00206C6F"/>
    <w:rsid w:val="00206FBD"/>
    <w:rsid w:val="00207746"/>
    <w:rsid w:val="0021051A"/>
    <w:rsid w:val="00213433"/>
    <w:rsid w:val="00214551"/>
    <w:rsid w:val="002268C3"/>
    <w:rsid w:val="00240DF0"/>
    <w:rsid w:val="00247343"/>
    <w:rsid w:val="00260DAA"/>
    <w:rsid w:val="00274D4B"/>
    <w:rsid w:val="002806F5"/>
    <w:rsid w:val="00281577"/>
    <w:rsid w:val="00284676"/>
    <w:rsid w:val="002926BC"/>
    <w:rsid w:val="00293A72"/>
    <w:rsid w:val="002977A4"/>
    <w:rsid w:val="002A30C3"/>
    <w:rsid w:val="002B38F7"/>
    <w:rsid w:val="002C1FE9"/>
    <w:rsid w:val="002D3A57"/>
    <w:rsid w:val="002D7D05"/>
    <w:rsid w:val="002E20C8"/>
    <w:rsid w:val="002F2885"/>
    <w:rsid w:val="003037F9"/>
    <w:rsid w:val="00307C7A"/>
    <w:rsid w:val="00317114"/>
    <w:rsid w:val="0032138E"/>
    <w:rsid w:val="00326B5C"/>
    <w:rsid w:val="00330F9D"/>
    <w:rsid w:val="00342283"/>
    <w:rsid w:val="00343A87"/>
    <w:rsid w:val="00347FB6"/>
    <w:rsid w:val="003504FD"/>
    <w:rsid w:val="00350881"/>
    <w:rsid w:val="00357D55"/>
    <w:rsid w:val="003657E5"/>
    <w:rsid w:val="00371DC7"/>
    <w:rsid w:val="00374E40"/>
    <w:rsid w:val="00383C2D"/>
    <w:rsid w:val="00387983"/>
    <w:rsid w:val="0039163D"/>
    <w:rsid w:val="00394876"/>
    <w:rsid w:val="00394AAF"/>
    <w:rsid w:val="003D42C0"/>
    <w:rsid w:val="003D7818"/>
    <w:rsid w:val="003E2445"/>
    <w:rsid w:val="0040222A"/>
    <w:rsid w:val="004029F4"/>
    <w:rsid w:val="004047BC"/>
    <w:rsid w:val="00404FC2"/>
    <w:rsid w:val="00414CB3"/>
    <w:rsid w:val="00426E25"/>
    <w:rsid w:val="004340ED"/>
    <w:rsid w:val="0045420A"/>
    <w:rsid w:val="00456D27"/>
    <w:rsid w:val="00466D96"/>
    <w:rsid w:val="00473C98"/>
    <w:rsid w:val="00494BE5"/>
    <w:rsid w:val="004962B3"/>
    <w:rsid w:val="004A2538"/>
    <w:rsid w:val="004B0C15"/>
    <w:rsid w:val="004B35EA"/>
    <w:rsid w:val="004B7459"/>
    <w:rsid w:val="004C6F88"/>
    <w:rsid w:val="004D075F"/>
    <w:rsid w:val="004D1B76"/>
    <w:rsid w:val="004E019E"/>
    <w:rsid w:val="004E06EC"/>
    <w:rsid w:val="004E4371"/>
    <w:rsid w:val="00502FB3"/>
    <w:rsid w:val="00503DE9"/>
    <w:rsid w:val="0050530C"/>
    <w:rsid w:val="00507782"/>
    <w:rsid w:val="00512A04"/>
    <w:rsid w:val="00533E59"/>
    <w:rsid w:val="00543BD1"/>
    <w:rsid w:val="005654B8"/>
    <w:rsid w:val="005762CC"/>
    <w:rsid w:val="00591298"/>
    <w:rsid w:val="00595386"/>
    <w:rsid w:val="005A4A87"/>
    <w:rsid w:val="005A4AC0"/>
    <w:rsid w:val="005A5FDF"/>
    <w:rsid w:val="005B0FB7"/>
    <w:rsid w:val="005B3735"/>
    <w:rsid w:val="005B5AC2"/>
    <w:rsid w:val="005C06E9"/>
    <w:rsid w:val="005E144D"/>
    <w:rsid w:val="005E3A43"/>
    <w:rsid w:val="005F3BB4"/>
    <w:rsid w:val="00611A23"/>
    <w:rsid w:val="00636EA6"/>
    <w:rsid w:val="006433C3"/>
    <w:rsid w:val="00650F5B"/>
    <w:rsid w:val="00666003"/>
    <w:rsid w:val="006719EA"/>
    <w:rsid w:val="00671F13"/>
    <w:rsid w:val="0067400A"/>
    <w:rsid w:val="006A4E90"/>
    <w:rsid w:val="006D66F7"/>
    <w:rsid w:val="00705C9D"/>
    <w:rsid w:val="00707469"/>
    <w:rsid w:val="00714F1D"/>
    <w:rsid w:val="00722DDB"/>
    <w:rsid w:val="00724728"/>
    <w:rsid w:val="00724F98"/>
    <w:rsid w:val="00730B9B"/>
    <w:rsid w:val="007332FF"/>
    <w:rsid w:val="007408F5"/>
    <w:rsid w:val="007412A1"/>
    <w:rsid w:val="00747DF3"/>
    <w:rsid w:val="0076190B"/>
    <w:rsid w:val="00763A2D"/>
    <w:rsid w:val="00777795"/>
    <w:rsid w:val="00783A57"/>
    <w:rsid w:val="0079353F"/>
    <w:rsid w:val="007A6A4F"/>
    <w:rsid w:val="007B03F5"/>
    <w:rsid w:val="007B5DA2"/>
    <w:rsid w:val="007C5CFD"/>
    <w:rsid w:val="00815297"/>
    <w:rsid w:val="00817BA1"/>
    <w:rsid w:val="00823022"/>
    <w:rsid w:val="008313C4"/>
    <w:rsid w:val="00842838"/>
    <w:rsid w:val="0085797F"/>
    <w:rsid w:val="008601D1"/>
    <w:rsid w:val="00861DC3"/>
    <w:rsid w:val="008735A9"/>
    <w:rsid w:val="00881C48"/>
    <w:rsid w:val="00885E9B"/>
    <w:rsid w:val="008961A4"/>
    <w:rsid w:val="00897DA4"/>
    <w:rsid w:val="008A7C12"/>
    <w:rsid w:val="008B7DF4"/>
    <w:rsid w:val="008D57B8"/>
    <w:rsid w:val="008E510B"/>
    <w:rsid w:val="00902B13"/>
    <w:rsid w:val="00911941"/>
    <w:rsid w:val="00932F6B"/>
    <w:rsid w:val="009468BC"/>
    <w:rsid w:val="009616DF"/>
    <w:rsid w:val="0096542F"/>
    <w:rsid w:val="00967FA7"/>
    <w:rsid w:val="00971645"/>
    <w:rsid w:val="00977919"/>
    <w:rsid w:val="00994F25"/>
    <w:rsid w:val="009B1913"/>
    <w:rsid w:val="009B6657"/>
    <w:rsid w:val="009D057E"/>
    <w:rsid w:val="009E175D"/>
    <w:rsid w:val="00A10655"/>
    <w:rsid w:val="00A1714D"/>
    <w:rsid w:val="00A25193"/>
    <w:rsid w:val="00A31AE8"/>
    <w:rsid w:val="00A3739D"/>
    <w:rsid w:val="00A37DDA"/>
    <w:rsid w:val="00A51821"/>
    <w:rsid w:val="00A56F74"/>
    <w:rsid w:val="00A7087E"/>
    <w:rsid w:val="00A85D1A"/>
    <w:rsid w:val="00A925EC"/>
    <w:rsid w:val="00AA541E"/>
    <w:rsid w:val="00AD0DA4"/>
    <w:rsid w:val="00AD4169"/>
    <w:rsid w:val="00AE306C"/>
    <w:rsid w:val="00B02EF1"/>
    <w:rsid w:val="00B07C97"/>
    <w:rsid w:val="00B20E8B"/>
    <w:rsid w:val="00B2356E"/>
    <w:rsid w:val="00B300BA"/>
    <w:rsid w:val="00B343CC"/>
    <w:rsid w:val="00B60827"/>
    <w:rsid w:val="00B614F7"/>
    <w:rsid w:val="00B61B26"/>
    <w:rsid w:val="00B81261"/>
    <w:rsid w:val="00B832AE"/>
    <w:rsid w:val="00B95845"/>
    <w:rsid w:val="00B96513"/>
    <w:rsid w:val="00BA66F0"/>
    <w:rsid w:val="00BB2AE7"/>
    <w:rsid w:val="00BB6464"/>
    <w:rsid w:val="00BC1986"/>
    <w:rsid w:val="00BC1BB8"/>
    <w:rsid w:val="00BD2D6E"/>
    <w:rsid w:val="00BD4210"/>
    <w:rsid w:val="00BE6144"/>
    <w:rsid w:val="00BE635A"/>
    <w:rsid w:val="00BF2ABB"/>
    <w:rsid w:val="00BF4F5C"/>
    <w:rsid w:val="00C309D8"/>
    <w:rsid w:val="00C3562D"/>
    <w:rsid w:val="00C61AFA"/>
    <w:rsid w:val="00C62099"/>
    <w:rsid w:val="00C72867"/>
    <w:rsid w:val="00C75E81"/>
    <w:rsid w:val="00C92B4C"/>
    <w:rsid w:val="00C954F6"/>
    <w:rsid w:val="00CA6BC5"/>
    <w:rsid w:val="00CC773A"/>
    <w:rsid w:val="00CD28AA"/>
    <w:rsid w:val="00CE182F"/>
    <w:rsid w:val="00CE640F"/>
    <w:rsid w:val="00CF540E"/>
    <w:rsid w:val="00D137D0"/>
    <w:rsid w:val="00D27292"/>
    <w:rsid w:val="00D36A49"/>
    <w:rsid w:val="00D45537"/>
    <w:rsid w:val="00D46D96"/>
    <w:rsid w:val="00D71D71"/>
    <w:rsid w:val="00D71D84"/>
    <w:rsid w:val="00D832D9"/>
    <w:rsid w:val="00D975C0"/>
    <w:rsid w:val="00DB4F91"/>
    <w:rsid w:val="00DB5E53"/>
    <w:rsid w:val="00DC5DD9"/>
    <w:rsid w:val="00DE0237"/>
    <w:rsid w:val="00DE33B5"/>
    <w:rsid w:val="00DE3BB7"/>
    <w:rsid w:val="00DE5E18"/>
    <w:rsid w:val="00DF0487"/>
    <w:rsid w:val="00E02681"/>
    <w:rsid w:val="00E02792"/>
    <w:rsid w:val="00E04CC0"/>
    <w:rsid w:val="00E15816"/>
    <w:rsid w:val="00E160D5"/>
    <w:rsid w:val="00E30556"/>
    <w:rsid w:val="00E31E8B"/>
    <w:rsid w:val="00E33136"/>
    <w:rsid w:val="00E3723D"/>
    <w:rsid w:val="00E462F7"/>
    <w:rsid w:val="00E57D17"/>
    <w:rsid w:val="00E80B12"/>
    <w:rsid w:val="00E84074"/>
    <w:rsid w:val="00E861DB"/>
    <w:rsid w:val="00E93406"/>
    <w:rsid w:val="00E95C39"/>
    <w:rsid w:val="00EA3BA3"/>
    <w:rsid w:val="00EB0A96"/>
    <w:rsid w:val="00EB77F9"/>
    <w:rsid w:val="00EC75D4"/>
    <w:rsid w:val="00ED6DC0"/>
    <w:rsid w:val="00EE38FA"/>
    <w:rsid w:val="00EE3E2C"/>
    <w:rsid w:val="00EF0FC0"/>
    <w:rsid w:val="00EF3CA4"/>
    <w:rsid w:val="00F61D74"/>
    <w:rsid w:val="00F6411D"/>
    <w:rsid w:val="00F94398"/>
    <w:rsid w:val="00FB2B56"/>
    <w:rsid w:val="00FC12BF"/>
    <w:rsid w:val="00FC798D"/>
    <w:rsid w:val="00FD3E6F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A5C"/>
  <w15:docId w15:val="{4D697597-7BC7-4ED6-8581-B029CB1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2F"/>
    <w:rPr>
      <w:rFonts w:ascii="Arial" w:eastAsia="Times New Roman" w:hAnsi="Arial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paragraph" w:styleId="Header">
    <w:name w:val="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6"/>
    <w:qFormat/>
    <w:rsid w:val="006D66F7"/>
    <w:pPr>
      <w:ind w:left="720"/>
      <w:contextualSpacing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qFormat/>
    <w:rsid w:val="00EA3BA3"/>
    <w:pPr>
      <w:pageBreakBefore/>
      <w:tabs>
        <w:tab w:val="left" w:pos="1778"/>
        <w:tab w:val="right" w:pos="9026"/>
      </w:tabs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qFormat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qFormat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EA3BA3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qFormat/>
    <w:rsid w:val="002926BC"/>
    <w:pPr>
      <w:spacing w:after="480"/>
    </w:pPr>
  </w:style>
  <w:style w:type="numbering" w:styleId="111111">
    <w:name w:val="Outline List 2"/>
    <w:basedOn w:val="NoList"/>
    <w:uiPriority w:val="99"/>
    <w:semiHidden/>
    <w:unhideWhenUsed/>
    <w:rsid w:val="00040BF3"/>
    <w:pPr>
      <w:numPr>
        <w:numId w:val="5"/>
      </w:numPr>
    </w:pPr>
  </w:style>
  <w:style w:type="numbering" w:customStyle="1" w:styleId="NTGStandardList">
    <w:name w:val="NTG Standard List"/>
    <w:basedOn w:val="NoList"/>
    <w:rsid w:val="00414CB3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414CB3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center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414CB3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qFormat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paragraph" w:customStyle="1" w:styleId="StyleBoldBlackCenteredBefore3pt">
    <w:name w:val="Style Bold Black Centered Before:  3 pt"/>
    <w:basedOn w:val="Normal"/>
    <w:rsid w:val="0032138E"/>
    <w:pPr>
      <w:spacing w:before="60" w:after="60"/>
      <w:jc w:val="center"/>
    </w:pPr>
    <w:rPr>
      <w:b/>
      <w:bCs/>
      <w:color w:val="000000"/>
    </w:rPr>
  </w:style>
  <w:style w:type="paragraph" w:customStyle="1" w:styleId="StyleBodyText10ptBoldRight006cm">
    <w:name w:val="Style Body Text + 10 pt Bold Right:  0.06 cm"/>
    <w:basedOn w:val="BodyText"/>
    <w:rsid w:val="0032138E"/>
    <w:pPr>
      <w:spacing w:after="0"/>
      <w:ind w:right="34"/>
    </w:pPr>
    <w:rPr>
      <w:rFonts w:eastAsia="Times New Roman"/>
      <w:b/>
      <w:bCs/>
      <w:sz w:val="20"/>
      <w:szCs w:val="20"/>
    </w:rPr>
  </w:style>
  <w:style w:type="paragraph" w:customStyle="1" w:styleId="StyleBoldBlackCenteredBefore2pt">
    <w:name w:val="Style Bold Black Centered Before:  2 pt"/>
    <w:basedOn w:val="Normal"/>
    <w:rsid w:val="00CE182F"/>
    <w:pPr>
      <w:jc w:val="center"/>
    </w:pPr>
    <w:rPr>
      <w:b/>
      <w:bCs/>
      <w:color w:val="000000"/>
    </w:rPr>
  </w:style>
  <w:style w:type="character" w:customStyle="1" w:styleId="Hidden">
    <w:name w:val="Hidden"/>
    <w:basedOn w:val="DefaultParagraphFont"/>
    <w:uiPriority w:val="6"/>
    <w:rsid w:val="009D057E"/>
    <w:rPr>
      <w:rFonts w:ascii="Lato" w:hAnsi="Lato"/>
      <w:color w:val="FFFFFF" w:themeColor="background1"/>
      <w:sz w:val="2"/>
    </w:rPr>
  </w:style>
  <w:style w:type="character" w:styleId="PageNumber">
    <w:name w:val="page number"/>
    <w:aliases w:val="Page number"/>
    <w:basedOn w:val="DefaultParagraphFont"/>
    <w:uiPriority w:val="8"/>
    <w:rsid w:val="001E6FEB"/>
    <w:rPr>
      <w:rFonts w:ascii="Lato" w:hAnsi="Lato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2016fe-f0df-41f9-b4e3-51ee8146aaeb">DORDIVME-106-123</_dlc_DocId>
    <_dlc_DocIdUrl xmlns="572016fe-f0df-41f9-b4e3-51ee8146aaeb">
      <Url>http://dor.nt.gov.au/divisions/me/ntgs/gkm/ic/_layouts/15/DocIdRedir.aspx?ID=DORDIVME-106-123</Url>
      <Description>DORDIVME-106-123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47E619A7B6B4EB37C7C83CC326AA0" ma:contentTypeVersion="4" ma:contentTypeDescription="Create a new document." ma:contentTypeScope="" ma:versionID="8765db0209d0bced0a25862db4d5b5d1">
  <xsd:schema xmlns:xsd="http://www.w3.org/2001/XMLSchema" xmlns:xs="http://www.w3.org/2001/XMLSchema" xmlns:p="http://schemas.microsoft.com/office/2006/metadata/properties" xmlns:ns2="572016fe-f0df-41f9-b4e3-51ee8146aaeb" targetNamespace="http://schemas.microsoft.com/office/2006/metadata/properties" ma:root="true" ma:fieldsID="92ea609d52bc7b345ba9bc43525bce0d" ns2:_="">
    <xsd:import namespace="572016fe-f0df-41f9-b4e3-51ee8146aa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16fe-f0df-41f9-b4e3-51ee8146aa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8D4F-937C-440B-9173-04039D20B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2CDDC-601D-45A8-B526-B1A05BFE43D1}">
  <ds:schemaRefs>
    <ds:schemaRef ds:uri="http://schemas.microsoft.com/office/2006/metadata/properties"/>
    <ds:schemaRef ds:uri="http://schemas.microsoft.com/office/infopath/2007/PartnerControls"/>
    <ds:schemaRef ds:uri="572016fe-f0df-41f9-b4e3-51ee8146aaeb"/>
  </ds:schemaRefs>
</ds:datastoreItem>
</file>

<file path=customXml/itemProps3.xml><?xml version="1.0" encoding="utf-8"?>
<ds:datastoreItem xmlns:ds="http://schemas.openxmlformats.org/officeDocument/2006/customXml" ds:itemID="{8074942C-4FEF-4768-9FC7-4C7DB95F1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016fe-f0df-41f9-b4e3-51ee8146a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961D5-C157-407A-961D-8092F1A913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EB30F6-A1F6-4575-B1B3-18C19A47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Production Return – Financial Year ending 30 June2018</vt:lpstr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production return - financial year ending 30 June</dc:title>
  <dc:subject/>
  <dc:creator>Northern Territory Government</dc:creator>
  <cp:keywords/>
  <cp:lastModifiedBy>Marlene Woods</cp:lastModifiedBy>
  <cp:revision>12</cp:revision>
  <cp:lastPrinted>2021-06-09T00:39:00Z</cp:lastPrinted>
  <dcterms:created xsi:type="dcterms:W3CDTF">2020-11-19T03:36:00Z</dcterms:created>
  <dcterms:modified xsi:type="dcterms:W3CDTF">2021-06-15T06:42:00Z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0x010100CA847E619A7B6B4EB37C7C83CC326AA0</vt:lpwstr>
  </property>
  <property fmtid="{D5CDD505-2E9C-101B-9397-08002B2CF9AE}" pid="3" name="_dlc_DocIdItemGuid">
    <vt:lpwstr>2fdea602-d951-4028-aee4-c1f711f510ef</vt:lpwstr>
  </property>
</Properties>
</file>