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Title"/>
        <w:id w:val="-509987125"/>
        <w:lock w:val="sdtLocked"/>
        <w:placeholder>
          <w:docPart w:val="67143F7CB6A640D393D83FAAEAC54018"/>
        </w:placeholder>
        <w:dataBinding w:prefixMappings="xmlns:ns0='http://purl.org/dc/elements/1.1/' xmlns:ns1='http://schemas.openxmlformats.org/package/2006/metadata/core-properties' " w:xpath="/ns1:coreProperties[1]/ns0:title[1]" w:storeItemID="{6C3C8BC8-F283-45AE-878A-BAB7291924A1}"/>
        <w:text w:multiLine="1"/>
      </w:sdtPr>
      <w:sdtContent>
        <w:p w14:paraId="10844177" w14:textId="33D35057" w:rsidR="00886C9D" w:rsidRPr="00886C9D" w:rsidRDefault="00537491" w:rsidP="001513E9">
          <w:pPr>
            <w:pStyle w:val="Title"/>
          </w:pPr>
          <w:r>
            <w:t>Recovery of petroleum on an appraisal basis</w:t>
          </w:r>
        </w:p>
      </w:sdtContent>
    </w:sdt>
    <w:p w14:paraId="3CD02901" w14:textId="77777777" w:rsidR="00BD0F38" w:rsidRPr="00E77ACA" w:rsidRDefault="00D864D7" w:rsidP="001513E9">
      <w:pPr>
        <w:pStyle w:val="Subtitle0"/>
        <w:sectPr w:rsidR="00BD0F38" w:rsidRPr="00E77ACA" w:rsidSect="00FA64B4">
          <w:headerReference w:type="default" r:id="rId9"/>
          <w:footerReference w:type="default" r:id="rId10"/>
          <w:headerReference w:type="first" r:id="rId11"/>
          <w:footerReference w:type="first" r:id="rId12"/>
          <w:pgSz w:w="11906" w:h="16838" w:code="9"/>
          <w:pgMar w:top="243" w:right="794" w:bottom="794" w:left="794" w:header="794" w:footer="794" w:gutter="0"/>
          <w:cols w:space="708"/>
          <w:titlePg/>
          <w:docGrid w:linePitch="360"/>
        </w:sectPr>
      </w:pPr>
      <w:r>
        <w:t>Application guideline</w:t>
      </w:r>
    </w:p>
    <w:tbl>
      <w:tblPr>
        <w:tblStyle w:val="NTGtable1"/>
        <w:tblW w:w="10348" w:type="dxa"/>
        <w:tblLook w:val="0480" w:firstRow="0" w:lastRow="0" w:firstColumn="1" w:lastColumn="0" w:noHBand="0" w:noVBand="1"/>
      </w:tblPr>
      <w:tblGrid>
        <w:gridCol w:w="2410"/>
        <w:gridCol w:w="7938"/>
      </w:tblGrid>
      <w:tr w:rsidR="00832B35" w14:paraId="4500290F"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1F1F5F" w:themeColor="text1"/>
              <w:left w:val="single" w:sz="4" w:space="0" w:color="1F1F5F" w:themeColor="text1"/>
              <w:bottom w:val="nil"/>
              <w:right w:val="single" w:sz="4" w:space="0" w:color="1F1F5F" w:themeColor="text1"/>
            </w:tcBorders>
            <w:shd w:val="clear" w:color="auto" w:fill="1F1F5F" w:themeFill="text1"/>
            <w:hideMark/>
          </w:tcPr>
          <w:p w14:paraId="18C1DCBD" w14:textId="77777777" w:rsidR="00832B35" w:rsidRPr="00FB0A2D" w:rsidRDefault="00832B35" w:rsidP="001513E9">
            <w:pPr>
              <w:rPr>
                <w:b/>
                <w:color w:val="FFFFFF" w:themeColor="background1"/>
              </w:rPr>
            </w:pPr>
            <w:r w:rsidRPr="00FB0A2D">
              <w:rPr>
                <w:b/>
                <w:color w:val="FFFFFF" w:themeColor="background1"/>
              </w:rPr>
              <w:lastRenderedPageBreak/>
              <w:t>Document title</w:t>
            </w:r>
          </w:p>
        </w:tc>
        <w:tc>
          <w:tcPr>
            <w:tcW w:w="7938" w:type="dxa"/>
            <w:tcBorders>
              <w:top w:val="single" w:sz="4" w:space="0" w:color="1F1F5F" w:themeColor="text1"/>
              <w:left w:val="single" w:sz="4" w:space="0" w:color="1F1F5F" w:themeColor="text1"/>
              <w:bottom w:val="nil"/>
              <w:right w:val="single" w:sz="4" w:space="0" w:color="1F1F5F" w:themeColor="text1"/>
            </w:tcBorders>
            <w:hideMark/>
          </w:tcPr>
          <w:p w14:paraId="603DFC2D" w14:textId="31EFFE9A" w:rsidR="00832B35" w:rsidRPr="00050358" w:rsidRDefault="00000000" w:rsidP="001513E9">
            <w:pPr>
              <w:cnfStyle w:val="000000100000" w:firstRow="0" w:lastRow="0" w:firstColumn="0" w:lastColumn="0" w:oddVBand="0" w:evenVBand="0" w:oddHBand="1" w:evenHBand="0" w:firstRowFirstColumn="0" w:firstRowLastColumn="0" w:lastRowFirstColumn="0" w:lastRowLastColumn="0"/>
            </w:pPr>
            <w:sdt>
              <w:sdtPr>
                <w:alias w:val="Title"/>
                <w:tag w:val="Title"/>
                <w:id w:val="1887138691"/>
                <w:placeholder>
                  <w:docPart w:val="DCE95D3252284ADDA8338E4FDB0EA9F4"/>
                </w:placeholder>
                <w:dataBinding w:prefixMappings="xmlns:ns0='http://purl.org/dc/elements/1.1/' xmlns:ns1='http://schemas.openxmlformats.org/package/2006/metadata/core-properties' " w:xpath="/ns1:coreProperties[1]/ns0:title[1]" w:storeItemID="{6C3C8BC8-F283-45AE-878A-BAB7291924A1}"/>
                <w15:color w:val="000000"/>
                <w:text w:multiLine="1"/>
              </w:sdtPr>
              <w:sdtContent>
                <w:r w:rsidR="00537491">
                  <w:t>Recovery of petroleum on an appraisal basis</w:t>
                </w:r>
              </w:sdtContent>
            </w:sdt>
          </w:p>
        </w:tc>
      </w:tr>
      <w:tr w:rsidR="00832B35" w14:paraId="3563CDB8" w14:textId="77777777" w:rsidTr="009E2315">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3233EEB4" w14:textId="77777777" w:rsidR="00832B35" w:rsidRPr="00FB0A2D" w:rsidRDefault="00832B35" w:rsidP="001513E9">
            <w:pPr>
              <w:rPr>
                <w:b/>
                <w:color w:val="FFFFFF" w:themeColor="background1"/>
              </w:rPr>
            </w:pPr>
            <w:r w:rsidRPr="00FB0A2D">
              <w:rPr>
                <w:b/>
                <w:color w:val="FFFFFF" w:themeColor="background1"/>
              </w:rPr>
              <w:t>Contact details</w:t>
            </w:r>
          </w:p>
        </w:tc>
        <w:tc>
          <w:tcPr>
            <w:tcW w:w="7938" w:type="dxa"/>
            <w:tcBorders>
              <w:top w:val="nil"/>
              <w:left w:val="single" w:sz="4" w:space="0" w:color="1F1F5F" w:themeColor="text1"/>
              <w:bottom w:val="nil"/>
              <w:right w:val="single" w:sz="4" w:space="0" w:color="1F1F5F" w:themeColor="text1"/>
            </w:tcBorders>
            <w:hideMark/>
          </w:tcPr>
          <w:p w14:paraId="0D594975" w14:textId="1BF700E7" w:rsidR="00832B35" w:rsidRPr="00050358" w:rsidRDefault="007C0319" w:rsidP="001513E9">
            <w:pPr>
              <w:cnfStyle w:val="000000010000" w:firstRow="0" w:lastRow="0" w:firstColumn="0" w:lastColumn="0" w:oddVBand="0" w:evenVBand="0" w:oddHBand="0" w:evenHBand="1" w:firstRowFirstColumn="0" w:firstRowLastColumn="0" w:lastRowFirstColumn="0" w:lastRowLastColumn="0"/>
            </w:pPr>
            <w:r>
              <w:t xml:space="preserve">Energy Development, Department of </w:t>
            </w:r>
            <w:r w:rsidR="001513E9">
              <w:t>Mining and Energy</w:t>
            </w:r>
          </w:p>
        </w:tc>
      </w:tr>
      <w:tr w:rsidR="00832B35" w14:paraId="53725AF9" w14:textId="77777777" w:rsidTr="009E231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50D7D8DF" w14:textId="77777777" w:rsidR="00832B35" w:rsidRPr="00FB0A2D" w:rsidRDefault="00832B35" w:rsidP="001513E9">
            <w:pPr>
              <w:rPr>
                <w:b/>
                <w:color w:val="FFFFFF" w:themeColor="background1"/>
              </w:rPr>
            </w:pPr>
            <w:r w:rsidRPr="00FB0A2D">
              <w:rPr>
                <w:b/>
                <w:color w:val="FFFFFF" w:themeColor="background1"/>
              </w:rPr>
              <w:t>Approved by</w:t>
            </w:r>
          </w:p>
        </w:tc>
        <w:tc>
          <w:tcPr>
            <w:tcW w:w="7938" w:type="dxa"/>
            <w:tcBorders>
              <w:top w:val="nil"/>
              <w:left w:val="single" w:sz="4" w:space="0" w:color="1F1F5F" w:themeColor="text1"/>
              <w:bottom w:val="nil"/>
              <w:right w:val="single" w:sz="4" w:space="0" w:color="1F1F5F" w:themeColor="text1"/>
            </w:tcBorders>
          </w:tcPr>
          <w:p w14:paraId="03A7B25D" w14:textId="525DF48F" w:rsidR="00832B35" w:rsidRPr="00050358" w:rsidRDefault="00E46FF2" w:rsidP="001513E9">
            <w:pPr>
              <w:cnfStyle w:val="000000100000" w:firstRow="0" w:lastRow="0" w:firstColumn="0" w:lastColumn="0" w:oddVBand="0" w:evenVBand="0" w:oddHBand="1" w:evenHBand="0" w:firstRowFirstColumn="0" w:firstRowLastColumn="0" w:lastRowFirstColumn="0" w:lastRowLastColumn="0"/>
            </w:pPr>
            <w:r>
              <w:t>Senior Executive Director, Energy Development</w:t>
            </w:r>
          </w:p>
        </w:tc>
      </w:tr>
      <w:tr w:rsidR="00832B35" w14:paraId="718B6B03" w14:textId="77777777" w:rsidTr="00870916">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6518DD58" w14:textId="77777777" w:rsidR="00832B35" w:rsidRPr="00FB0A2D" w:rsidRDefault="00832B35" w:rsidP="001513E9">
            <w:pPr>
              <w:rPr>
                <w:b/>
                <w:color w:val="FFFFFF" w:themeColor="background1"/>
              </w:rPr>
            </w:pPr>
            <w:r w:rsidRPr="00FB0A2D">
              <w:rPr>
                <w:b/>
                <w:color w:val="FFFFFF" w:themeColor="background1"/>
              </w:rPr>
              <w:t>Date approved</w:t>
            </w:r>
          </w:p>
        </w:tc>
        <w:tc>
          <w:tcPr>
            <w:tcW w:w="7938" w:type="dxa"/>
            <w:tcBorders>
              <w:top w:val="nil"/>
              <w:left w:val="single" w:sz="4" w:space="0" w:color="1F1F5F" w:themeColor="text1"/>
              <w:bottom w:val="nil"/>
              <w:right w:val="single" w:sz="4" w:space="0" w:color="1F1F5F" w:themeColor="text1"/>
            </w:tcBorders>
          </w:tcPr>
          <w:p w14:paraId="05F05F79" w14:textId="12BE10A5" w:rsidR="00832B35" w:rsidRPr="00050358" w:rsidRDefault="00A20C2F" w:rsidP="00E42664">
            <w:pPr>
              <w:cnfStyle w:val="000000010000" w:firstRow="0" w:lastRow="0" w:firstColumn="0" w:lastColumn="0" w:oddVBand="0" w:evenVBand="0" w:oddHBand="0" w:evenHBand="1" w:firstRowFirstColumn="0" w:firstRowLastColumn="0" w:lastRowFirstColumn="0" w:lastRowLastColumn="0"/>
            </w:pPr>
            <w:r>
              <w:t>20</w:t>
            </w:r>
            <w:r w:rsidR="00E46FF2">
              <w:t>/02</w:t>
            </w:r>
            <w:r w:rsidR="00D90C16">
              <w:t>/20</w:t>
            </w:r>
            <w:r w:rsidR="00E46FF2">
              <w:t>25</w:t>
            </w:r>
          </w:p>
        </w:tc>
      </w:tr>
      <w:tr w:rsidR="00870916" w14:paraId="0143C400" w14:textId="77777777" w:rsidTr="00870916">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single" w:sz="4" w:space="0" w:color="auto"/>
              <w:right w:val="single" w:sz="4" w:space="0" w:color="1F1F5F" w:themeColor="text1"/>
            </w:tcBorders>
            <w:shd w:val="clear" w:color="auto" w:fill="1F1F5F" w:themeFill="text1"/>
          </w:tcPr>
          <w:p w14:paraId="74501DCA" w14:textId="2E5CA46A" w:rsidR="00870916" w:rsidRPr="00FB0A2D" w:rsidRDefault="00870916" w:rsidP="001513E9">
            <w:pPr>
              <w:rPr>
                <w:b/>
                <w:color w:val="FFFFFF" w:themeColor="background1"/>
              </w:rPr>
            </w:pPr>
            <w:r>
              <w:rPr>
                <w:b/>
                <w:color w:val="FFFFFF" w:themeColor="background1"/>
              </w:rPr>
              <w:t>Date to be reviewed</w:t>
            </w:r>
          </w:p>
        </w:tc>
        <w:tc>
          <w:tcPr>
            <w:tcW w:w="7938" w:type="dxa"/>
            <w:tcBorders>
              <w:top w:val="nil"/>
              <w:left w:val="single" w:sz="4" w:space="0" w:color="1F1F5F" w:themeColor="text1"/>
              <w:bottom w:val="single" w:sz="4" w:space="0" w:color="auto"/>
              <w:right w:val="single" w:sz="4" w:space="0" w:color="1F1F5F" w:themeColor="text1"/>
            </w:tcBorders>
          </w:tcPr>
          <w:p w14:paraId="4093CD9D" w14:textId="4F5D0C13" w:rsidR="00870916" w:rsidRDefault="00EA2C43" w:rsidP="00EA2C43">
            <w:pPr>
              <w:cnfStyle w:val="000000100000" w:firstRow="0" w:lastRow="0" w:firstColumn="0" w:lastColumn="0" w:oddVBand="0" w:evenVBand="0" w:oddHBand="1" w:evenHBand="0" w:firstRowFirstColumn="0" w:firstRowLastColumn="0" w:lastRowFirstColumn="0" w:lastRowLastColumn="0"/>
            </w:pPr>
            <w:r>
              <w:t>20</w:t>
            </w:r>
            <w:r w:rsidR="00D90C16">
              <w:t>/0</w:t>
            </w:r>
            <w:r>
              <w:t>2</w:t>
            </w:r>
            <w:r w:rsidR="00D90C16">
              <w:t>/202</w:t>
            </w:r>
            <w:r>
              <w:t>6</w:t>
            </w:r>
          </w:p>
        </w:tc>
      </w:tr>
    </w:tbl>
    <w:p w14:paraId="0C954BED" w14:textId="556DA1C0" w:rsidR="00832B35" w:rsidRDefault="00832B35" w:rsidP="001513E9"/>
    <w:tbl>
      <w:tblPr>
        <w:tblStyle w:val="NTGtable1"/>
        <w:tblW w:w="10343" w:type="dxa"/>
        <w:tblLook w:val="04A0" w:firstRow="1" w:lastRow="0" w:firstColumn="1" w:lastColumn="0" w:noHBand="0" w:noVBand="1"/>
      </w:tblPr>
      <w:tblGrid>
        <w:gridCol w:w="1129"/>
        <w:gridCol w:w="2410"/>
        <w:gridCol w:w="3969"/>
        <w:gridCol w:w="2835"/>
      </w:tblGrid>
      <w:tr w:rsidR="001513E9" w14:paraId="7B08DB90" w14:textId="77777777" w:rsidTr="004208F0">
        <w:trPr>
          <w:cnfStyle w:val="100000000000" w:firstRow="1" w:lastRow="0" w:firstColumn="0" w:lastColumn="0" w:oddVBand="0" w:evenVBand="0" w:oddHBand="0" w:evenHBand="0" w:firstRowFirstColumn="0" w:firstRowLastColumn="0" w:lastRowFirstColumn="0" w:lastRowLastColumn="0"/>
          <w:trHeight w:val="431"/>
        </w:trPr>
        <w:tc>
          <w:tcPr>
            <w:cnfStyle w:val="001000000100" w:firstRow="0" w:lastRow="0" w:firstColumn="1" w:lastColumn="0" w:oddVBand="0" w:evenVBand="0" w:oddHBand="0" w:evenHBand="0" w:firstRowFirstColumn="1" w:firstRowLastColumn="0" w:lastRowFirstColumn="0" w:lastRowLastColumn="0"/>
            <w:tcW w:w="1129" w:type="dxa"/>
          </w:tcPr>
          <w:p w14:paraId="461FC705" w14:textId="03EC18BC" w:rsidR="001513E9" w:rsidRDefault="001513E9" w:rsidP="001513E9">
            <w:r>
              <w:t>Version</w:t>
            </w:r>
          </w:p>
        </w:tc>
        <w:tc>
          <w:tcPr>
            <w:tcW w:w="2410" w:type="dxa"/>
          </w:tcPr>
          <w:p w14:paraId="4C22EDB9" w14:textId="48D860DE" w:rsidR="001513E9" w:rsidRDefault="001513E9" w:rsidP="001513E9">
            <w:pPr>
              <w:cnfStyle w:val="100000000000" w:firstRow="1" w:lastRow="0" w:firstColumn="0" w:lastColumn="0" w:oddVBand="0" w:evenVBand="0" w:oddHBand="0" w:evenHBand="0" w:firstRowFirstColumn="0" w:firstRowLastColumn="0" w:lastRowFirstColumn="0" w:lastRowLastColumn="0"/>
            </w:pPr>
            <w:r>
              <w:t>Date</w:t>
            </w:r>
          </w:p>
        </w:tc>
        <w:tc>
          <w:tcPr>
            <w:tcW w:w="3969" w:type="dxa"/>
          </w:tcPr>
          <w:p w14:paraId="7306A30D" w14:textId="3E04B150" w:rsidR="001513E9" w:rsidRDefault="001513E9" w:rsidP="001513E9">
            <w:pPr>
              <w:cnfStyle w:val="100000000000" w:firstRow="1" w:lastRow="0" w:firstColumn="0" w:lastColumn="0" w:oddVBand="0" w:evenVBand="0" w:oddHBand="0" w:evenHBand="0" w:firstRowFirstColumn="0" w:firstRowLastColumn="0" w:lastRowFirstColumn="0" w:lastRowLastColumn="0"/>
            </w:pPr>
            <w:r>
              <w:t>Author</w:t>
            </w:r>
          </w:p>
        </w:tc>
        <w:tc>
          <w:tcPr>
            <w:tcW w:w="2835" w:type="dxa"/>
          </w:tcPr>
          <w:p w14:paraId="60AA298C" w14:textId="55C9B5E3" w:rsidR="001513E9" w:rsidRDefault="001513E9" w:rsidP="001513E9">
            <w:pPr>
              <w:cnfStyle w:val="100000000000" w:firstRow="1" w:lastRow="0" w:firstColumn="0" w:lastColumn="0" w:oddVBand="0" w:evenVBand="0" w:oddHBand="0" w:evenHBand="0" w:firstRowFirstColumn="0" w:firstRowLastColumn="0" w:lastRowFirstColumn="0" w:lastRowLastColumn="0"/>
            </w:pPr>
            <w:r>
              <w:t>Changes made</w:t>
            </w:r>
          </w:p>
        </w:tc>
      </w:tr>
      <w:tr w:rsidR="001513E9" w14:paraId="32A015D6" w14:textId="77777777" w:rsidTr="004208F0">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129" w:type="dxa"/>
          </w:tcPr>
          <w:p w14:paraId="1DDC1F3F" w14:textId="16C63379" w:rsidR="001513E9" w:rsidRDefault="001513E9" w:rsidP="001513E9">
            <w:r>
              <w:t>1.0</w:t>
            </w:r>
          </w:p>
        </w:tc>
        <w:tc>
          <w:tcPr>
            <w:tcW w:w="2410" w:type="dxa"/>
          </w:tcPr>
          <w:p w14:paraId="20A77826" w14:textId="514D2531" w:rsidR="001513E9" w:rsidRDefault="001513E9" w:rsidP="001513E9">
            <w:pPr>
              <w:cnfStyle w:val="000000100000" w:firstRow="0" w:lastRow="0" w:firstColumn="0" w:lastColumn="0" w:oddVBand="0" w:evenVBand="0" w:oddHBand="1" w:evenHBand="0" w:firstRowFirstColumn="0" w:firstRowLastColumn="0" w:lastRowFirstColumn="0" w:lastRowLastColumn="0"/>
            </w:pPr>
            <w:r>
              <w:t>30 August 2023</w:t>
            </w:r>
          </w:p>
        </w:tc>
        <w:tc>
          <w:tcPr>
            <w:tcW w:w="3969" w:type="dxa"/>
          </w:tcPr>
          <w:p w14:paraId="53B90F7D" w14:textId="57A6C334" w:rsidR="001513E9" w:rsidRDefault="001513E9" w:rsidP="001513E9">
            <w:pPr>
              <w:cnfStyle w:val="000000100000" w:firstRow="0" w:lastRow="0" w:firstColumn="0" w:lastColumn="0" w:oddVBand="0" w:evenVBand="0" w:oddHBand="1" w:evenHBand="0" w:firstRowFirstColumn="0" w:firstRowLastColumn="0" w:lastRowFirstColumn="0" w:lastRowLastColumn="0"/>
            </w:pPr>
            <w:r>
              <w:t>Energy Development</w:t>
            </w:r>
          </w:p>
        </w:tc>
        <w:tc>
          <w:tcPr>
            <w:tcW w:w="2835" w:type="dxa"/>
          </w:tcPr>
          <w:p w14:paraId="7D940566" w14:textId="07D05643" w:rsidR="001513E9" w:rsidRDefault="001513E9" w:rsidP="001513E9">
            <w:pPr>
              <w:cnfStyle w:val="000000100000" w:firstRow="0" w:lastRow="0" w:firstColumn="0" w:lastColumn="0" w:oddVBand="0" w:evenVBand="0" w:oddHBand="1" w:evenHBand="0" w:firstRowFirstColumn="0" w:firstRowLastColumn="0" w:lastRowFirstColumn="0" w:lastRowLastColumn="0"/>
            </w:pPr>
            <w:r>
              <w:t>N/A - Initial guideline</w:t>
            </w:r>
          </w:p>
        </w:tc>
      </w:tr>
      <w:tr w:rsidR="001513E9" w14:paraId="3A2750A0" w14:textId="77777777" w:rsidTr="004208F0">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129" w:type="dxa"/>
          </w:tcPr>
          <w:p w14:paraId="42728F47" w14:textId="25146BC8" w:rsidR="001513E9" w:rsidRDefault="001513E9" w:rsidP="001513E9">
            <w:r>
              <w:t>1.1</w:t>
            </w:r>
          </w:p>
        </w:tc>
        <w:tc>
          <w:tcPr>
            <w:tcW w:w="2410" w:type="dxa"/>
          </w:tcPr>
          <w:p w14:paraId="3FEF7D25" w14:textId="2054DE82" w:rsidR="001513E9" w:rsidRDefault="008815DD" w:rsidP="001513E9">
            <w:pPr>
              <w:cnfStyle w:val="000000010000" w:firstRow="0" w:lastRow="0" w:firstColumn="0" w:lastColumn="0" w:oddVBand="0" w:evenVBand="0" w:oddHBand="0" w:evenHBand="1" w:firstRowFirstColumn="0" w:firstRowLastColumn="0" w:lastRowFirstColumn="0" w:lastRowLastColumn="0"/>
            </w:pPr>
            <w:r>
              <w:t>20</w:t>
            </w:r>
            <w:r w:rsidR="001513E9">
              <w:t xml:space="preserve"> February 2025</w:t>
            </w:r>
          </w:p>
        </w:tc>
        <w:tc>
          <w:tcPr>
            <w:tcW w:w="3969" w:type="dxa"/>
          </w:tcPr>
          <w:p w14:paraId="61A0D2ED" w14:textId="22E6954B" w:rsidR="001513E9" w:rsidRDefault="001513E9" w:rsidP="001513E9">
            <w:pPr>
              <w:cnfStyle w:val="000000010000" w:firstRow="0" w:lastRow="0" w:firstColumn="0" w:lastColumn="0" w:oddVBand="0" w:evenVBand="0" w:oddHBand="0" w:evenHBand="1" w:firstRowFirstColumn="0" w:firstRowLastColumn="0" w:lastRowFirstColumn="0" w:lastRowLastColumn="0"/>
            </w:pPr>
            <w:r>
              <w:t>Energy Development</w:t>
            </w:r>
          </w:p>
        </w:tc>
        <w:tc>
          <w:tcPr>
            <w:tcW w:w="2835" w:type="dxa"/>
          </w:tcPr>
          <w:p w14:paraId="71C8A9CF" w14:textId="493BE23C" w:rsidR="001513E9" w:rsidRDefault="001513E9" w:rsidP="008815DD">
            <w:pPr>
              <w:cnfStyle w:val="000000010000" w:firstRow="0" w:lastRow="0" w:firstColumn="0" w:lastColumn="0" w:oddVBand="0" w:evenVBand="0" w:oddHBand="0" w:evenHBand="1" w:firstRowFirstColumn="0" w:firstRowLastColumn="0" w:lastRowFirstColumn="0" w:lastRowLastColumn="0"/>
            </w:pPr>
            <w:r>
              <w:t>Minor updates</w:t>
            </w:r>
            <w:r w:rsidR="00E46FF2">
              <w:t xml:space="preserve"> to reflect </w:t>
            </w:r>
            <w:r w:rsidR="008815DD">
              <w:t>machinery of government</w:t>
            </w:r>
            <w:r w:rsidR="00E46FF2">
              <w:t xml:space="preserve"> changes</w:t>
            </w:r>
          </w:p>
        </w:tc>
      </w:tr>
    </w:tbl>
    <w:p w14:paraId="69E32F78" w14:textId="77777777" w:rsidR="001513E9" w:rsidRDefault="001513E9" w:rsidP="001513E9"/>
    <w:tbl>
      <w:tblPr>
        <w:tblStyle w:val="NTGtable1"/>
        <w:tblW w:w="10341" w:type="dxa"/>
        <w:tblLayout w:type="fixed"/>
        <w:tblLook w:val="0120" w:firstRow="1" w:lastRow="0" w:firstColumn="0" w:lastColumn="1" w:noHBand="0" w:noVBand="0"/>
      </w:tblPr>
      <w:tblGrid>
        <w:gridCol w:w="1979"/>
        <w:gridCol w:w="8362"/>
      </w:tblGrid>
      <w:tr w:rsidR="003223FE" w:rsidRPr="00E87DE1" w14:paraId="5969A19C" w14:textId="77777777" w:rsidTr="00AA4C49">
        <w:trPr>
          <w:cnfStyle w:val="100000000000" w:firstRow="1" w:lastRow="0" w:firstColumn="0" w:lastColumn="0" w:oddVBand="0" w:evenVBand="0" w:oddHBand="0"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568E840F" w14:textId="77777777" w:rsidR="003223FE" w:rsidRPr="00E87DE1" w:rsidRDefault="003223FE" w:rsidP="001513E9">
            <w:r w:rsidRPr="00E87DE1">
              <w:rPr>
                <w:w w:val="105"/>
              </w:rPr>
              <w:t>Acronyms</w:t>
            </w:r>
          </w:p>
        </w:tc>
        <w:tc>
          <w:tcPr>
            <w:cnfStyle w:val="000100001000" w:firstRow="0" w:lastRow="0" w:firstColumn="0" w:lastColumn="1" w:oddVBand="0" w:evenVBand="0" w:oddHBand="0" w:evenHBand="0" w:firstRowFirstColumn="0" w:firstRowLastColumn="1" w:lastRowFirstColumn="0" w:lastRowLastColumn="0"/>
            <w:tcW w:w="8362" w:type="dxa"/>
          </w:tcPr>
          <w:p w14:paraId="346D1FCC" w14:textId="77777777" w:rsidR="003223FE" w:rsidRPr="00E87DE1" w:rsidRDefault="003223FE" w:rsidP="001513E9">
            <w:r w:rsidRPr="00E87DE1">
              <w:rPr>
                <w:w w:val="105"/>
              </w:rPr>
              <w:t>Full</w:t>
            </w:r>
            <w:r w:rsidRPr="00E87DE1">
              <w:rPr>
                <w:spacing w:val="-17"/>
                <w:w w:val="105"/>
              </w:rPr>
              <w:t xml:space="preserve"> </w:t>
            </w:r>
            <w:r w:rsidRPr="00E87DE1">
              <w:rPr>
                <w:w w:val="105"/>
              </w:rPr>
              <w:t>form</w:t>
            </w:r>
          </w:p>
        </w:tc>
      </w:tr>
      <w:tr w:rsidR="00B211EC" w:rsidRPr="00E87DE1" w14:paraId="3C936F03"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775BF20A" w14:textId="77777777" w:rsidR="00B211EC" w:rsidRPr="00A6328A" w:rsidRDefault="00B211EC" w:rsidP="001513E9">
            <w:pPr>
              <w:rPr>
                <w:sz w:val="21"/>
                <w:szCs w:val="21"/>
              </w:rPr>
            </w:pPr>
            <w:r w:rsidRPr="00A6328A">
              <w:rPr>
                <w:sz w:val="21"/>
                <w:szCs w:val="21"/>
              </w:rPr>
              <w:t>Act</w:t>
            </w:r>
          </w:p>
        </w:tc>
        <w:tc>
          <w:tcPr>
            <w:cnfStyle w:val="000100000000" w:firstRow="0" w:lastRow="0" w:firstColumn="0" w:lastColumn="1" w:oddVBand="0" w:evenVBand="0" w:oddHBand="0" w:evenHBand="0" w:firstRowFirstColumn="0" w:firstRowLastColumn="0" w:lastRowFirstColumn="0" w:lastRowLastColumn="0"/>
            <w:tcW w:w="8362" w:type="dxa"/>
          </w:tcPr>
          <w:p w14:paraId="1D616604" w14:textId="77777777" w:rsidR="00B211EC" w:rsidRPr="00A6328A" w:rsidRDefault="00B211EC" w:rsidP="001513E9">
            <w:pPr>
              <w:rPr>
                <w:sz w:val="21"/>
                <w:szCs w:val="21"/>
              </w:rPr>
            </w:pPr>
            <w:r w:rsidRPr="00A6328A">
              <w:rPr>
                <w:i/>
                <w:sz w:val="21"/>
                <w:szCs w:val="21"/>
              </w:rPr>
              <w:t>Petroleum Act 1984</w:t>
            </w:r>
          </w:p>
        </w:tc>
      </w:tr>
      <w:tr w:rsidR="00E96A38" w:rsidRPr="00E87DE1" w14:paraId="21EEF9BD"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2C768AC5" w14:textId="63846A99" w:rsidR="00E96A38" w:rsidRPr="00A6328A" w:rsidRDefault="00E96A38" w:rsidP="001513E9">
            <w:pPr>
              <w:rPr>
                <w:sz w:val="21"/>
                <w:szCs w:val="21"/>
              </w:rPr>
            </w:pPr>
            <w:r w:rsidRPr="00A6328A">
              <w:rPr>
                <w:sz w:val="21"/>
                <w:szCs w:val="21"/>
              </w:rPr>
              <w:t>As low as reasonably practicable</w:t>
            </w:r>
          </w:p>
        </w:tc>
        <w:tc>
          <w:tcPr>
            <w:cnfStyle w:val="000100000000" w:firstRow="0" w:lastRow="0" w:firstColumn="0" w:lastColumn="1" w:oddVBand="0" w:evenVBand="0" w:oddHBand="0" w:evenHBand="0" w:firstRowFirstColumn="0" w:firstRowLastColumn="0" w:lastRowFirstColumn="0" w:lastRowLastColumn="0"/>
            <w:tcW w:w="8362" w:type="dxa"/>
          </w:tcPr>
          <w:p w14:paraId="5AB66289" w14:textId="784B34A1" w:rsidR="00E96A38" w:rsidRPr="00A6328A" w:rsidRDefault="00975738" w:rsidP="001513E9">
            <w:pPr>
              <w:rPr>
                <w:sz w:val="21"/>
                <w:szCs w:val="21"/>
              </w:rPr>
            </w:pPr>
            <w:r>
              <w:rPr>
                <w:sz w:val="21"/>
                <w:szCs w:val="21"/>
              </w:rPr>
              <w:t>M</w:t>
            </w:r>
            <w:r w:rsidR="00E96A38" w:rsidRPr="00A6328A">
              <w:rPr>
                <w:sz w:val="21"/>
                <w:szCs w:val="21"/>
              </w:rPr>
              <w:t>eans that all reasonably practicable measures are in place to control an impact or risk considering the level of consequence and cost, time and resources involved to mitigate it. Reducing impacts and risks to ‘as low as reasonably practicable’ centres on the construct of reasonable practicability; the weighing up of the magnitude of the impact or risk against the cost of reduction. A risk reduction measure can be considered as being reasonably practicable if the costs to implement it are not grossly disproportionate to the reduction in risk achieved</w:t>
            </w:r>
            <w:r w:rsidR="00537491">
              <w:rPr>
                <w:sz w:val="21"/>
                <w:szCs w:val="21"/>
              </w:rPr>
              <w:t>.</w:t>
            </w:r>
          </w:p>
        </w:tc>
      </w:tr>
      <w:tr w:rsidR="00B211EC" w:rsidRPr="00E87DE1" w14:paraId="3225E8AB"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7F168B78" w14:textId="77777777" w:rsidR="00B211EC" w:rsidRPr="00A6328A" w:rsidRDefault="00B211EC" w:rsidP="001513E9">
            <w:pPr>
              <w:rPr>
                <w:sz w:val="21"/>
                <w:szCs w:val="21"/>
              </w:rPr>
            </w:pPr>
            <w:r w:rsidRPr="00A6328A">
              <w:rPr>
                <w:sz w:val="21"/>
                <w:szCs w:val="21"/>
              </w:rPr>
              <w:t>Approved access agreement</w:t>
            </w:r>
          </w:p>
        </w:tc>
        <w:tc>
          <w:tcPr>
            <w:cnfStyle w:val="000100000000" w:firstRow="0" w:lastRow="0" w:firstColumn="0" w:lastColumn="1" w:oddVBand="0" w:evenVBand="0" w:oddHBand="0" w:evenHBand="0" w:firstRowFirstColumn="0" w:firstRowLastColumn="0" w:lastRowFirstColumn="0" w:lastRowLastColumn="0"/>
            <w:tcW w:w="8362" w:type="dxa"/>
          </w:tcPr>
          <w:p w14:paraId="1EF18271" w14:textId="77777777" w:rsidR="00B211EC" w:rsidRPr="00A6328A" w:rsidRDefault="00B211EC" w:rsidP="001513E9">
            <w:pPr>
              <w:rPr>
                <w:sz w:val="21"/>
                <w:szCs w:val="21"/>
              </w:rPr>
            </w:pPr>
            <w:r w:rsidRPr="00A6328A">
              <w:rPr>
                <w:sz w:val="21"/>
                <w:szCs w:val="21"/>
              </w:rPr>
              <w:t>See definition at regulation 3 of the PR 2020</w:t>
            </w:r>
          </w:p>
        </w:tc>
      </w:tr>
      <w:tr w:rsidR="005F5899" w:rsidRPr="00E87DE1" w14:paraId="5099CF78"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7A4AA963" w14:textId="2F974583" w:rsidR="005F5899" w:rsidRPr="00A6328A" w:rsidRDefault="005F5899" w:rsidP="001513E9">
            <w:pPr>
              <w:rPr>
                <w:sz w:val="21"/>
                <w:szCs w:val="21"/>
              </w:rPr>
            </w:pPr>
            <w:r>
              <w:rPr>
                <w:sz w:val="21"/>
                <w:szCs w:val="21"/>
              </w:rPr>
              <w:t>CEO</w:t>
            </w:r>
          </w:p>
        </w:tc>
        <w:tc>
          <w:tcPr>
            <w:cnfStyle w:val="000100000000" w:firstRow="0" w:lastRow="0" w:firstColumn="0" w:lastColumn="1" w:oddVBand="0" w:evenVBand="0" w:oddHBand="0" w:evenHBand="0" w:firstRowFirstColumn="0" w:firstRowLastColumn="0" w:lastRowFirstColumn="0" w:lastRowLastColumn="0"/>
            <w:tcW w:w="8362" w:type="dxa"/>
          </w:tcPr>
          <w:p w14:paraId="1D513CE5" w14:textId="5BEDE057" w:rsidR="005F5899" w:rsidRPr="005F5899" w:rsidRDefault="005F5899" w:rsidP="001513E9">
            <w:pPr>
              <w:rPr>
                <w:sz w:val="21"/>
                <w:szCs w:val="21"/>
              </w:rPr>
            </w:pPr>
            <w:r w:rsidRPr="005F5899">
              <w:rPr>
                <w:sz w:val="21"/>
                <w:szCs w:val="21"/>
              </w:rPr>
              <w:t>See definition at section 5 of the Act</w:t>
            </w:r>
          </w:p>
        </w:tc>
      </w:tr>
      <w:tr w:rsidR="00B211EC" w:rsidRPr="00E87DE1" w14:paraId="12C3C32A"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735BA3C3" w14:textId="77777777" w:rsidR="00B211EC" w:rsidRPr="00A6328A" w:rsidRDefault="00B211EC" w:rsidP="001513E9">
            <w:pPr>
              <w:rPr>
                <w:sz w:val="21"/>
                <w:szCs w:val="21"/>
              </w:rPr>
            </w:pPr>
            <w:r w:rsidRPr="00A6328A">
              <w:rPr>
                <w:sz w:val="21"/>
                <w:szCs w:val="21"/>
              </w:rPr>
              <w:t>Code</w:t>
            </w:r>
          </w:p>
        </w:tc>
        <w:tc>
          <w:tcPr>
            <w:cnfStyle w:val="000100000000" w:firstRow="0" w:lastRow="0" w:firstColumn="0" w:lastColumn="1" w:oddVBand="0" w:evenVBand="0" w:oddHBand="0" w:evenHBand="0" w:firstRowFirstColumn="0" w:firstRowLastColumn="0" w:lastRowFirstColumn="0" w:lastRowLastColumn="0"/>
            <w:tcW w:w="8362" w:type="dxa"/>
          </w:tcPr>
          <w:p w14:paraId="1DA66029" w14:textId="04E51786" w:rsidR="00B211EC" w:rsidRPr="00A6328A" w:rsidRDefault="00B211EC" w:rsidP="008815DD">
            <w:pPr>
              <w:rPr>
                <w:sz w:val="21"/>
                <w:szCs w:val="21"/>
              </w:rPr>
            </w:pPr>
            <w:r w:rsidRPr="00A6328A">
              <w:rPr>
                <w:i/>
                <w:sz w:val="21"/>
                <w:szCs w:val="21"/>
              </w:rPr>
              <w:t xml:space="preserve">Code of Practice: Onshore Petroleum Activities in the Northern Territory </w:t>
            </w:r>
            <w:r w:rsidR="008815DD">
              <w:rPr>
                <w:sz w:val="21"/>
                <w:szCs w:val="21"/>
              </w:rPr>
              <w:t>(administered by DLPE)</w:t>
            </w:r>
          </w:p>
        </w:tc>
      </w:tr>
      <w:tr w:rsidR="00B211EC" w:rsidRPr="00E87DE1" w14:paraId="61442ABA"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7B22D38F" w14:textId="2D8DAB73" w:rsidR="00B211EC" w:rsidRPr="00A6328A" w:rsidRDefault="001513E9" w:rsidP="001513E9">
            <w:pPr>
              <w:rPr>
                <w:sz w:val="21"/>
                <w:szCs w:val="21"/>
              </w:rPr>
            </w:pPr>
            <w:r>
              <w:rPr>
                <w:sz w:val="21"/>
                <w:szCs w:val="21"/>
              </w:rPr>
              <w:t>DLPE</w:t>
            </w:r>
          </w:p>
        </w:tc>
        <w:tc>
          <w:tcPr>
            <w:cnfStyle w:val="000100000000" w:firstRow="0" w:lastRow="0" w:firstColumn="0" w:lastColumn="1" w:oddVBand="0" w:evenVBand="0" w:oddHBand="0" w:evenHBand="0" w:firstRowFirstColumn="0" w:firstRowLastColumn="0" w:lastRowFirstColumn="0" w:lastRowLastColumn="0"/>
            <w:tcW w:w="8362" w:type="dxa"/>
          </w:tcPr>
          <w:p w14:paraId="021B02B9" w14:textId="2EF731EC" w:rsidR="00B211EC" w:rsidRPr="00A6328A" w:rsidRDefault="00B211EC" w:rsidP="00E42664">
            <w:pPr>
              <w:rPr>
                <w:sz w:val="21"/>
                <w:szCs w:val="21"/>
              </w:rPr>
            </w:pPr>
            <w:r w:rsidRPr="00A6328A">
              <w:rPr>
                <w:sz w:val="21"/>
                <w:szCs w:val="21"/>
              </w:rPr>
              <w:t xml:space="preserve">Department of </w:t>
            </w:r>
            <w:r w:rsidR="001513E9">
              <w:rPr>
                <w:sz w:val="21"/>
                <w:szCs w:val="21"/>
              </w:rPr>
              <w:t xml:space="preserve">Lands, Planning and </w:t>
            </w:r>
            <w:r w:rsidRPr="00A6328A">
              <w:rPr>
                <w:sz w:val="21"/>
                <w:szCs w:val="21"/>
              </w:rPr>
              <w:t>Environment</w:t>
            </w:r>
          </w:p>
        </w:tc>
      </w:tr>
      <w:tr w:rsidR="00B211EC" w:rsidRPr="00E87DE1" w14:paraId="46831844"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0F281245" w14:textId="5C42E7B9" w:rsidR="00B211EC" w:rsidRPr="00A6328A" w:rsidRDefault="001513E9" w:rsidP="001513E9">
            <w:pPr>
              <w:rPr>
                <w:sz w:val="21"/>
                <w:szCs w:val="21"/>
              </w:rPr>
            </w:pPr>
            <w:r>
              <w:rPr>
                <w:sz w:val="21"/>
                <w:szCs w:val="21"/>
              </w:rPr>
              <w:t>DME</w:t>
            </w:r>
          </w:p>
        </w:tc>
        <w:tc>
          <w:tcPr>
            <w:cnfStyle w:val="000100000000" w:firstRow="0" w:lastRow="0" w:firstColumn="0" w:lastColumn="1" w:oddVBand="0" w:evenVBand="0" w:oddHBand="0" w:evenHBand="0" w:firstRowFirstColumn="0" w:firstRowLastColumn="0" w:lastRowFirstColumn="0" w:lastRowLastColumn="0"/>
            <w:tcW w:w="8362" w:type="dxa"/>
          </w:tcPr>
          <w:p w14:paraId="0F518C61" w14:textId="0DC09EDE" w:rsidR="00B211EC" w:rsidRPr="00A6328A" w:rsidRDefault="00B211EC" w:rsidP="00E42664">
            <w:pPr>
              <w:rPr>
                <w:sz w:val="21"/>
                <w:szCs w:val="21"/>
              </w:rPr>
            </w:pPr>
            <w:r w:rsidRPr="00A6328A">
              <w:rPr>
                <w:sz w:val="21"/>
                <w:szCs w:val="21"/>
              </w:rPr>
              <w:t xml:space="preserve">Department of </w:t>
            </w:r>
            <w:r w:rsidR="001513E9">
              <w:rPr>
                <w:sz w:val="21"/>
                <w:szCs w:val="21"/>
              </w:rPr>
              <w:t>Mining and Energy</w:t>
            </w:r>
          </w:p>
        </w:tc>
      </w:tr>
      <w:tr w:rsidR="00B211EC" w:rsidRPr="00E87DE1" w14:paraId="0116CDF6"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2E46B6EE" w14:textId="77777777" w:rsidR="00B211EC" w:rsidRPr="00A6328A" w:rsidRDefault="00B211EC" w:rsidP="001513E9">
            <w:pPr>
              <w:rPr>
                <w:sz w:val="21"/>
                <w:szCs w:val="21"/>
              </w:rPr>
            </w:pPr>
            <w:r w:rsidRPr="00A6328A">
              <w:rPr>
                <w:sz w:val="21"/>
                <w:szCs w:val="21"/>
              </w:rPr>
              <w:t>EMP</w:t>
            </w:r>
          </w:p>
        </w:tc>
        <w:tc>
          <w:tcPr>
            <w:cnfStyle w:val="000100000000" w:firstRow="0" w:lastRow="0" w:firstColumn="0" w:lastColumn="1" w:oddVBand="0" w:evenVBand="0" w:oddHBand="0" w:evenHBand="0" w:firstRowFirstColumn="0" w:firstRowLastColumn="0" w:lastRowFirstColumn="0" w:lastRowLastColumn="0"/>
            <w:tcW w:w="8362" w:type="dxa"/>
          </w:tcPr>
          <w:p w14:paraId="69E49436" w14:textId="77777777" w:rsidR="00B211EC" w:rsidRPr="00A6328A" w:rsidRDefault="00B211EC" w:rsidP="001513E9">
            <w:pPr>
              <w:rPr>
                <w:sz w:val="21"/>
                <w:szCs w:val="21"/>
              </w:rPr>
            </w:pPr>
            <w:r w:rsidRPr="00A6328A">
              <w:rPr>
                <w:sz w:val="21"/>
                <w:szCs w:val="21"/>
              </w:rPr>
              <w:t>Environment Management Plan, see definition at regulation 3 of the PER 2016</w:t>
            </w:r>
          </w:p>
        </w:tc>
      </w:tr>
      <w:tr w:rsidR="00B211EC" w:rsidRPr="00E87DE1" w14:paraId="5B4BACA7"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62E810E2" w14:textId="77777777" w:rsidR="00B211EC" w:rsidRPr="00A6328A" w:rsidRDefault="00B211EC" w:rsidP="001513E9">
            <w:pPr>
              <w:rPr>
                <w:sz w:val="21"/>
                <w:szCs w:val="21"/>
              </w:rPr>
            </w:pPr>
            <w:r w:rsidRPr="00A6328A">
              <w:rPr>
                <w:sz w:val="21"/>
                <w:szCs w:val="21"/>
              </w:rPr>
              <w:t>Environment Minister</w:t>
            </w:r>
          </w:p>
        </w:tc>
        <w:tc>
          <w:tcPr>
            <w:cnfStyle w:val="000100000000" w:firstRow="0" w:lastRow="0" w:firstColumn="0" w:lastColumn="1" w:oddVBand="0" w:evenVBand="0" w:oddHBand="0" w:evenHBand="0" w:firstRowFirstColumn="0" w:firstRowLastColumn="0" w:lastRowFirstColumn="0" w:lastRowLastColumn="0"/>
            <w:tcW w:w="8362" w:type="dxa"/>
          </w:tcPr>
          <w:p w14:paraId="7BDCA8FB" w14:textId="74F019DD" w:rsidR="00B211EC" w:rsidRPr="00A6328A" w:rsidRDefault="00B211EC" w:rsidP="001513E9">
            <w:pPr>
              <w:rPr>
                <w:sz w:val="21"/>
                <w:szCs w:val="21"/>
              </w:rPr>
            </w:pPr>
            <w:r w:rsidRPr="00A6328A">
              <w:rPr>
                <w:sz w:val="21"/>
                <w:szCs w:val="21"/>
              </w:rPr>
              <w:t xml:space="preserve">Minister for </w:t>
            </w:r>
            <w:r w:rsidR="00213FB6">
              <w:rPr>
                <w:sz w:val="21"/>
                <w:szCs w:val="21"/>
              </w:rPr>
              <w:t xml:space="preserve">Lands, Planning and </w:t>
            </w:r>
            <w:r w:rsidRPr="00A6328A">
              <w:rPr>
                <w:sz w:val="21"/>
                <w:szCs w:val="21"/>
              </w:rPr>
              <w:t>Environment, responsible for the administration of the EP Act 2019 and the PER 2016</w:t>
            </w:r>
          </w:p>
        </w:tc>
      </w:tr>
      <w:tr w:rsidR="00B211EC" w:rsidRPr="00E87DE1" w14:paraId="6C603233"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012B6C19" w14:textId="77777777" w:rsidR="00B211EC" w:rsidRPr="00A6328A" w:rsidRDefault="00B211EC" w:rsidP="001513E9">
            <w:pPr>
              <w:rPr>
                <w:sz w:val="21"/>
                <w:szCs w:val="21"/>
              </w:rPr>
            </w:pPr>
            <w:r w:rsidRPr="00A6328A">
              <w:rPr>
                <w:sz w:val="21"/>
                <w:szCs w:val="21"/>
              </w:rPr>
              <w:t>EP Act 2019</w:t>
            </w:r>
          </w:p>
        </w:tc>
        <w:tc>
          <w:tcPr>
            <w:cnfStyle w:val="000100000000" w:firstRow="0" w:lastRow="0" w:firstColumn="0" w:lastColumn="1" w:oddVBand="0" w:evenVBand="0" w:oddHBand="0" w:evenHBand="0" w:firstRowFirstColumn="0" w:firstRowLastColumn="0" w:lastRowFirstColumn="0" w:lastRowLastColumn="0"/>
            <w:tcW w:w="8362" w:type="dxa"/>
          </w:tcPr>
          <w:p w14:paraId="79DE9DFF" w14:textId="77777777" w:rsidR="00B211EC" w:rsidRPr="00A6328A" w:rsidRDefault="00B211EC" w:rsidP="001513E9">
            <w:pPr>
              <w:rPr>
                <w:i/>
                <w:sz w:val="21"/>
                <w:szCs w:val="21"/>
              </w:rPr>
            </w:pPr>
            <w:r w:rsidRPr="00A6328A">
              <w:rPr>
                <w:i/>
                <w:sz w:val="21"/>
                <w:szCs w:val="21"/>
              </w:rPr>
              <w:t>Environment Protection Act 2019</w:t>
            </w:r>
          </w:p>
        </w:tc>
      </w:tr>
      <w:tr w:rsidR="00545870" w:rsidRPr="00E87DE1" w14:paraId="04B6B0D7"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05AF7276" w14:textId="5DEF30BC" w:rsidR="00545870" w:rsidRPr="00A6328A" w:rsidRDefault="00545870" w:rsidP="001513E9">
            <w:pPr>
              <w:rPr>
                <w:sz w:val="21"/>
                <w:szCs w:val="21"/>
              </w:rPr>
            </w:pPr>
            <w:r w:rsidRPr="00A6328A">
              <w:rPr>
                <w:sz w:val="21"/>
                <w:szCs w:val="21"/>
              </w:rPr>
              <w:t>Exploration permit</w:t>
            </w:r>
          </w:p>
        </w:tc>
        <w:tc>
          <w:tcPr>
            <w:cnfStyle w:val="000100000000" w:firstRow="0" w:lastRow="0" w:firstColumn="0" w:lastColumn="1" w:oddVBand="0" w:evenVBand="0" w:oddHBand="0" w:evenHBand="0" w:firstRowFirstColumn="0" w:firstRowLastColumn="0" w:lastRowFirstColumn="0" w:lastRowLastColumn="0"/>
            <w:tcW w:w="8362" w:type="dxa"/>
          </w:tcPr>
          <w:p w14:paraId="36C6D3C3" w14:textId="32AFEEE9" w:rsidR="00545870" w:rsidRPr="00A6328A" w:rsidRDefault="00545870" w:rsidP="001513E9">
            <w:pPr>
              <w:rPr>
                <w:sz w:val="21"/>
                <w:szCs w:val="21"/>
              </w:rPr>
            </w:pPr>
            <w:r w:rsidRPr="00A6328A">
              <w:rPr>
                <w:sz w:val="21"/>
                <w:szCs w:val="21"/>
              </w:rPr>
              <w:t>Also known as an EP, see definition at section 5 of the Act</w:t>
            </w:r>
          </w:p>
        </w:tc>
      </w:tr>
      <w:tr w:rsidR="00545870" w:rsidRPr="00E87DE1" w14:paraId="44876AD2"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4172CFEE" w14:textId="77777777" w:rsidR="00545870" w:rsidRPr="00A6328A" w:rsidRDefault="00545870" w:rsidP="001513E9">
            <w:pPr>
              <w:rPr>
                <w:sz w:val="21"/>
                <w:szCs w:val="21"/>
              </w:rPr>
            </w:pPr>
            <w:r w:rsidRPr="00A6328A">
              <w:rPr>
                <w:sz w:val="21"/>
                <w:szCs w:val="21"/>
              </w:rPr>
              <w:t>Flaring</w:t>
            </w:r>
          </w:p>
        </w:tc>
        <w:tc>
          <w:tcPr>
            <w:cnfStyle w:val="000100000000" w:firstRow="0" w:lastRow="0" w:firstColumn="0" w:lastColumn="1" w:oddVBand="0" w:evenVBand="0" w:oddHBand="0" w:evenHBand="0" w:firstRowFirstColumn="0" w:firstRowLastColumn="0" w:lastRowFirstColumn="0" w:lastRowLastColumn="0"/>
            <w:tcW w:w="8362" w:type="dxa"/>
          </w:tcPr>
          <w:p w14:paraId="6C9FAB9C" w14:textId="77777777" w:rsidR="00545870" w:rsidRPr="00A6328A" w:rsidRDefault="00545870" w:rsidP="001513E9">
            <w:pPr>
              <w:rPr>
                <w:sz w:val="21"/>
                <w:szCs w:val="21"/>
              </w:rPr>
            </w:pPr>
            <w:r w:rsidRPr="00A6328A">
              <w:rPr>
                <w:sz w:val="21"/>
                <w:szCs w:val="21"/>
              </w:rPr>
              <w:t>See definition of that term in the Code</w:t>
            </w:r>
          </w:p>
        </w:tc>
      </w:tr>
      <w:tr w:rsidR="00545870" w:rsidRPr="00E87DE1" w14:paraId="2C2285C8"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1A19CA8A" w14:textId="77777777" w:rsidR="00545870" w:rsidRPr="00A6328A" w:rsidRDefault="00545870" w:rsidP="001513E9">
            <w:pPr>
              <w:rPr>
                <w:sz w:val="21"/>
                <w:szCs w:val="21"/>
              </w:rPr>
            </w:pPr>
            <w:r w:rsidRPr="00A6328A">
              <w:rPr>
                <w:sz w:val="21"/>
                <w:szCs w:val="21"/>
              </w:rPr>
              <w:t>Interest holder</w:t>
            </w:r>
          </w:p>
        </w:tc>
        <w:tc>
          <w:tcPr>
            <w:cnfStyle w:val="000100000000" w:firstRow="0" w:lastRow="0" w:firstColumn="0" w:lastColumn="1" w:oddVBand="0" w:evenVBand="0" w:oddHBand="0" w:evenHBand="0" w:firstRowFirstColumn="0" w:firstRowLastColumn="0" w:lastRowFirstColumn="0" w:lastRowLastColumn="0"/>
            <w:tcW w:w="8362" w:type="dxa"/>
          </w:tcPr>
          <w:p w14:paraId="6A7BD836" w14:textId="77777777" w:rsidR="00545870" w:rsidRPr="00A6328A" w:rsidRDefault="00545870" w:rsidP="001513E9">
            <w:pPr>
              <w:rPr>
                <w:sz w:val="21"/>
                <w:szCs w:val="21"/>
              </w:rPr>
            </w:pPr>
            <w:r w:rsidRPr="00A6328A">
              <w:rPr>
                <w:sz w:val="21"/>
                <w:szCs w:val="21"/>
              </w:rPr>
              <w:t>See definition at section 5 of the Act</w:t>
            </w:r>
          </w:p>
        </w:tc>
      </w:tr>
      <w:tr w:rsidR="00545870" w:rsidRPr="00E87DE1" w14:paraId="5B5A1F88"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43730E4A" w14:textId="77777777" w:rsidR="00545870" w:rsidRPr="00A6328A" w:rsidRDefault="00545870" w:rsidP="001513E9">
            <w:pPr>
              <w:rPr>
                <w:sz w:val="21"/>
                <w:szCs w:val="21"/>
              </w:rPr>
            </w:pPr>
            <w:r w:rsidRPr="00A6328A">
              <w:rPr>
                <w:sz w:val="21"/>
                <w:szCs w:val="21"/>
              </w:rPr>
              <w:t>Land Rights Act</w:t>
            </w:r>
          </w:p>
        </w:tc>
        <w:tc>
          <w:tcPr>
            <w:cnfStyle w:val="000100000000" w:firstRow="0" w:lastRow="0" w:firstColumn="0" w:lastColumn="1" w:oddVBand="0" w:evenVBand="0" w:oddHBand="0" w:evenHBand="0" w:firstRowFirstColumn="0" w:firstRowLastColumn="0" w:lastRowFirstColumn="0" w:lastRowLastColumn="0"/>
            <w:tcW w:w="8362" w:type="dxa"/>
          </w:tcPr>
          <w:p w14:paraId="2FF81569" w14:textId="77777777" w:rsidR="00545870" w:rsidRPr="00A6328A" w:rsidRDefault="00545870" w:rsidP="001513E9">
            <w:pPr>
              <w:rPr>
                <w:i/>
                <w:sz w:val="21"/>
                <w:szCs w:val="21"/>
              </w:rPr>
            </w:pPr>
            <w:r w:rsidRPr="00A6328A">
              <w:rPr>
                <w:i/>
                <w:sz w:val="21"/>
                <w:szCs w:val="21"/>
              </w:rPr>
              <w:t>Aboriginal Land Rights (Northern Territory) Act 1976</w:t>
            </w:r>
            <w:r w:rsidRPr="00A6328A">
              <w:rPr>
                <w:sz w:val="21"/>
                <w:szCs w:val="21"/>
              </w:rPr>
              <w:t xml:space="preserve"> (Cth)</w:t>
            </w:r>
          </w:p>
        </w:tc>
      </w:tr>
      <w:tr w:rsidR="00545870" w:rsidRPr="00E87DE1" w14:paraId="334B1F0F"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2B787BB3" w14:textId="77777777" w:rsidR="00545870" w:rsidRPr="00A6328A" w:rsidRDefault="00545870" w:rsidP="001513E9">
            <w:pPr>
              <w:rPr>
                <w:sz w:val="21"/>
                <w:szCs w:val="21"/>
              </w:rPr>
            </w:pPr>
            <w:r w:rsidRPr="00A6328A">
              <w:rPr>
                <w:sz w:val="21"/>
                <w:szCs w:val="21"/>
              </w:rPr>
              <w:t>Minister</w:t>
            </w:r>
          </w:p>
        </w:tc>
        <w:tc>
          <w:tcPr>
            <w:cnfStyle w:val="000100000000" w:firstRow="0" w:lastRow="0" w:firstColumn="0" w:lastColumn="1" w:oddVBand="0" w:evenVBand="0" w:oddHBand="0" w:evenHBand="0" w:firstRowFirstColumn="0" w:firstRowLastColumn="0" w:lastRowFirstColumn="0" w:lastRowLastColumn="0"/>
            <w:tcW w:w="8362" w:type="dxa"/>
          </w:tcPr>
          <w:p w14:paraId="482E4CF5" w14:textId="319B6B63" w:rsidR="00545870" w:rsidRPr="00A6328A" w:rsidRDefault="00545870" w:rsidP="00E42664">
            <w:pPr>
              <w:rPr>
                <w:sz w:val="21"/>
                <w:szCs w:val="21"/>
              </w:rPr>
            </w:pPr>
            <w:r w:rsidRPr="00A6328A">
              <w:rPr>
                <w:sz w:val="21"/>
                <w:szCs w:val="21"/>
              </w:rPr>
              <w:t xml:space="preserve">Minister for Mining and </w:t>
            </w:r>
            <w:r w:rsidR="001513E9">
              <w:rPr>
                <w:sz w:val="21"/>
                <w:szCs w:val="21"/>
              </w:rPr>
              <w:t>Energy</w:t>
            </w:r>
          </w:p>
        </w:tc>
      </w:tr>
      <w:tr w:rsidR="00545870" w:rsidRPr="00E87DE1" w14:paraId="48DC3682"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63F343EF" w14:textId="77777777" w:rsidR="00545870" w:rsidRPr="00A6328A" w:rsidRDefault="00545870" w:rsidP="001513E9">
            <w:pPr>
              <w:rPr>
                <w:sz w:val="21"/>
                <w:szCs w:val="21"/>
              </w:rPr>
            </w:pPr>
            <w:r w:rsidRPr="00A6328A">
              <w:rPr>
                <w:sz w:val="21"/>
                <w:szCs w:val="21"/>
              </w:rPr>
              <w:t>Native Title Act</w:t>
            </w:r>
          </w:p>
        </w:tc>
        <w:tc>
          <w:tcPr>
            <w:cnfStyle w:val="000100000000" w:firstRow="0" w:lastRow="0" w:firstColumn="0" w:lastColumn="1" w:oddVBand="0" w:evenVBand="0" w:oddHBand="0" w:evenHBand="0" w:firstRowFirstColumn="0" w:firstRowLastColumn="0" w:lastRowFirstColumn="0" w:lastRowLastColumn="0"/>
            <w:tcW w:w="8362" w:type="dxa"/>
          </w:tcPr>
          <w:p w14:paraId="06821E97" w14:textId="77777777" w:rsidR="00545870" w:rsidRPr="00A6328A" w:rsidRDefault="00545870" w:rsidP="001513E9">
            <w:pPr>
              <w:rPr>
                <w:sz w:val="21"/>
                <w:szCs w:val="21"/>
              </w:rPr>
            </w:pPr>
            <w:r w:rsidRPr="00A6328A">
              <w:rPr>
                <w:i/>
                <w:sz w:val="21"/>
                <w:szCs w:val="21"/>
              </w:rPr>
              <w:t xml:space="preserve">Native Title Act 1993 </w:t>
            </w:r>
            <w:r w:rsidRPr="00A6328A">
              <w:rPr>
                <w:sz w:val="21"/>
                <w:szCs w:val="21"/>
              </w:rPr>
              <w:t>(Cth)</w:t>
            </w:r>
          </w:p>
        </w:tc>
      </w:tr>
      <w:tr w:rsidR="00545870" w:rsidRPr="00E87DE1" w14:paraId="37E7CCEC"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43240726" w14:textId="77777777" w:rsidR="00545870" w:rsidRPr="00A6328A" w:rsidRDefault="00545870" w:rsidP="001513E9">
            <w:pPr>
              <w:rPr>
                <w:sz w:val="21"/>
                <w:szCs w:val="21"/>
              </w:rPr>
            </w:pPr>
            <w:r w:rsidRPr="00A6328A">
              <w:rPr>
                <w:sz w:val="21"/>
                <w:szCs w:val="21"/>
              </w:rPr>
              <w:t>PER 2016</w:t>
            </w:r>
          </w:p>
        </w:tc>
        <w:tc>
          <w:tcPr>
            <w:cnfStyle w:val="000100000000" w:firstRow="0" w:lastRow="0" w:firstColumn="0" w:lastColumn="1" w:oddVBand="0" w:evenVBand="0" w:oddHBand="0" w:evenHBand="0" w:firstRowFirstColumn="0" w:firstRowLastColumn="0" w:lastRowFirstColumn="0" w:lastRowLastColumn="0"/>
            <w:tcW w:w="8362" w:type="dxa"/>
          </w:tcPr>
          <w:p w14:paraId="58330230" w14:textId="77777777" w:rsidR="00545870" w:rsidRPr="00A6328A" w:rsidRDefault="00545870" w:rsidP="001513E9">
            <w:pPr>
              <w:rPr>
                <w:i/>
                <w:sz w:val="21"/>
                <w:szCs w:val="21"/>
              </w:rPr>
            </w:pPr>
            <w:r w:rsidRPr="00A6328A">
              <w:rPr>
                <w:i/>
                <w:sz w:val="21"/>
                <w:szCs w:val="21"/>
              </w:rPr>
              <w:t>Petroleum (Environment) Regulations 2016</w:t>
            </w:r>
          </w:p>
        </w:tc>
      </w:tr>
      <w:tr w:rsidR="00545870" w:rsidRPr="00E87DE1" w14:paraId="3DC082AB"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52AD3946" w14:textId="77777777" w:rsidR="00545870" w:rsidRPr="00A6328A" w:rsidRDefault="00545870" w:rsidP="001513E9">
            <w:pPr>
              <w:rPr>
                <w:sz w:val="21"/>
                <w:szCs w:val="21"/>
              </w:rPr>
            </w:pPr>
            <w:r w:rsidRPr="00A6328A">
              <w:rPr>
                <w:sz w:val="21"/>
                <w:szCs w:val="21"/>
              </w:rPr>
              <w:lastRenderedPageBreak/>
              <w:t>Petroleum interest</w:t>
            </w:r>
          </w:p>
        </w:tc>
        <w:tc>
          <w:tcPr>
            <w:cnfStyle w:val="000100000000" w:firstRow="0" w:lastRow="0" w:firstColumn="0" w:lastColumn="1" w:oddVBand="0" w:evenVBand="0" w:oddHBand="0" w:evenHBand="0" w:firstRowFirstColumn="0" w:firstRowLastColumn="0" w:lastRowFirstColumn="0" w:lastRowLastColumn="0"/>
            <w:tcW w:w="8362" w:type="dxa"/>
          </w:tcPr>
          <w:p w14:paraId="5A7B0D77" w14:textId="77777777" w:rsidR="00545870" w:rsidRPr="00A6328A" w:rsidRDefault="00545870" w:rsidP="001513E9">
            <w:pPr>
              <w:rPr>
                <w:sz w:val="21"/>
                <w:szCs w:val="21"/>
              </w:rPr>
            </w:pPr>
            <w:r w:rsidRPr="00A6328A">
              <w:rPr>
                <w:sz w:val="21"/>
                <w:szCs w:val="21"/>
              </w:rPr>
              <w:t>See definition at section 5 of the Act</w:t>
            </w:r>
          </w:p>
        </w:tc>
      </w:tr>
      <w:tr w:rsidR="00545870" w:rsidRPr="00E87DE1" w14:paraId="0DE68BF0"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1D61BE4D" w14:textId="77777777" w:rsidR="00545870" w:rsidRPr="00A6328A" w:rsidRDefault="00545870" w:rsidP="001513E9">
            <w:pPr>
              <w:rPr>
                <w:sz w:val="21"/>
                <w:szCs w:val="21"/>
              </w:rPr>
            </w:pPr>
            <w:r w:rsidRPr="00A6328A">
              <w:rPr>
                <w:sz w:val="21"/>
                <w:szCs w:val="21"/>
              </w:rPr>
              <w:t>PR 2020</w:t>
            </w:r>
          </w:p>
        </w:tc>
        <w:tc>
          <w:tcPr>
            <w:cnfStyle w:val="000100000000" w:firstRow="0" w:lastRow="0" w:firstColumn="0" w:lastColumn="1" w:oddVBand="0" w:evenVBand="0" w:oddHBand="0" w:evenHBand="0" w:firstRowFirstColumn="0" w:firstRowLastColumn="0" w:lastRowFirstColumn="0" w:lastRowLastColumn="0"/>
            <w:tcW w:w="8362" w:type="dxa"/>
          </w:tcPr>
          <w:p w14:paraId="49CE6431" w14:textId="77777777" w:rsidR="00545870" w:rsidRPr="00A6328A" w:rsidRDefault="00545870" w:rsidP="001513E9">
            <w:pPr>
              <w:rPr>
                <w:i/>
                <w:sz w:val="21"/>
                <w:szCs w:val="21"/>
              </w:rPr>
            </w:pPr>
            <w:r w:rsidRPr="00A6328A">
              <w:rPr>
                <w:i/>
                <w:sz w:val="21"/>
                <w:szCs w:val="21"/>
              </w:rPr>
              <w:t>Petroleum Regulations 2020</w:t>
            </w:r>
          </w:p>
        </w:tc>
      </w:tr>
      <w:tr w:rsidR="00545870" w:rsidRPr="00E87DE1" w14:paraId="1F4C48D7"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60932B63" w14:textId="77777777" w:rsidR="00545870" w:rsidRPr="00A6328A" w:rsidRDefault="00545870" w:rsidP="001513E9">
            <w:pPr>
              <w:rPr>
                <w:sz w:val="21"/>
                <w:szCs w:val="21"/>
              </w:rPr>
            </w:pPr>
            <w:r w:rsidRPr="00A6328A">
              <w:rPr>
                <w:sz w:val="21"/>
                <w:szCs w:val="21"/>
              </w:rPr>
              <w:t>Regulated operations</w:t>
            </w:r>
          </w:p>
        </w:tc>
        <w:tc>
          <w:tcPr>
            <w:cnfStyle w:val="000100000000" w:firstRow="0" w:lastRow="0" w:firstColumn="0" w:lastColumn="1" w:oddVBand="0" w:evenVBand="0" w:oddHBand="0" w:evenHBand="0" w:firstRowFirstColumn="0" w:firstRowLastColumn="0" w:lastRowFirstColumn="0" w:lastRowLastColumn="0"/>
            <w:tcW w:w="8362" w:type="dxa"/>
          </w:tcPr>
          <w:p w14:paraId="08F44D75" w14:textId="77777777" w:rsidR="00545870" w:rsidRPr="00A6328A" w:rsidRDefault="00545870" w:rsidP="001513E9">
            <w:pPr>
              <w:rPr>
                <w:sz w:val="21"/>
                <w:szCs w:val="21"/>
              </w:rPr>
            </w:pPr>
            <w:r w:rsidRPr="00A6328A">
              <w:rPr>
                <w:sz w:val="21"/>
                <w:szCs w:val="21"/>
              </w:rPr>
              <w:t>See definition at regulation 3 of the PR 2020</w:t>
            </w:r>
          </w:p>
        </w:tc>
      </w:tr>
      <w:tr w:rsidR="00545870" w:rsidRPr="00E87DE1" w14:paraId="243AA3BB"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3A90B183" w14:textId="3DD0F5E1" w:rsidR="00545870" w:rsidRPr="00A6328A" w:rsidRDefault="00545870" w:rsidP="001513E9">
            <w:pPr>
              <w:rPr>
                <w:sz w:val="21"/>
                <w:szCs w:val="21"/>
              </w:rPr>
            </w:pPr>
            <w:r w:rsidRPr="00A6328A">
              <w:rPr>
                <w:sz w:val="21"/>
                <w:szCs w:val="21"/>
              </w:rPr>
              <w:t>Retention licence</w:t>
            </w:r>
          </w:p>
        </w:tc>
        <w:tc>
          <w:tcPr>
            <w:cnfStyle w:val="000100000000" w:firstRow="0" w:lastRow="0" w:firstColumn="0" w:lastColumn="1" w:oddVBand="0" w:evenVBand="0" w:oddHBand="0" w:evenHBand="0" w:firstRowFirstColumn="0" w:firstRowLastColumn="0" w:lastRowFirstColumn="0" w:lastRowLastColumn="0"/>
            <w:tcW w:w="8362" w:type="dxa"/>
          </w:tcPr>
          <w:p w14:paraId="5BF6C043" w14:textId="2AD11C83" w:rsidR="00545870" w:rsidRPr="00A6328A" w:rsidRDefault="00545870" w:rsidP="001513E9">
            <w:pPr>
              <w:rPr>
                <w:sz w:val="21"/>
                <w:szCs w:val="21"/>
              </w:rPr>
            </w:pPr>
            <w:r w:rsidRPr="00A6328A">
              <w:rPr>
                <w:sz w:val="21"/>
                <w:szCs w:val="21"/>
              </w:rPr>
              <w:t xml:space="preserve">Also known as an RL; see definition at section 5 of the Act </w:t>
            </w:r>
          </w:p>
        </w:tc>
      </w:tr>
      <w:tr w:rsidR="00FA0052" w:rsidRPr="00E87DE1" w14:paraId="3AB4F0ED"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7E0F8B79" w14:textId="3771DBDF" w:rsidR="00FA0052" w:rsidRPr="00A6328A" w:rsidRDefault="00FA0052" w:rsidP="001513E9">
            <w:pPr>
              <w:rPr>
                <w:sz w:val="21"/>
                <w:szCs w:val="21"/>
              </w:rPr>
            </w:pPr>
            <w:r w:rsidRPr="00A6328A">
              <w:rPr>
                <w:sz w:val="21"/>
                <w:szCs w:val="21"/>
              </w:rPr>
              <w:t>Revenue unit</w:t>
            </w:r>
          </w:p>
        </w:tc>
        <w:tc>
          <w:tcPr>
            <w:cnfStyle w:val="000100000000" w:firstRow="0" w:lastRow="0" w:firstColumn="0" w:lastColumn="1" w:oddVBand="0" w:evenVBand="0" w:oddHBand="0" w:evenHBand="0" w:firstRowFirstColumn="0" w:firstRowLastColumn="0" w:lastRowFirstColumn="0" w:lastRowLastColumn="0"/>
            <w:tcW w:w="8362" w:type="dxa"/>
          </w:tcPr>
          <w:p w14:paraId="35669027" w14:textId="58BF07E4" w:rsidR="00FA0052" w:rsidRPr="00A6328A" w:rsidRDefault="00FA0052" w:rsidP="001513E9">
            <w:pPr>
              <w:rPr>
                <w:i/>
                <w:sz w:val="21"/>
                <w:szCs w:val="21"/>
              </w:rPr>
            </w:pPr>
            <w:r w:rsidRPr="00A6328A">
              <w:rPr>
                <w:sz w:val="21"/>
                <w:szCs w:val="21"/>
              </w:rPr>
              <w:t xml:space="preserve">See the </w:t>
            </w:r>
            <w:r w:rsidRPr="00A6328A">
              <w:rPr>
                <w:i/>
                <w:sz w:val="21"/>
                <w:szCs w:val="21"/>
              </w:rPr>
              <w:t>Revenue Units Act 2009</w:t>
            </w:r>
          </w:p>
        </w:tc>
      </w:tr>
      <w:tr w:rsidR="00AD3E91" w:rsidRPr="00E87DE1" w14:paraId="6C9DD86F"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2509977C" w14:textId="31CB500B" w:rsidR="00AD3E91" w:rsidRPr="00A6328A" w:rsidRDefault="00AD3E91" w:rsidP="001513E9">
            <w:pPr>
              <w:rPr>
                <w:sz w:val="21"/>
                <w:szCs w:val="21"/>
              </w:rPr>
            </w:pPr>
            <w:r>
              <w:rPr>
                <w:sz w:val="21"/>
                <w:szCs w:val="21"/>
              </w:rPr>
              <w:t xml:space="preserve">Security </w:t>
            </w:r>
          </w:p>
        </w:tc>
        <w:tc>
          <w:tcPr>
            <w:cnfStyle w:val="000100000000" w:firstRow="0" w:lastRow="0" w:firstColumn="0" w:lastColumn="1" w:oddVBand="0" w:evenVBand="0" w:oddHBand="0" w:evenHBand="0" w:firstRowFirstColumn="0" w:firstRowLastColumn="0" w:lastRowFirstColumn="0" w:lastRowLastColumn="0"/>
            <w:tcW w:w="8362" w:type="dxa"/>
          </w:tcPr>
          <w:p w14:paraId="7C05265E" w14:textId="2706B648" w:rsidR="00AD3E91" w:rsidRPr="00A6328A" w:rsidRDefault="00AD3E91" w:rsidP="001513E9">
            <w:pPr>
              <w:rPr>
                <w:sz w:val="21"/>
                <w:szCs w:val="21"/>
              </w:rPr>
            </w:pPr>
            <w:r>
              <w:rPr>
                <w:sz w:val="21"/>
                <w:szCs w:val="21"/>
              </w:rPr>
              <w:t xml:space="preserve">Means the </w:t>
            </w:r>
            <w:r w:rsidRPr="00DE22D6">
              <w:rPr>
                <w:sz w:val="21"/>
                <w:szCs w:val="21"/>
                <w:lang w:eastAsia="en-AU"/>
              </w:rPr>
              <w:t>petroleum infrastructure decommissioning security relating to the appraisal production infrastructure proposed to be used in connection with the recovery of petroleum on an appraisal basis.</w:t>
            </w:r>
          </w:p>
        </w:tc>
      </w:tr>
      <w:tr w:rsidR="00545870" w:rsidRPr="00E87DE1" w14:paraId="54EE623C" w14:textId="77777777" w:rsidTr="00AA4C49">
        <w:trPr>
          <w:cnfStyle w:val="000000010000" w:firstRow="0" w:lastRow="0" w:firstColumn="0" w:lastColumn="0" w:oddVBand="0" w:evenVBand="0" w:oddHBand="0" w:evenHBand="1"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4C931095" w14:textId="77777777" w:rsidR="00545870" w:rsidRPr="00A6328A" w:rsidRDefault="00545870" w:rsidP="001513E9">
            <w:pPr>
              <w:rPr>
                <w:sz w:val="21"/>
                <w:szCs w:val="21"/>
              </w:rPr>
            </w:pPr>
            <w:r w:rsidRPr="00A6328A">
              <w:rPr>
                <w:sz w:val="21"/>
                <w:szCs w:val="21"/>
              </w:rPr>
              <w:t>Venting</w:t>
            </w:r>
          </w:p>
        </w:tc>
        <w:tc>
          <w:tcPr>
            <w:cnfStyle w:val="000100000000" w:firstRow="0" w:lastRow="0" w:firstColumn="0" w:lastColumn="1" w:oddVBand="0" w:evenVBand="0" w:oddHBand="0" w:evenHBand="0" w:firstRowFirstColumn="0" w:firstRowLastColumn="0" w:lastRowFirstColumn="0" w:lastRowLastColumn="0"/>
            <w:tcW w:w="8362" w:type="dxa"/>
          </w:tcPr>
          <w:p w14:paraId="40F011F9" w14:textId="77777777" w:rsidR="00545870" w:rsidRPr="00A6328A" w:rsidRDefault="00545870" w:rsidP="001513E9">
            <w:pPr>
              <w:rPr>
                <w:sz w:val="21"/>
                <w:szCs w:val="21"/>
              </w:rPr>
            </w:pPr>
            <w:r w:rsidRPr="00A6328A">
              <w:rPr>
                <w:sz w:val="21"/>
                <w:szCs w:val="21"/>
              </w:rPr>
              <w:t>See definition of that term in the Code</w:t>
            </w:r>
          </w:p>
        </w:tc>
      </w:tr>
      <w:tr w:rsidR="00545870" w:rsidRPr="00E87DE1" w14:paraId="18320DB1" w14:textId="77777777" w:rsidTr="00AA4C49">
        <w:trPr>
          <w:cnfStyle w:val="000000100000" w:firstRow="0" w:lastRow="0" w:firstColumn="0" w:lastColumn="0" w:oddVBand="0" w:evenVBand="0" w:oddHBand="1" w:evenHBand="0" w:firstRowFirstColumn="0" w:firstRowLastColumn="0" w:lastRowFirstColumn="0" w:lastRowLastColumn="0"/>
          <w:trHeight w:val="431"/>
        </w:trPr>
        <w:tc>
          <w:tcPr>
            <w:cnfStyle w:val="000010000000" w:firstRow="0" w:lastRow="0" w:firstColumn="0" w:lastColumn="0" w:oddVBand="1" w:evenVBand="0" w:oddHBand="0" w:evenHBand="0" w:firstRowFirstColumn="0" w:firstRowLastColumn="0" w:lastRowFirstColumn="0" w:lastRowLastColumn="0"/>
            <w:tcW w:w="1979" w:type="dxa"/>
          </w:tcPr>
          <w:p w14:paraId="583B7D66" w14:textId="77777777" w:rsidR="00545870" w:rsidRPr="00A6328A" w:rsidRDefault="00545870" w:rsidP="001513E9">
            <w:pPr>
              <w:rPr>
                <w:sz w:val="21"/>
                <w:szCs w:val="21"/>
              </w:rPr>
            </w:pPr>
            <w:r w:rsidRPr="00A6328A">
              <w:rPr>
                <w:sz w:val="21"/>
                <w:szCs w:val="21"/>
              </w:rPr>
              <w:t>WOMP</w:t>
            </w:r>
          </w:p>
        </w:tc>
        <w:tc>
          <w:tcPr>
            <w:cnfStyle w:val="000100000000" w:firstRow="0" w:lastRow="0" w:firstColumn="0" w:lastColumn="1" w:oddVBand="0" w:evenVBand="0" w:oddHBand="0" w:evenHBand="0" w:firstRowFirstColumn="0" w:firstRowLastColumn="0" w:lastRowFirstColumn="0" w:lastRowLastColumn="0"/>
            <w:tcW w:w="8362" w:type="dxa"/>
          </w:tcPr>
          <w:p w14:paraId="7D469794" w14:textId="77777777" w:rsidR="00545870" w:rsidRPr="00A6328A" w:rsidRDefault="00545870" w:rsidP="001513E9">
            <w:pPr>
              <w:rPr>
                <w:sz w:val="21"/>
                <w:szCs w:val="21"/>
              </w:rPr>
            </w:pPr>
            <w:r w:rsidRPr="00A6328A">
              <w:rPr>
                <w:sz w:val="21"/>
                <w:szCs w:val="21"/>
              </w:rPr>
              <w:t>Well Operations Management Plan, see definition at section 5 of the Act</w:t>
            </w:r>
          </w:p>
        </w:tc>
      </w:tr>
    </w:tbl>
    <w:p w14:paraId="28F9DCDB" w14:textId="77104E82" w:rsidR="004E7885" w:rsidRPr="004E7885" w:rsidRDefault="004E7885" w:rsidP="001513E9">
      <w:pPr>
        <w:rPr>
          <w:rFonts w:eastAsiaTheme="minorEastAsia" w:cs="Arial"/>
          <w:b/>
          <w:lang w:eastAsia="en-AU"/>
        </w:rPr>
      </w:pPr>
    </w:p>
    <w:p w14:paraId="149A826C" w14:textId="77777777" w:rsidR="00964B22" w:rsidRPr="004E7885" w:rsidRDefault="00964B22" w:rsidP="001513E9">
      <w:pPr>
        <w:sectPr w:rsidR="00964B22" w:rsidRPr="004E7885" w:rsidSect="004E7885">
          <w:headerReference w:type="even" r:id="rId13"/>
          <w:headerReference w:type="default" r:id="rId14"/>
          <w:footerReference w:type="default" r:id="rId15"/>
          <w:headerReference w:type="first" r:id="rId16"/>
          <w:footerReference w:type="first" r:id="rId17"/>
          <w:pgSz w:w="11906" w:h="16838" w:code="9"/>
          <w:pgMar w:top="794" w:right="794" w:bottom="794" w:left="794" w:header="794" w:footer="794" w:gutter="0"/>
          <w:cols w:space="708"/>
          <w:titlePg/>
          <w:docGrid w:linePitch="360"/>
        </w:sectPr>
      </w:pP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30200845" w14:textId="77777777" w:rsidR="00F51B53" w:rsidRPr="00422874" w:rsidRDefault="00F51B53" w:rsidP="001513E9">
          <w:pPr>
            <w:pStyle w:val="TOCHeading"/>
            <w:tabs>
              <w:tab w:val="left" w:pos="8601"/>
            </w:tabs>
            <w:rPr>
              <w:lang w:eastAsia="ja-JP"/>
            </w:rPr>
          </w:pPr>
          <w:r w:rsidRPr="00422874">
            <w:t>Contents</w:t>
          </w:r>
        </w:p>
        <w:p w14:paraId="60A316A6" w14:textId="0D061A73" w:rsidR="00641C5A" w:rsidRDefault="00F51B53">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90869110" w:history="1">
            <w:r w:rsidR="00641C5A" w:rsidRPr="00E12BD7">
              <w:rPr>
                <w:rStyle w:val="Hyperlink"/>
                <w:noProof/>
                <w:lang w:eastAsia="en-AU"/>
              </w:rPr>
              <w:t>1. Introduction</w:t>
            </w:r>
            <w:r w:rsidR="00641C5A">
              <w:rPr>
                <w:noProof/>
                <w:webHidden/>
              </w:rPr>
              <w:tab/>
            </w:r>
            <w:r w:rsidR="00641C5A">
              <w:rPr>
                <w:noProof/>
                <w:webHidden/>
              </w:rPr>
              <w:fldChar w:fldCharType="begin"/>
            </w:r>
            <w:r w:rsidR="00641C5A">
              <w:rPr>
                <w:noProof/>
                <w:webHidden/>
              </w:rPr>
              <w:instrText xml:space="preserve"> PAGEREF _Toc190869110 \h </w:instrText>
            </w:r>
            <w:r w:rsidR="00641C5A">
              <w:rPr>
                <w:noProof/>
                <w:webHidden/>
              </w:rPr>
            </w:r>
            <w:r w:rsidR="00641C5A">
              <w:rPr>
                <w:noProof/>
                <w:webHidden/>
              </w:rPr>
              <w:fldChar w:fldCharType="separate"/>
            </w:r>
            <w:r w:rsidR="00641C5A">
              <w:rPr>
                <w:noProof/>
                <w:webHidden/>
              </w:rPr>
              <w:t>6</w:t>
            </w:r>
            <w:r w:rsidR="00641C5A">
              <w:rPr>
                <w:noProof/>
                <w:webHidden/>
              </w:rPr>
              <w:fldChar w:fldCharType="end"/>
            </w:r>
          </w:hyperlink>
        </w:p>
        <w:p w14:paraId="6BA8CC39" w14:textId="43BC6AE9" w:rsidR="00641C5A" w:rsidRDefault="00000000">
          <w:pPr>
            <w:pStyle w:val="TOC2"/>
            <w:rPr>
              <w:rFonts w:asciiTheme="minorHAnsi" w:eastAsiaTheme="minorEastAsia" w:hAnsiTheme="minorHAnsi" w:cstheme="minorBidi"/>
              <w:noProof/>
              <w:lang w:eastAsia="en-AU"/>
            </w:rPr>
          </w:pPr>
          <w:hyperlink w:anchor="_Toc190869111" w:history="1">
            <w:r w:rsidR="00641C5A" w:rsidRPr="00E12BD7">
              <w:rPr>
                <w:rStyle w:val="Hyperlink"/>
                <w:noProof/>
                <w:lang w:eastAsia="en-AU"/>
              </w:rPr>
              <w:t>1.1. Purpose of the guideline</w:t>
            </w:r>
            <w:r w:rsidR="00641C5A">
              <w:rPr>
                <w:noProof/>
                <w:webHidden/>
              </w:rPr>
              <w:tab/>
            </w:r>
            <w:r w:rsidR="00641C5A">
              <w:rPr>
                <w:noProof/>
                <w:webHidden/>
              </w:rPr>
              <w:fldChar w:fldCharType="begin"/>
            </w:r>
            <w:r w:rsidR="00641C5A">
              <w:rPr>
                <w:noProof/>
                <w:webHidden/>
              </w:rPr>
              <w:instrText xml:space="preserve"> PAGEREF _Toc190869111 \h </w:instrText>
            </w:r>
            <w:r w:rsidR="00641C5A">
              <w:rPr>
                <w:noProof/>
                <w:webHidden/>
              </w:rPr>
            </w:r>
            <w:r w:rsidR="00641C5A">
              <w:rPr>
                <w:noProof/>
                <w:webHidden/>
              </w:rPr>
              <w:fldChar w:fldCharType="separate"/>
            </w:r>
            <w:r w:rsidR="00641C5A">
              <w:rPr>
                <w:noProof/>
                <w:webHidden/>
              </w:rPr>
              <w:t>6</w:t>
            </w:r>
            <w:r w:rsidR="00641C5A">
              <w:rPr>
                <w:noProof/>
                <w:webHidden/>
              </w:rPr>
              <w:fldChar w:fldCharType="end"/>
            </w:r>
          </w:hyperlink>
        </w:p>
        <w:p w14:paraId="45AF9274" w14:textId="2340BF3A" w:rsidR="00641C5A" w:rsidRDefault="00000000">
          <w:pPr>
            <w:pStyle w:val="TOC2"/>
            <w:rPr>
              <w:rFonts w:asciiTheme="minorHAnsi" w:eastAsiaTheme="minorEastAsia" w:hAnsiTheme="minorHAnsi" w:cstheme="minorBidi"/>
              <w:noProof/>
              <w:lang w:eastAsia="en-AU"/>
            </w:rPr>
          </w:pPr>
          <w:hyperlink w:anchor="_Toc190869112" w:history="1">
            <w:r w:rsidR="00641C5A" w:rsidRPr="00E12BD7">
              <w:rPr>
                <w:rStyle w:val="Hyperlink"/>
                <w:noProof/>
                <w:lang w:eastAsia="en-AU"/>
              </w:rPr>
              <w:t>1.2. Application of the guideline</w:t>
            </w:r>
            <w:r w:rsidR="00641C5A">
              <w:rPr>
                <w:noProof/>
                <w:webHidden/>
              </w:rPr>
              <w:tab/>
            </w:r>
            <w:r w:rsidR="00641C5A">
              <w:rPr>
                <w:noProof/>
                <w:webHidden/>
              </w:rPr>
              <w:fldChar w:fldCharType="begin"/>
            </w:r>
            <w:r w:rsidR="00641C5A">
              <w:rPr>
                <w:noProof/>
                <w:webHidden/>
              </w:rPr>
              <w:instrText xml:space="preserve"> PAGEREF _Toc190869112 \h </w:instrText>
            </w:r>
            <w:r w:rsidR="00641C5A">
              <w:rPr>
                <w:noProof/>
                <w:webHidden/>
              </w:rPr>
            </w:r>
            <w:r w:rsidR="00641C5A">
              <w:rPr>
                <w:noProof/>
                <w:webHidden/>
              </w:rPr>
              <w:fldChar w:fldCharType="separate"/>
            </w:r>
            <w:r w:rsidR="00641C5A">
              <w:rPr>
                <w:noProof/>
                <w:webHidden/>
              </w:rPr>
              <w:t>6</w:t>
            </w:r>
            <w:r w:rsidR="00641C5A">
              <w:rPr>
                <w:noProof/>
                <w:webHidden/>
              </w:rPr>
              <w:fldChar w:fldCharType="end"/>
            </w:r>
          </w:hyperlink>
        </w:p>
        <w:p w14:paraId="7B924DC5" w14:textId="731E4CA9" w:rsidR="00641C5A" w:rsidRDefault="00000000">
          <w:pPr>
            <w:pStyle w:val="TOC2"/>
            <w:rPr>
              <w:rFonts w:asciiTheme="minorHAnsi" w:eastAsiaTheme="minorEastAsia" w:hAnsiTheme="minorHAnsi" w:cstheme="minorBidi"/>
              <w:noProof/>
              <w:lang w:eastAsia="en-AU"/>
            </w:rPr>
          </w:pPr>
          <w:hyperlink w:anchor="_Toc190869113" w:history="1">
            <w:r w:rsidR="00641C5A" w:rsidRPr="00E12BD7">
              <w:rPr>
                <w:rStyle w:val="Hyperlink"/>
                <w:noProof/>
                <w:lang w:eastAsia="en-AU"/>
              </w:rPr>
              <w:t>1.3. Authorisation and publication</w:t>
            </w:r>
            <w:r w:rsidR="00641C5A">
              <w:rPr>
                <w:noProof/>
                <w:webHidden/>
              </w:rPr>
              <w:tab/>
            </w:r>
            <w:r w:rsidR="00641C5A">
              <w:rPr>
                <w:noProof/>
                <w:webHidden/>
              </w:rPr>
              <w:fldChar w:fldCharType="begin"/>
            </w:r>
            <w:r w:rsidR="00641C5A">
              <w:rPr>
                <w:noProof/>
                <w:webHidden/>
              </w:rPr>
              <w:instrText xml:space="preserve"> PAGEREF _Toc190869113 \h </w:instrText>
            </w:r>
            <w:r w:rsidR="00641C5A">
              <w:rPr>
                <w:noProof/>
                <w:webHidden/>
              </w:rPr>
            </w:r>
            <w:r w:rsidR="00641C5A">
              <w:rPr>
                <w:noProof/>
                <w:webHidden/>
              </w:rPr>
              <w:fldChar w:fldCharType="separate"/>
            </w:r>
            <w:r w:rsidR="00641C5A">
              <w:rPr>
                <w:noProof/>
                <w:webHidden/>
              </w:rPr>
              <w:t>6</w:t>
            </w:r>
            <w:r w:rsidR="00641C5A">
              <w:rPr>
                <w:noProof/>
                <w:webHidden/>
              </w:rPr>
              <w:fldChar w:fldCharType="end"/>
            </w:r>
          </w:hyperlink>
        </w:p>
        <w:p w14:paraId="36BE7268" w14:textId="7E9AC259" w:rsidR="00641C5A" w:rsidRDefault="00000000">
          <w:pPr>
            <w:pStyle w:val="TOC1"/>
            <w:rPr>
              <w:rFonts w:asciiTheme="minorHAnsi" w:eastAsiaTheme="minorEastAsia" w:hAnsiTheme="minorHAnsi" w:cstheme="minorBidi"/>
              <w:b w:val="0"/>
              <w:noProof/>
              <w:lang w:eastAsia="en-AU"/>
            </w:rPr>
          </w:pPr>
          <w:hyperlink w:anchor="_Toc190869114" w:history="1">
            <w:r w:rsidR="00641C5A" w:rsidRPr="00E12BD7">
              <w:rPr>
                <w:rStyle w:val="Hyperlink"/>
                <w:noProof/>
                <w:lang w:eastAsia="en-AU"/>
              </w:rPr>
              <w:t>2. Recovery of appraisal petroleum: background</w:t>
            </w:r>
            <w:r w:rsidR="00641C5A">
              <w:rPr>
                <w:noProof/>
                <w:webHidden/>
              </w:rPr>
              <w:tab/>
            </w:r>
            <w:r w:rsidR="00641C5A">
              <w:rPr>
                <w:noProof/>
                <w:webHidden/>
              </w:rPr>
              <w:fldChar w:fldCharType="begin"/>
            </w:r>
            <w:r w:rsidR="00641C5A">
              <w:rPr>
                <w:noProof/>
                <w:webHidden/>
              </w:rPr>
              <w:instrText xml:space="preserve"> PAGEREF _Toc190869114 \h </w:instrText>
            </w:r>
            <w:r w:rsidR="00641C5A">
              <w:rPr>
                <w:noProof/>
                <w:webHidden/>
              </w:rPr>
            </w:r>
            <w:r w:rsidR="00641C5A">
              <w:rPr>
                <w:noProof/>
                <w:webHidden/>
              </w:rPr>
              <w:fldChar w:fldCharType="separate"/>
            </w:r>
            <w:r w:rsidR="00641C5A">
              <w:rPr>
                <w:noProof/>
                <w:webHidden/>
              </w:rPr>
              <w:t>6</w:t>
            </w:r>
            <w:r w:rsidR="00641C5A">
              <w:rPr>
                <w:noProof/>
                <w:webHidden/>
              </w:rPr>
              <w:fldChar w:fldCharType="end"/>
            </w:r>
          </w:hyperlink>
        </w:p>
        <w:p w14:paraId="4337D2BA" w14:textId="2665CD64" w:rsidR="00641C5A" w:rsidRDefault="00000000">
          <w:pPr>
            <w:pStyle w:val="TOC1"/>
            <w:rPr>
              <w:rFonts w:asciiTheme="minorHAnsi" w:eastAsiaTheme="minorEastAsia" w:hAnsiTheme="minorHAnsi" w:cstheme="minorBidi"/>
              <w:b w:val="0"/>
              <w:noProof/>
              <w:lang w:eastAsia="en-AU"/>
            </w:rPr>
          </w:pPr>
          <w:hyperlink w:anchor="_Toc190869115" w:history="1">
            <w:r w:rsidR="00641C5A" w:rsidRPr="00E12BD7">
              <w:rPr>
                <w:rStyle w:val="Hyperlink"/>
                <w:noProof/>
                <w:lang w:eastAsia="en-AU"/>
              </w:rPr>
              <w:t>3. Seeking approval</w:t>
            </w:r>
            <w:r w:rsidR="00641C5A">
              <w:rPr>
                <w:noProof/>
                <w:webHidden/>
              </w:rPr>
              <w:tab/>
            </w:r>
            <w:r w:rsidR="00641C5A">
              <w:rPr>
                <w:noProof/>
                <w:webHidden/>
              </w:rPr>
              <w:fldChar w:fldCharType="begin"/>
            </w:r>
            <w:r w:rsidR="00641C5A">
              <w:rPr>
                <w:noProof/>
                <w:webHidden/>
              </w:rPr>
              <w:instrText xml:space="preserve"> PAGEREF _Toc190869115 \h </w:instrText>
            </w:r>
            <w:r w:rsidR="00641C5A">
              <w:rPr>
                <w:noProof/>
                <w:webHidden/>
              </w:rPr>
            </w:r>
            <w:r w:rsidR="00641C5A">
              <w:rPr>
                <w:noProof/>
                <w:webHidden/>
              </w:rPr>
              <w:fldChar w:fldCharType="separate"/>
            </w:r>
            <w:r w:rsidR="00641C5A">
              <w:rPr>
                <w:noProof/>
                <w:webHidden/>
              </w:rPr>
              <w:t>8</w:t>
            </w:r>
            <w:r w:rsidR="00641C5A">
              <w:rPr>
                <w:noProof/>
                <w:webHidden/>
              </w:rPr>
              <w:fldChar w:fldCharType="end"/>
            </w:r>
          </w:hyperlink>
        </w:p>
        <w:p w14:paraId="4F9C0655" w14:textId="05712425" w:rsidR="00641C5A" w:rsidRDefault="00000000">
          <w:pPr>
            <w:pStyle w:val="TOC2"/>
            <w:rPr>
              <w:rFonts w:asciiTheme="minorHAnsi" w:eastAsiaTheme="minorEastAsia" w:hAnsiTheme="minorHAnsi" w:cstheme="minorBidi"/>
              <w:noProof/>
              <w:lang w:eastAsia="en-AU"/>
            </w:rPr>
          </w:pPr>
          <w:hyperlink w:anchor="_Toc190869116" w:history="1">
            <w:r w:rsidR="00641C5A" w:rsidRPr="00E12BD7">
              <w:rPr>
                <w:rStyle w:val="Hyperlink"/>
                <w:noProof/>
                <w:lang w:eastAsia="en-AU"/>
              </w:rPr>
              <w:t>3.1. Application</w:t>
            </w:r>
            <w:r w:rsidR="00641C5A">
              <w:rPr>
                <w:noProof/>
                <w:webHidden/>
              </w:rPr>
              <w:tab/>
            </w:r>
            <w:r w:rsidR="00641C5A">
              <w:rPr>
                <w:noProof/>
                <w:webHidden/>
              </w:rPr>
              <w:fldChar w:fldCharType="begin"/>
            </w:r>
            <w:r w:rsidR="00641C5A">
              <w:rPr>
                <w:noProof/>
                <w:webHidden/>
              </w:rPr>
              <w:instrText xml:space="preserve"> PAGEREF _Toc190869116 \h </w:instrText>
            </w:r>
            <w:r w:rsidR="00641C5A">
              <w:rPr>
                <w:noProof/>
                <w:webHidden/>
              </w:rPr>
            </w:r>
            <w:r w:rsidR="00641C5A">
              <w:rPr>
                <w:noProof/>
                <w:webHidden/>
              </w:rPr>
              <w:fldChar w:fldCharType="separate"/>
            </w:r>
            <w:r w:rsidR="00641C5A">
              <w:rPr>
                <w:noProof/>
                <w:webHidden/>
              </w:rPr>
              <w:t>8</w:t>
            </w:r>
            <w:r w:rsidR="00641C5A">
              <w:rPr>
                <w:noProof/>
                <w:webHidden/>
              </w:rPr>
              <w:fldChar w:fldCharType="end"/>
            </w:r>
          </w:hyperlink>
        </w:p>
        <w:p w14:paraId="2FABBFC6" w14:textId="248E5537" w:rsidR="00641C5A" w:rsidRDefault="00000000">
          <w:pPr>
            <w:pStyle w:val="TOC2"/>
            <w:rPr>
              <w:rFonts w:asciiTheme="minorHAnsi" w:eastAsiaTheme="minorEastAsia" w:hAnsiTheme="minorHAnsi" w:cstheme="minorBidi"/>
              <w:noProof/>
              <w:lang w:eastAsia="en-AU"/>
            </w:rPr>
          </w:pPr>
          <w:hyperlink w:anchor="_Toc190869117" w:history="1">
            <w:r w:rsidR="00641C5A" w:rsidRPr="00E12BD7">
              <w:rPr>
                <w:rStyle w:val="Hyperlink"/>
                <w:noProof/>
                <w:lang w:eastAsia="en-AU"/>
              </w:rPr>
              <w:t>3.2. Required information for consideration</w:t>
            </w:r>
            <w:r w:rsidR="00641C5A">
              <w:rPr>
                <w:noProof/>
                <w:webHidden/>
              </w:rPr>
              <w:tab/>
            </w:r>
            <w:r w:rsidR="00641C5A">
              <w:rPr>
                <w:noProof/>
                <w:webHidden/>
              </w:rPr>
              <w:fldChar w:fldCharType="begin"/>
            </w:r>
            <w:r w:rsidR="00641C5A">
              <w:rPr>
                <w:noProof/>
                <w:webHidden/>
              </w:rPr>
              <w:instrText xml:space="preserve"> PAGEREF _Toc190869117 \h </w:instrText>
            </w:r>
            <w:r w:rsidR="00641C5A">
              <w:rPr>
                <w:noProof/>
                <w:webHidden/>
              </w:rPr>
            </w:r>
            <w:r w:rsidR="00641C5A">
              <w:rPr>
                <w:noProof/>
                <w:webHidden/>
              </w:rPr>
              <w:fldChar w:fldCharType="separate"/>
            </w:r>
            <w:r w:rsidR="00641C5A">
              <w:rPr>
                <w:noProof/>
                <w:webHidden/>
              </w:rPr>
              <w:t>8</w:t>
            </w:r>
            <w:r w:rsidR="00641C5A">
              <w:rPr>
                <w:noProof/>
                <w:webHidden/>
              </w:rPr>
              <w:fldChar w:fldCharType="end"/>
            </w:r>
          </w:hyperlink>
        </w:p>
        <w:p w14:paraId="6AE8E10C" w14:textId="0F832BFC" w:rsidR="00641C5A" w:rsidRDefault="00000000">
          <w:pPr>
            <w:pStyle w:val="TOC2"/>
            <w:rPr>
              <w:rFonts w:asciiTheme="minorHAnsi" w:eastAsiaTheme="minorEastAsia" w:hAnsiTheme="minorHAnsi" w:cstheme="minorBidi"/>
              <w:noProof/>
              <w:lang w:eastAsia="en-AU"/>
            </w:rPr>
          </w:pPr>
          <w:hyperlink w:anchor="_Toc190869118" w:history="1">
            <w:r w:rsidR="00641C5A" w:rsidRPr="00E12BD7">
              <w:rPr>
                <w:rStyle w:val="Hyperlink"/>
                <w:noProof/>
                <w:lang w:eastAsia="en-AU"/>
              </w:rPr>
              <w:t>3.3. True and correct information</w:t>
            </w:r>
            <w:r w:rsidR="00641C5A">
              <w:rPr>
                <w:noProof/>
                <w:webHidden/>
              </w:rPr>
              <w:tab/>
            </w:r>
            <w:r w:rsidR="00641C5A">
              <w:rPr>
                <w:noProof/>
                <w:webHidden/>
              </w:rPr>
              <w:fldChar w:fldCharType="begin"/>
            </w:r>
            <w:r w:rsidR="00641C5A">
              <w:rPr>
                <w:noProof/>
                <w:webHidden/>
              </w:rPr>
              <w:instrText xml:space="preserve"> PAGEREF _Toc190869118 \h </w:instrText>
            </w:r>
            <w:r w:rsidR="00641C5A">
              <w:rPr>
                <w:noProof/>
                <w:webHidden/>
              </w:rPr>
            </w:r>
            <w:r w:rsidR="00641C5A">
              <w:rPr>
                <w:noProof/>
                <w:webHidden/>
              </w:rPr>
              <w:fldChar w:fldCharType="separate"/>
            </w:r>
            <w:r w:rsidR="00641C5A">
              <w:rPr>
                <w:noProof/>
                <w:webHidden/>
              </w:rPr>
              <w:t>12</w:t>
            </w:r>
            <w:r w:rsidR="00641C5A">
              <w:rPr>
                <w:noProof/>
                <w:webHidden/>
              </w:rPr>
              <w:fldChar w:fldCharType="end"/>
            </w:r>
          </w:hyperlink>
        </w:p>
        <w:p w14:paraId="030E8C90" w14:textId="3872DFB9" w:rsidR="00641C5A" w:rsidRDefault="00000000">
          <w:pPr>
            <w:pStyle w:val="TOC1"/>
            <w:rPr>
              <w:rFonts w:asciiTheme="minorHAnsi" w:eastAsiaTheme="minorEastAsia" w:hAnsiTheme="minorHAnsi" w:cstheme="minorBidi"/>
              <w:b w:val="0"/>
              <w:noProof/>
              <w:lang w:eastAsia="en-AU"/>
            </w:rPr>
          </w:pPr>
          <w:hyperlink w:anchor="_Toc190869119" w:history="1">
            <w:r w:rsidR="00641C5A" w:rsidRPr="00E12BD7">
              <w:rPr>
                <w:rStyle w:val="Hyperlink"/>
                <w:noProof/>
                <w:lang w:eastAsia="en-AU"/>
              </w:rPr>
              <w:t>4. Appraisal production infrastructure: decommissioning and the decommissioning security</w:t>
            </w:r>
            <w:r w:rsidR="00641C5A">
              <w:rPr>
                <w:noProof/>
                <w:webHidden/>
              </w:rPr>
              <w:tab/>
            </w:r>
            <w:r w:rsidR="00641C5A">
              <w:rPr>
                <w:noProof/>
                <w:webHidden/>
              </w:rPr>
              <w:fldChar w:fldCharType="begin"/>
            </w:r>
            <w:r w:rsidR="00641C5A">
              <w:rPr>
                <w:noProof/>
                <w:webHidden/>
              </w:rPr>
              <w:instrText xml:space="preserve"> PAGEREF _Toc190869119 \h </w:instrText>
            </w:r>
            <w:r w:rsidR="00641C5A">
              <w:rPr>
                <w:noProof/>
                <w:webHidden/>
              </w:rPr>
            </w:r>
            <w:r w:rsidR="00641C5A">
              <w:rPr>
                <w:noProof/>
                <w:webHidden/>
              </w:rPr>
              <w:fldChar w:fldCharType="separate"/>
            </w:r>
            <w:r w:rsidR="00641C5A">
              <w:rPr>
                <w:noProof/>
                <w:webHidden/>
              </w:rPr>
              <w:t>13</w:t>
            </w:r>
            <w:r w:rsidR="00641C5A">
              <w:rPr>
                <w:noProof/>
                <w:webHidden/>
              </w:rPr>
              <w:fldChar w:fldCharType="end"/>
            </w:r>
          </w:hyperlink>
        </w:p>
        <w:p w14:paraId="603325E2" w14:textId="177313B3" w:rsidR="00641C5A" w:rsidRDefault="00000000">
          <w:pPr>
            <w:pStyle w:val="TOC2"/>
            <w:rPr>
              <w:rFonts w:asciiTheme="minorHAnsi" w:eastAsiaTheme="minorEastAsia" w:hAnsiTheme="minorHAnsi" w:cstheme="minorBidi"/>
              <w:noProof/>
              <w:lang w:eastAsia="en-AU"/>
            </w:rPr>
          </w:pPr>
          <w:hyperlink w:anchor="_Toc190869120" w:history="1">
            <w:r w:rsidR="00641C5A" w:rsidRPr="00E12BD7">
              <w:rPr>
                <w:rStyle w:val="Hyperlink"/>
                <w:noProof/>
                <w:lang w:eastAsia="en-AU"/>
              </w:rPr>
              <w:t>4.1. Decommissioning</w:t>
            </w:r>
            <w:r w:rsidR="00641C5A">
              <w:rPr>
                <w:noProof/>
                <w:webHidden/>
              </w:rPr>
              <w:tab/>
            </w:r>
            <w:r w:rsidR="00641C5A">
              <w:rPr>
                <w:noProof/>
                <w:webHidden/>
              </w:rPr>
              <w:fldChar w:fldCharType="begin"/>
            </w:r>
            <w:r w:rsidR="00641C5A">
              <w:rPr>
                <w:noProof/>
                <w:webHidden/>
              </w:rPr>
              <w:instrText xml:space="preserve"> PAGEREF _Toc190869120 \h </w:instrText>
            </w:r>
            <w:r w:rsidR="00641C5A">
              <w:rPr>
                <w:noProof/>
                <w:webHidden/>
              </w:rPr>
            </w:r>
            <w:r w:rsidR="00641C5A">
              <w:rPr>
                <w:noProof/>
                <w:webHidden/>
              </w:rPr>
              <w:fldChar w:fldCharType="separate"/>
            </w:r>
            <w:r w:rsidR="00641C5A">
              <w:rPr>
                <w:noProof/>
                <w:webHidden/>
              </w:rPr>
              <w:t>13</w:t>
            </w:r>
            <w:r w:rsidR="00641C5A">
              <w:rPr>
                <w:noProof/>
                <w:webHidden/>
              </w:rPr>
              <w:fldChar w:fldCharType="end"/>
            </w:r>
          </w:hyperlink>
        </w:p>
        <w:p w14:paraId="25414A70" w14:textId="5D7294C7" w:rsidR="00641C5A" w:rsidRDefault="00000000">
          <w:pPr>
            <w:pStyle w:val="TOC2"/>
            <w:rPr>
              <w:rFonts w:asciiTheme="minorHAnsi" w:eastAsiaTheme="minorEastAsia" w:hAnsiTheme="minorHAnsi" w:cstheme="minorBidi"/>
              <w:noProof/>
              <w:lang w:eastAsia="en-AU"/>
            </w:rPr>
          </w:pPr>
          <w:hyperlink w:anchor="_Toc190869121" w:history="1">
            <w:r w:rsidR="00641C5A" w:rsidRPr="00E12BD7">
              <w:rPr>
                <w:rStyle w:val="Hyperlink"/>
                <w:noProof/>
                <w:lang w:eastAsia="en-AU"/>
              </w:rPr>
              <w:t>4.2. Requirement for security</w:t>
            </w:r>
            <w:r w:rsidR="00641C5A">
              <w:rPr>
                <w:noProof/>
                <w:webHidden/>
              </w:rPr>
              <w:tab/>
            </w:r>
            <w:r w:rsidR="00641C5A">
              <w:rPr>
                <w:noProof/>
                <w:webHidden/>
              </w:rPr>
              <w:fldChar w:fldCharType="begin"/>
            </w:r>
            <w:r w:rsidR="00641C5A">
              <w:rPr>
                <w:noProof/>
                <w:webHidden/>
              </w:rPr>
              <w:instrText xml:space="preserve"> PAGEREF _Toc190869121 \h </w:instrText>
            </w:r>
            <w:r w:rsidR="00641C5A">
              <w:rPr>
                <w:noProof/>
                <w:webHidden/>
              </w:rPr>
            </w:r>
            <w:r w:rsidR="00641C5A">
              <w:rPr>
                <w:noProof/>
                <w:webHidden/>
              </w:rPr>
              <w:fldChar w:fldCharType="separate"/>
            </w:r>
            <w:r w:rsidR="00641C5A">
              <w:rPr>
                <w:noProof/>
                <w:webHidden/>
              </w:rPr>
              <w:t>13</w:t>
            </w:r>
            <w:r w:rsidR="00641C5A">
              <w:rPr>
                <w:noProof/>
                <w:webHidden/>
              </w:rPr>
              <w:fldChar w:fldCharType="end"/>
            </w:r>
          </w:hyperlink>
        </w:p>
        <w:p w14:paraId="54D1746A" w14:textId="2996FAF1" w:rsidR="00641C5A" w:rsidRDefault="00000000">
          <w:pPr>
            <w:pStyle w:val="TOC2"/>
            <w:rPr>
              <w:rFonts w:asciiTheme="minorHAnsi" w:eastAsiaTheme="minorEastAsia" w:hAnsiTheme="minorHAnsi" w:cstheme="minorBidi"/>
              <w:noProof/>
              <w:lang w:eastAsia="en-AU"/>
            </w:rPr>
          </w:pPr>
          <w:hyperlink w:anchor="_Toc190869122" w:history="1">
            <w:r w:rsidR="00641C5A" w:rsidRPr="00E12BD7">
              <w:rPr>
                <w:rStyle w:val="Hyperlink"/>
                <w:noProof/>
                <w:lang w:eastAsia="en-AU"/>
              </w:rPr>
              <w:t>4.3. Calculation of security</w:t>
            </w:r>
            <w:r w:rsidR="00641C5A">
              <w:rPr>
                <w:noProof/>
                <w:webHidden/>
              </w:rPr>
              <w:tab/>
            </w:r>
            <w:r w:rsidR="00641C5A">
              <w:rPr>
                <w:noProof/>
                <w:webHidden/>
              </w:rPr>
              <w:fldChar w:fldCharType="begin"/>
            </w:r>
            <w:r w:rsidR="00641C5A">
              <w:rPr>
                <w:noProof/>
                <w:webHidden/>
              </w:rPr>
              <w:instrText xml:space="preserve"> PAGEREF _Toc190869122 \h </w:instrText>
            </w:r>
            <w:r w:rsidR="00641C5A">
              <w:rPr>
                <w:noProof/>
                <w:webHidden/>
              </w:rPr>
            </w:r>
            <w:r w:rsidR="00641C5A">
              <w:rPr>
                <w:noProof/>
                <w:webHidden/>
              </w:rPr>
              <w:fldChar w:fldCharType="separate"/>
            </w:r>
            <w:r w:rsidR="00641C5A">
              <w:rPr>
                <w:noProof/>
                <w:webHidden/>
              </w:rPr>
              <w:t>14</w:t>
            </w:r>
            <w:r w:rsidR="00641C5A">
              <w:rPr>
                <w:noProof/>
                <w:webHidden/>
              </w:rPr>
              <w:fldChar w:fldCharType="end"/>
            </w:r>
          </w:hyperlink>
        </w:p>
        <w:p w14:paraId="026BFC86" w14:textId="253B20BA" w:rsidR="00641C5A" w:rsidRDefault="00000000">
          <w:pPr>
            <w:pStyle w:val="TOC3"/>
            <w:tabs>
              <w:tab w:val="right" w:leader="dot" w:pos="10308"/>
            </w:tabs>
            <w:rPr>
              <w:rFonts w:asciiTheme="minorHAnsi" w:eastAsiaTheme="minorEastAsia" w:hAnsiTheme="minorHAnsi" w:cstheme="minorBidi"/>
              <w:noProof/>
              <w:lang w:eastAsia="en-AU"/>
            </w:rPr>
          </w:pPr>
          <w:hyperlink w:anchor="_Toc190869123" w:history="1">
            <w:r w:rsidR="00641C5A" w:rsidRPr="00E12BD7">
              <w:rPr>
                <w:rStyle w:val="Hyperlink"/>
                <w:noProof/>
                <w:lang w:eastAsia="en-AU"/>
              </w:rPr>
              <w:t>4.3.1. Formula</w:t>
            </w:r>
            <w:r w:rsidR="00641C5A">
              <w:rPr>
                <w:noProof/>
                <w:webHidden/>
              </w:rPr>
              <w:tab/>
            </w:r>
            <w:r w:rsidR="00641C5A">
              <w:rPr>
                <w:noProof/>
                <w:webHidden/>
              </w:rPr>
              <w:fldChar w:fldCharType="begin"/>
            </w:r>
            <w:r w:rsidR="00641C5A">
              <w:rPr>
                <w:noProof/>
                <w:webHidden/>
              </w:rPr>
              <w:instrText xml:space="preserve"> PAGEREF _Toc190869123 \h </w:instrText>
            </w:r>
            <w:r w:rsidR="00641C5A">
              <w:rPr>
                <w:noProof/>
                <w:webHidden/>
              </w:rPr>
            </w:r>
            <w:r w:rsidR="00641C5A">
              <w:rPr>
                <w:noProof/>
                <w:webHidden/>
              </w:rPr>
              <w:fldChar w:fldCharType="separate"/>
            </w:r>
            <w:r w:rsidR="00641C5A">
              <w:rPr>
                <w:noProof/>
                <w:webHidden/>
              </w:rPr>
              <w:t>14</w:t>
            </w:r>
            <w:r w:rsidR="00641C5A">
              <w:rPr>
                <w:noProof/>
                <w:webHidden/>
              </w:rPr>
              <w:fldChar w:fldCharType="end"/>
            </w:r>
          </w:hyperlink>
        </w:p>
        <w:p w14:paraId="03C35762" w14:textId="59D0773D" w:rsidR="00641C5A" w:rsidRDefault="00000000">
          <w:pPr>
            <w:pStyle w:val="TOC3"/>
            <w:tabs>
              <w:tab w:val="right" w:leader="dot" w:pos="10308"/>
            </w:tabs>
            <w:rPr>
              <w:rFonts w:asciiTheme="minorHAnsi" w:eastAsiaTheme="minorEastAsia" w:hAnsiTheme="minorHAnsi" w:cstheme="minorBidi"/>
              <w:noProof/>
              <w:lang w:eastAsia="en-AU"/>
            </w:rPr>
          </w:pPr>
          <w:hyperlink w:anchor="_Toc190869124" w:history="1">
            <w:r w:rsidR="00641C5A" w:rsidRPr="00E12BD7">
              <w:rPr>
                <w:rStyle w:val="Hyperlink"/>
                <w:noProof/>
                <w:lang w:eastAsia="en-AU"/>
              </w:rPr>
              <w:t>4.3.2. Estimated decommissioning cost</w:t>
            </w:r>
            <w:r w:rsidR="00641C5A">
              <w:rPr>
                <w:noProof/>
                <w:webHidden/>
              </w:rPr>
              <w:tab/>
            </w:r>
            <w:r w:rsidR="00641C5A">
              <w:rPr>
                <w:noProof/>
                <w:webHidden/>
              </w:rPr>
              <w:fldChar w:fldCharType="begin"/>
            </w:r>
            <w:r w:rsidR="00641C5A">
              <w:rPr>
                <w:noProof/>
                <w:webHidden/>
              </w:rPr>
              <w:instrText xml:space="preserve"> PAGEREF _Toc190869124 \h </w:instrText>
            </w:r>
            <w:r w:rsidR="00641C5A">
              <w:rPr>
                <w:noProof/>
                <w:webHidden/>
              </w:rPr>
            </w:r>
            <w:r w:rsidR="00641C5A">
              <w:rPr>
                <w:noProof/>
                <w:webHidden/>
              </w:rPr>
              <w:fldChar w:fldCharType="separate"/>
            </w:r>
            <w:r w:rsidR="00641C5A">
              <w:rPr>
                <w:noProof/>
                <w:webHidden/>
              </w:rPr>
              <w:t>14</w:t>
            </w:r>
            <w:r w:rsidR="00641C5A">
              <w:rPr>
                <w:noProof/>
                <w:webHidden/>
              </w:rPr>
              <w:fldChar w:fldCharType="end"/>
            </w:r>
          </w:hyperlink>
        </w:p>
        <w:p w14:paraId="77FBEEA4" w14:textId="1A169C5C" w:rsidR="00641C5A" w:rsidRDefault="00000000">
          <w:pPr>
            <w:pStyle w:val="TOC2"/>
            <w:rPr>
              <w:rFonts w:asciiTheme="minorHAnsi" w:eastAsiaTheme="minorEastAsia" w:hAnsiTheme="minorHAnsi" w:cstheme="minorBidi"/>
              <w:noProof/>
              <w:lang w:eastAsia="en-AU"/>
            </w:rPr>
          </w:pPr>
          <w:hyperlink w:anchor="_Toc190869125" w:history="1">
            <w:r w:rsidR="00641C5A" w:rsidRPr="00E12BD7">
              <w:rPr>
                <w:rStyle w:val="Hyperlink"/>
                <w:noProof/>
                <w:lang w:eastAsia="en-AU"/>
              </w:rPr>
              <w:t>4.4. Payment of security</w:t>
            </w:r>
            <w:r w:rsidR="00641C5A">
              <w:rPr>
                <w:noProof/>
                <w:webHidden/>
              </w:rPr>
              <w:tab/>
            </w:r>
            <w:r w:rsidR="00641C5A">
              <w:rPr>
                <w:noProof/>
                <w:webHidden/>
              </w:rPr>
              <w:fldChar w:fldCharType="begin"/>
            </w:r>
            <w:r w:rsidR="00641C5A">
              <w:rPr>
                <w:noProof/>
                <w:webHidden/>
              </w:rPr>
              <w:instrText xml:space="preserve"> PAGEREF _Toc190869125 \h </w:instrText>
            </w:r>
            <w:r w:rsidR="00641C5A">
              <w:rPr>
                <w:noProof/>
                <w:webHidden/>
              </w:rPr>
            </w:r>
            <w:r w:rsidR="00641C5A">
              <w:rPr>
                <w:noProof/>
                <w:webHidden/>
              </w:rPr>
              <w:fldChar w:fldCharType="separate"/>
            </w:r>
            <w:r w:rsidR="00641C5A">
              <w:rPr>
                <w:noProof/>
                <w:webHidden/>
              </w:rPr>
              <w:t>15</w:t>
            </w:r>
            <w:r w:rsidR="00641C5A">
              <w:rPr>
                <w:noProof/>
                <w:webHidden/>
              </w:rPr>
              <w:fldChar w:fldCharType="end"/>
            </w:r>
          </w:hyperlink>
        </w:p>
        <w:p w14:paraId="16FF0893" w14:textId="520550F0" w:rsidR="00641C5A" w:rsidRDefault="00000000">
          <w:pPr>
            <w:pStyle w:val="TOC2"/>
            <w:rPr>
              <w:rFonts w:asciiTheme="minorHAnsi" w:eastAsiaTheme="minorEastAsia" w:hAnsiTheme="minorHAnsi" w:cstheme="minorBidi"/>
              <w:noProof/>
              <w:lang w:eastAsia="en-AU"/>
            </w:rPr>
          </w:pPr>
          <w:hyperlink w:anchor="_Toc190869126" w:history="1">
            <w:r w:rsidR="00641C5A" w:rsidRPr="00E12BD7">
              <w:rPr>
                <w:rStyle w:val="Hyperlink"/>
                <w:noProof/>
                <w:lang w:eastAsia="en-AU"/>
              </w:rPr>
              <w:t>4.5. Release of security</w:t>
            </w:r>
            <w:r w:rsidR="00641C5A">
              <w:rPr>
                <w:noProof/>
                <w:webHidden/>
              </w:rPr>
              <w:tab/>
            </w:r>
            <w:r w:rsidR="00641C5A">
              <w:rPr>
                <w:noProof/>
                <w:webHidden/>
              </w:rPr>
              <w:fldChar w:fldCharType="begin"/>
            </w:r>
            <w:r w:rsidR="00641C5A">
              <w:rPr>
                <w:noProof/>
                <w:webHidden/>
              </w:rPr>
              <w:instrText xml:space="preserve"> PAGEREF _Toc190869126 \h </w:instrText>
            </w:r>
            <w:r w:rsidR="00641C5A">
              <w:rPr>
                <w:noProof/>
                <w:webHidden/>
              </w:rPr>
            </w:r>
            <w:r w:rsidR="00641C5A">
              <w:rPr>
                <w:noProof/>
                <w:webHidden/>
              </w:rPr>
              <w:fldChar w:fldCharType="separate"/>
            </w:r>
            <w:r w:rsidR="00641C5A">
              <w:rPr>
                <w:noProof/>
                <w:webHidden/>
              </w:rPr>
              <w:t>15</w:t>
            </w:r>
            <w:r w:rsidR="00641C5A">
              <w:rPr>
                <w:noProof/>
                <w:webHidden/>
              </w:rPr>
              <w:fldChar w:fldCharType="end"/>
            </w:r>
          </w:hyperlink>
        </w:p>
        <w:p w14:paraId="50F8B576" w14:textId="167BF84D" w:rsidR="00641C5A" w:rsidRDefault="00000000">
          <w:pPr>
            <w:pStyle w:val="TOC1"/>
            <w:rPr>
              <w:rFonts w:asciiTheme="minorHAnsi" w:eastAsiaTheme="minorEastAsia" w:hAnsiTheme="minorHAnsi" w:cstheme="minorBidi"/>
              <w:b w:val="0"/>
              <w:noProof/>
              <w:lang w:eastAsia="en-AU"/>
            </w:rPr>
          </w:pPr>
          <w:hyperlink w:anchor="_Toc190869127" w:history="1">
            <w:r w:rsidR="00641C5A" w:rsidRPr="00E12BD7">
              <w:rPr>
                <w:rStyle w:val="Hyperlink"/>
                <w:noProof/>
                <w:lang w:eastAsia="en-AU"/>
              </w:rPr>
              <w:t>5. Assessment of the application</w:t>
            </w:r>
            <w:r w:rsidR="00641C5A">
              <w:rPr>
                <w:noProof/>
                <w:webHidden/>
              </w:rPr>
              <w:tab/>
            </w:r>
            <w:r w:rsidR="00641C5A">
              <w:rPr>
                <w:noProof/>
                <w:webHidden/>
              </w:rPr>
              <w:fldChar w:fldCharType="begin"/>
            </w:r>
            <w:r w:rsidR="00641C5A">
              <w:rPr>
                <w:noProof/>
                <w:webHidden/>
              </w:rPr>
              <w:instrText xml:space="preserve"> PAGEREF _Toc190869127 \h </w:instrText>
            </w:r>
            <w:r w:rsidR="00641C5A">
              <w:rPr>
                <w:noProof/>
                <w:webHidden/>
              </w:rPr>
            </w:r>
            <w:r w:rsidR="00641C5A">
              <w:rPr>
                <w:noProof/>
                <w:webHidden/>
              </w:rPr>
              <w:fldChar w:fldCharType="separate"/>
            </w:r>
            <w:r w:rsidR="00641C5A">
              <w:rPr>
                <w:noProof/>
                <w:webHidden/>
              </w:rPr>
              <w:t>16</w:t>
            </w:r>
            <w:r w:rsidR="00641C5A">
              <w:rPr>
                <w:noProof/>
                <w:webHidden/>
              </w:rPr>
              <w:fldChar w:fldCharType="end"/>
            </w:r>
          </w:hyperlink>
        </w:p>
        <w:p w14:paraId="70564356" w14:textId="3DF48470" w:rsidR="00641C5A" w:rsidRDefault="00000000">
          <w:pPr>
            <w:pStyle w:val="TOC2"/>
            <w:rPr>
              <w:rFonts w:asciiTheme="minorHAnsi" w:eastAsiaTheme="minorEastAsia" w:hAnsiTheme="minorHAnsi" w:cstheme="minorBidi"/>
              <w:noProof/>
              <w:lang w:eastAsia="en-AU"/>
            </w:rPr>
          </w:pPr>
          <w:hyperlink w:anchor="_Toc190869128" w:history="1">
            <w:r w:rsidR="00641C5A" w:rsidRPr="00E12BD7">
              <w:rPr>
                <w:rStyle w:val="Hyperlink"/>
                <w:noProof/>
                <w:lang w:eastAsia="en-AU"/>
              </w:rPr>
              <w:t>5.1. Matters for consideration</w:t>
            </w:r>
            <w:r w:rsidR="00641C5A">
              <w:rPr>
                <w:noProof/>
                <w:webHidden/>
              </w:rPr>
              <w:tab/>
            </w:r>
            <w:r w:rsidR="00641C5A">
              <w:rPr>
                <w:noProof/>
                <w:webHidden/>
              </w:rPr>
              <w:fldChar w:fldCharType="begin"/>
            </w:r>
            <w:r w:rsidR="00641C5A">
              <w:rPr>
                <w:noProof/>
                <w:webHidden/>
              </w:rPr>
              <w:instrText xml:space="preserve"> PAGEREF _Toc190869128 \h </w:instrText>
            </w:r>
            <w:r w:rsidR="00641C5A">
              <w:rPr>
                <w:noProof/>
                <w:webHidden/>
              </w:rPr>
            </w:r>
            <w:r w:rsidR="00641C5A">
              <w:rPr>
                <w:noProof/>
                <w:webHidden/>
              </w:rPr>
              <w:fldChar w:fldCharType="separate"/>
            </w:r>
            <w:r w:rsidR="00641C5A">
              <w:rPr>
                <w:noProof/>
                <w:webHidden/>
              </w:rPr>
              <w:t>16</w:t>
            </w:r>
            <w:r w:rsidR="00641C5A">
              <w:rPr>
                <w:noProof/>
                <w:webHidden/>
              </w:rPr>
              <w:fldChar w:fldCharType="end"/>
            </w:r>
          </w:hyperlink>
        </w:p>
        <w:p w14:paraId="3862216B" w14:textId="1A2B0D14" w:rsidR="00641C5A" w:rsidRDefault="00000000">
          <w:pPr>
            <w:pStyle w:val="TOC2"/>
            <w:rPr>
              <w:rFonts w:asciiTheme="minorHAnsi" w:eastAsiaTheme="minorEastAsia" w:hAnsiTheme="minorHAnsi" w:cstheme="minorBidi"/>
              <w:noProof/>
              <w:lang w:eastAsia="en-AU"/>
            </w:rPr>
          </w:pPr>
          <w:hyperlink w:anchor="_Toc190869129" w:history="1">
            <w:r w:rsidR="00641C5A" w:rsidRPr="00E12BD7">
              <w:rPr>
                <w:rStyle w:val="Hyperlink"/>
                <w:noProof/>
                <w:lang w:eastAsia="en-AU"/>
              </w:rPr>
              <w:t>5.2. Potential conditions</w:t>
            </w:r>
            <w:r w:rsidR="00641C5A">
              <w:rPr>
                <w:noProof/>
                <w:webHidden/>
              </w:rPr>
              <w:tab/>
            </w:r>
            <w:r w:rsidR="00641C5A">
              <w:rPr>
                <w:noProof/>
                <w:webHidden/>
              </w:rPr>
              <w:fldChar w:fldCharType="begin"/>
            </w:r>
            <w:r w:rsidR="00641C5A">
              <w:rPr>
                <w:noProof/>
                <w:webHidden/>
              </w:rPr>
              <w:instrText xml:space="preserve"> PAGEREF _Toc190869129 \h </w:instrText>
            </w:r>
            <w:r w:rsidR="00641C5A">
              <w:rPr>
                <w:noProof/>
                <w:webHidden/>
              </w:rPr>
            </w:r>
            <w:r w:rsidR="00641C5A">
              <w:rPr>
                <w:noProof/>
                <w:webHidden/>
              </w:rPr>
              <w:fldChar w:fldCharType="separate"/>
            </w:r>
            <w:r w:rsidR="00641C5A">
              <w:rPr>
                <w:noProof/>
                <w:webHidden/>
              </w:rPr>
              <w:t>16</w:t>
            </w:r>
            <w:r w:rsidR="00641C5A">
              <w:rPr>
                <w:noProof/>
                <w:webHidden/>
              </w:rPr>
              <w:fldChar w:fldCharType="end"/>
            </w:r>
          </w:hyperlink>
        </w:p>
        <w:p w14:paraId="27A8E45C" w14:textId="65384BBF" w:rsidR="00641C5A" w:rsidRDefault="00000000">
          <w:pPr>
            <w:pStyle w:val="TOC2"/>
            <w:rPr>
              <w:rFonts w:asciiTheme="minorHAnsi" w:eastAsiaTheme="minorEastAsia" w:hAnsiTheme="minorHAnsi" w:cstheme="minorBidi"/>
              <w:noProof/>
              <w:lang w:eastAsia="en-AU"/>
            </w:rPr>
          </w:pPr>
          <w:hyperlink w:anchor="_Toc190869130" w:history="1">
            <w:r w:rsidR="00641C5A" w:rsidRPr="00E12BD7">
              <w:rPr>
                <w:rStyle w:val="Hyperlink"/>
                <w:noProof/>
                <w:lang w:eastAsia="en-AU"/>
              </w:rPr>
              <w:t>5.3. Decision-making</w:t>
            </w:r>
            <w:r w:rsidR="00641C5A">
              <w:rPr>
                <w:noProof/>
                <w:webHidden/>
              </w:rPr>
              <w:tab/>
            </w:r>
            <w:r w:rsidR="00641C5A">
              <w:rPr>
                <w:noProof/>
                <w:webHidden/>
              </w:rPr>
              <w:fldChar w:fldCharType="begin"/>
            </w:r>
            <w:r w:rsidR="00641C5A">
              <w:rPr>
                <w:noProof/>
                <w:webHidden/>
              </w:rPr>
              <w:instrText xml:space="preserve"> PAGEREF _Toc190869130 \h </w:instrText>
            </w:r>
            <w:r w:rsidR="00641C5A">
              <w:rPr>
                <w:noProof/>
                <w:webHidden/>
              </w:rPr>
            </w:r>
            <w:r w:rsidR="00641C5A">
              <w:rPr>
                <w:noProof/>
                <w:webHidden/>
              </w:rPr>
              <w:fldChar w:fldCharType="separate"/>
            </w:r>
            <w:r w:rsidR="00641C5A">
              <w:rPr>
                <w:noProof/>
                <w:webHidden/>
              </w:rPr>
              <w:t>17</w:t>
            </w:r>
            <w:r w:rsidR="00641C5A">
              <w:rPr>
                <w:noProof/>
                <w:webHidden/>
              </w:rPr>
              <w:fldChar w:fldCharType="end"/>
            </w:r>
          </w:hyperlink>
        </w:p>
        <w:p w14:paraId="154D52C6" w14:textId="52F0F56C" w:rsidR="00641C5A" w:rsidRDefault="00000000">
          <w:pPr>
            <w:pStyle w:val="TOC2"/>
            <w:rPr>
              <w:rFonts w:asciiTheme="minorHAnsi" w:eastAsiaTheme="minorEastAsia" w:hAnsiTheme="minorHAnsi" w:cstheme="minorBidi"/>
              <w:noProof/>
              <w:lang w:eastAsia="en-AU"/>
            </w:rPr>
          </w:pPr>
          <w:hyperlink w:anchor="_Toc190869131" w:history="1">
            <w:r w:rsidR="00641C5A" w:rsidRPr="00E12BD7">
              <w:rPr>
                <w:rStyle w:val="Hyperlink"/>
                <w:noProof/>
                <w:lang w:eastAsia="en-AU"/>
              </w:rPr>
              <w:t>5.4. Non-compliance with conditions of approval</w:t>
            </w:r>
            <w:r w:rsidR="00641C5A">
              <w:rPr>
                <w:noProof/>
                <w:webHidden/>
              </w:rPr>
              <w:tab/>
            </w:r>
            <w:r w:rsidR="00641C5A">
              <w:rPr>
                <w:noProof/>
                <w:webHidden/>
              </w:rPr>
              <w:fldChar w:fldCharType="begin"/>
            </w:r>
            <w:r w:rsidR="00641C5A">
              <w:rPr>
                <w:noProof/>
                <w:webHidden/>
              </w:rPr>
              <w:instrText xml:space="preserve"> PAGEREF _Toc190869131 \h </w:instrText>
            </w:r>
            <w:r w:rsidR="00641C5A">
              <w:rPr>
                <w:noProof/>
                <w:webHidden/>
              </w:rPr>
            </w:r>
            <w:r w:rsidR="00641C5A">
              <w:rPr>
                <w:noProof/>
                <w:webHidden/>
              </w:rPr>
              <w:fldChar w:fldCharType="separate"/>
            </w:r>
            <w:r w:rsidR="00641C5A">
              <w:rPr>
                <w:noProof/>
                <w:webHidden/>
              </w:rPr>
              <w:t>17</w:t>
            </w:r>
            <w:r w:rsidR="00641C5A">
              <w:rPr>
                <w:noProof/>
                <w:webHidden/>
              </w:rPr>
              <w:fldChar w:fldCharType="end"/>
            </w:r>
          </w:hyperlink>
        </w:p>
        <w:p w14:paraId="526D35FE" w14:textId="7913E009" w:rsidR="00641C5A" w:rsidRDefault="00000000">
          <w:pPr>
            <w:pStyle w:val="TOC1"/>
            <w:rPr>
              <w:rFonts w:asciiTheme="minorHAnsi" w:eastAsiaTheme="minorEastAsia" w:hAnsiTheme="minorHAnsi" w:cstheme="minorBidi"/>
              <w:b w:val="0"/>
              <w:noProof/>
              <w:lang w:eastAsia="en-AU"/>
            </w:rPr>
          </w:pPr>
          <w:hyperlink w:anchor="_Toc190869132" w:history="1">
            <w:r w:rsidR="00641C5A" w:rsidRPr="00E12BD7">
              <w:rPr>
                <w:rStyle w:val="Hyperlink"/>
                <w:noProof/>
                <w:lang w:eastAsia="en-AU"/>
              </w:rPr>
              <w:t>6. Other approvals and obligations under the Act</w:t>
            </w:r>
            <w:r w:rsidR="00641C5A">
              <w:rPr>
                <w:noProof/>
                <w:webHidden/>
              </w:rPr>
              <w:tab/>
            </w:r>
            <w:r w:rsidR="00641C5A">
              <w:rPr>
                <w:noProof/>
                <w:webHidden/>
              </w:rPr>
              <w:fldChar w:fldCharType="begin"/>
            </w:r>
            <w:r w:rsidR="00641C5A">
              <w:rPr>
                <w:noProof/>
                <w:webHidden/>
              </w:rPr>
              <w:instrText xml:space="preserve"> PAGEREF _Toc190869132 \h </w:instrText>
            </w:r>
            <w:r w:rsidR="00641C5A">
              <w:rPr>
                <w:noProof/>
                <w:webHidden/>
              </w:rPr>
            </w:r>
            <w:r w:rsidR="00641C5A">
              <w:rPr>
                <w:noProof/>
                <w:webHidden/>
              </w:rPr>
              <w:fldChar w:fldCharType="separate"/>
            </w:r>
            <w:r w:rsidR="00641C5A">
              <w:rPr>
                <w:noProof/>
                <w:webHidden/>
              </w:rPr>
              <w:t>17</w:t>
            </w:r>
            <w:r w:rsidR="00641C5A">
              <w:rPr>
                <w:noProof/>
                <w:webHidden/>
              </w:rPr>
              <w:fldChar w:fldCharType="end"/>
            </w:r>
          </w:hyperlink>
        </w:p>
        <w:p w14:paraId="42BD36BA" w14:textId="769CAE84" w:rsidR="00641C5A" w:rsidRDefault="00000000">
          <w:pPr>
            <w:pStyle w:val="TOC2"/>
            <w:rPr>
              <w:rFonts w:asciiTheme="minorHAnsi" w:eastAsiaTheme="minorEastAsia" w:hAnsiTheme="minorHAnsi" w:cstheme="minorBidi"/>
              <w:noProof/>
              <w:lang w:eastAsia="en-AU"/>
            </w:rPr>
          </w:pPr>
          <w:hyperlink w:anchor="_Toc190869133" w:history="1">
            <w:r w:rsidR="00641C5A" w:rsidRPr="00E12BD7">
              <w:rPr>
                <w:rStyle w:val="Hyperlink"/>
                <w:noProof/>
                <w:lang w:eastAsia="en-AU"/>
              </w:rPr>
              <w:t xml:space="preserve">6.1. Interaction with other approvals under the </w:t>
            </w:r>
            <w:r w:rsidR="00641C5A" w:rsidRPr="00E12BD7">
              <w:rPr>
                <w:rStyle w:val="Hyperlink"/>
                <w:i/>
                <w:noProof/>
                <w:lang w:eastAsia="en-AU"/>
              </w:rPr>
              <w:t>Petroleum Act 1984</w:t>
            </w:r>
            <w:r w:rsidR="00641C5A">
              <w:rPr>
                <w:noProof/>
                <w:webHidden/>
              </w:rPr>
              <w:tab/>
            </w:r>
            <w:r w:rsidR="00641C5A">
              <w:rPr>
                <w:noProof/>
                <w:webHidden/>
              </w:rPr>
              <w:fldChar w:fldCharType="begin"/>
            </w:r>
            <w:r w:rsidR="00641C5A">
              <w:rPr>
                <w:noProof/>
                <w:webHidden/>
              </w:rPr>
              <w:instrText xml:space="preserve"> PAGEREF _Toc190869133 \h </w:instrText>
            </w:r>
            <w:r w:rsidR="00641C5A">
              <w:rPr>
                <w:noProof/>
                <w:webHidden/>
              </w:rPr>
            </w:r>
            <w:r w:rsidR="00641C5A">
              <w:rPr>
                <w:noProof/>
                <w:webHidden/>
              </w:rPr>
              <w:fldChar w:fldCharType="separate"/>
            </w:r>
            <w:r w:rsidR="00641C5A">
              <w:rPr>
                <w:noProof/>
                <w:webHidden/>
              </w:rPr>
              <w:t>17</w:t>
            </w:r>
            <w:r w:rsidR="00641C5A">
              <w:rPr>
                <w:noProof/>
                <w:webHidden/>
              </w:rPr>
              <w:fldChar w:fldCharType="end"/>
            </w:r>
          </w:hyperlink>
        </w:p>
        <w:p w14:paraId="6FE95529" w14:textId="5A780D28" w:rsidR="00641C5A" w:rsidRDefault="00000000">
          <w:pPr>
            <w:pStyle w:val="TOC2"/>
            <w:rPr>
              <w:rFonts w:asciiTheme="minorHAnsi" w:eastAsiaTheme="minorEastAsia" w:hAnsiTheme="minorHAnsi" w:cstheme="minorBidi"/>
              <w:noProof/>
              <w:lang w:eastAsia="en-AU"/>
            </w:rPr>
          </w:pPr>
          <w:hyperlink w:anchor="_Toc190869134" w:history="1">
            <w:r w:rsidR="00641C5A" w:rsidRPr="00E12BD7">
              <w:rPr>
                <w:rStyle w:val="Hyperlink"/>
                <w:noProof/>
                <w:lang w:eastAsia="en-AU"/>
              </w:rPr>
              <w:t>6.2. Approval of a measuring device</w:t>
            </w:r>
            <w:r w:rsidR="00641C5A">
              <w:rPr>
                <w:noProof/>
                <w:webHidden/>
              </w:rPr>
              <w:tab/>
            </w:r>
            <w:r w:rsidR="00641C5A">
              <w:rPr>
                <w:noProof/>
                <w:webHidden/>
              </w:rPr>
              <w:fldChar w:fldCharType="begin"/>
            </w:r>
            <w:r w:rsidR="00641C5A">
              <w:rPr>
                <w:noProof/>
                <w:webHidden/>
              </w:rPr>
              <w:instrText xml:space="preserve"> PAGEREF _Toc190869134 \h </w:instrText>
            </w:r>
            <w:r w:rsidR="00641C5A">
              <w:rPr>
                <w:noProof/>
                <w:webHidden/>
              </w:rPr>
            </w:r>
            <w:r w:rsidR="00641C5A">
              <w:rPr>
                <w:noProof/>
                <w:webHidden/>
              </w:rPr>
              <w:fldChar w:fldCharType="separate"/>
            </w:r>
            <w:r w:rsidR="00641C5A">
              <w:rPr>
                <w:noProof/>
                <w:webHidden/>
              </w:rPr>
              <w:t>18</w:t>
            </w:r>
            <w:r w:rsidR="00641C5A">
              <w:rPr>
                <w:noProof/>
                <w:webHidden/>
              </w:rPr>
              <w:fldChar w:fldCharType="end"/>
            </w:r>
          </w:hyperlink>
        </w:p>
        <w:p w14:paraId="6574ECB2" w14:textId="577A3A7E" w:rsidR="00641C5A" w:rsidRDefault="00000000">
          <w:pPr>
            <w:pStyle w:val="TOC2"/>
            <w:rPr>
              <w:rFonts w:asciiTheme="minorHAnsi" w:eastAsiaTheme="minorEastAsia" w:hAnsiTheme="minorHAnsi" w:cstheme="minorBidi"/>
              <w:noProof/>
              <w:lang w:eastAsia="en-AU"/>
            </w:rPr>
          </w:pPr>
          <w:hyperlink w:anchor="_Toc190869135" w:history="1">
            <w:r w:rsidR="00641C5A" w:rsidRPr="00E12BD7">
              <w:rPr>
                <w:rStyle w:val="Hyperlink"/>
                <w:noProof/>
                <w:lang w:eastAsia="en-AU"/>
              </w:rPr>
              <w:t xml:space="preserve">6.3. Additional obligations under the </w:t>
            </w:r>
            <w:r w:rsidR="00641C5A" w:rsidRPr="00E12BD7">
              <w:rPr>
                <w:rStyle w:val="Hyperlink"/>
                <w:i/>
                <w:noProof/>
                <w:lang w:eastAsia="en-AU"/>
              </w:rPr>
              <w:t>Petroleum Act 1984</w:t>
            </w:r>
            <w:r w:rsidR="00641C5A">
              <w:rPr>
                <w:noProof/>
                <w:webHidden/>
              </w:rPr>
              <w:tab/>
            </w:r>
            <w:r w:rsidR="00641C5A">
              <w:rPr>
                <w:noProof/>
                <w:webHidden/>
              </w:rPr>
              <w:fldChar w:fldCharType="begin"/>
            </w:r>
            <w:r w:rsidR="00641C5A">
              <w:rPr>
                <w:noProof/>
                <w:webHidden/>
              </w:rPr>
              <w:instrText xml:space="preserve"> PAGEREF _Toc190869135 \h </w:instrText>
            </w:r>
            <w:r w:rsidR="00641C5A">
              <w:rPr>
                <w:noProof/>
                <w:webHidden/>
              </w:rPr>
            </w:r>
            <w:r w:rsidR="00641C5A">
              <w:rPr>
                <w:noProof/>
                <w:webHidden/>
              </w:rPr>
              <w:fldChar w:fldCharType="separate"/>
            </w:r>
            <w:r w:rsidR="00641C5A">
              <w:rPr>
                <w:noProof/>
                <w:webHidden/>
              </w:rPr>
              <w:t>18</w:t>
            </w:r>
            <w:r w:rsidR="00641C5A">
              <w:rPr>
                <w:noProof/>
                <w:webHidden/>
              </w:rPr>
              <w:fldChar w:fldCharType="end"/>
            </w:r>
          </w:hyperlink>
        </w:p>
        <w:p w14:paraId="51A94A98" w14:textId="427ADCFB" w:rsidR="00641C5A" w:rsidRDefault="00000000">
          <w:pPr>
            <w:pStyle w:val="TOC1"/>
            <w:rPr>
              <w:rFonts w:asciiTheme="minorHAnsi" w:eastAsiaTheme="minorEastAsia" w:hAnsiTheme="minorHAnsi" w:cstheme="minorBidi"/>
              <w:b w:val="0"/>
              <w:noProof/>
              <w:lang w:eastAsia="en-AU"/>
            </w:rPr>
          </w:pPr>
          <w:hyperlink w:anchor="_Toc190869136" w:history="1">
            <w:r w:rsidR="00641C5A" w:rsidRPr="00E12BD7">
              <w:rPr>
                <w:rStyle w:val="Hyperlink"/>
                <w:noProof/>
                <w:lang w:eastAsia="en-AU"/>
              </w:rPr>
              <w:t>7. Interactions with other Territory or Commonwealth legislation</w:t>
            </w:r>
            <w:r w:rsidR="00641C5A">
              <w:rPr>
                <w:noProof/>
                <w:webHidden/>
              </w:rPr>
              <w:tab/>
            </w:r>
            <w:r w:rsidR="00641C5A">
              <w:rPr>
                <w:noProof/>
                <w:webHidden/>
              </w:rPr>
              <w:fldChar w:fldCharType="begin"/>
            </w:r>
            <w:r w:rsidR="00641C5A">
              <w:rPr>
                <w:noProof/>
                <w:webHidden/>
              </w:rPr>
              <w:instrText xml:space="preserve"> PAGEREF _Toc190869136 \h </w:instrText>
            </w:r>
            <w:r w:rsidR="00641C5A">
              <w:rPr>
                <w:noProof/>
                <w:webHidden/>
              </w:rPr>
            </w:r>
            <w:r w:rsidR="00641C5A">
              <w:rPr>
                <w:noProof/>
                <w:webHidden/>
              </w:rPr>
              <w:fldChar w:fldCharType="separate"/>
            </w:r>
            <w:r w:rsidR="00641C5A">
              <w:rPr>
                <w:noProof/>
                <w:webHidden/>
              </w:rPr>
              <w:t>19</w:t>
            </w:r>
            <w:r w:rsidR="00641C5A">
              <w:rPr>
                <w:noProof/>
                <w:webHidden/>
              </w:rPr>
              <w:fldChar w:fldCharType="end"/>
            </w:r>
          </w:hyperlink>
        </w:p>
        <w:p w14:paraId="08DEFBF8" w14:textId="7E80D556" w:rsidR="00F51B53" w:rsidRDefault="00F51B53" w:rsidP="001513E9">
          <w:pPr>
            <w:rPr>
              <w:noProof/>
            </w:rPr>
          </w:pPr>
          <w:r>
            <w:rPr>
              <w:rFonts w:eastAsiaTheme="minorEastAsia" w:cs="Arial"/>
              <w:lang w:eastAsia="en-AU"/>
            </w:rPr>
            <w:fldChar w:fldCharType="end"/>
          </w:r>
        </w:p>
      </w:sdtContent>
    </w:sdt>
    <w:p w14:paraId="2F680671" w14:textId="2B5F51AD" w:rsidR="00F51B53" w:rsidRDefault="00F51B53" w:rsidP="001513E9">
      <w:pPr>
        <w:rPr>
          <w:noProof/>
          <w:lang w:eastAsia="en-AU"/>
        </w:rPr>
      </w:pPr>
      <w:r>
        <w:rPr>
          <w:noProof/>
          <w:lang w:eastAsia="en-AU"/>
        </w:rPr>
        <w:br w:type="page"/>
      </w:r>
    </w:p>
    <w:p w14:paraId="068A19F1" w14:textId="43A9D7E7" w:rsidR="00EB3D43" w:rsidRDefault="00E5728A" w:rsidP="001513E9">
      <w:pPr>
        <w:pStyle w:val="Heading1"/>
        <w:rPr>
          <w:noProof/>
          <w:lang w:eastAsia="en-AU"/>
        </w:rPr>
      </w:pPr>
      <w:bookmarkStart w:id="0" w:name="_Toc190869110"/>
      <w:r>
        <w:rPr>
          <w:noProof/>
          <w:lang w:eastAsia="en-AU"/>
        </w:rPr>
        <w:lastRenderedPageBreak/>
        <w:t>Introduction</w:t>
      </w:r>
      <w:bookmarkEnd w:id="0"/>
    </w:p>
    <w:p w14:paraId="791427D1" w14:textId="77777777" w:rsidR="00B7264A" w:rsidRPr="00B7264A" w:rsidRDefault="00B7264A" w:rsidP="001513E9">
      <w:pPr>
        <w:pStyle w:val="Heading2"/>
        <w:rPr>
          <w:lang w:eastAsia="en-AU"/>
        </w:rPr>
      </w:pPr>
      <w:bookmarkStart w:id="1" w:name="_Toc190869111"/>
      <w:r>
        <w:rPr>
          <w:lang w:eastAsia="en-AU"/>
        </w:rPr>
        <w:t>Purpose of the guideline</w:t>
      </w:r>
      <w:bookmarkEnd w:id="1"/>
      <w:r>
        <w:rPr>
          <w:lang w:eastAsia="en-AU"/>
        </w:rPr>
        <w:t xml:space="preserve"> </w:t>
      </w:r>
    </w:p>
    <w:p w14:paraId="63CF808E" w14:textId="4C4AC62E" w:rsidR="004966CB" w:rsidRDefault="00B7264A" w:rsidP="001513E9">
      <w:r>
        <w:t>This</w:t>
      </w:r>
      <w:r w:rsidR="00E5728A" w:rsidRPr="005823ED">
        <w:t xml:space="preserve"> guideline provid</w:t>
      </w:r>
      <w:r w:rsidR="003A52E7">
        <w:t>e</w:t>
      </w:r>
      <w:r w:rsidR="00DE22D6">
        <w:t>s</w:t>
      </w:r>
      <w:r w:rsidR="003A52E7">
        <w:t xml:space="preserve"> advice on what is required to be included in</w:t>
      </w:r>
      <w:r w:rsidR="008F6A17" w:rsidRPr="005823ED">
        <w:t xml:space="preserve"> an application to recover petroleum on an appraisal basis un</w:t>
      </w:r>
      <w:r w:rsidR="00866929">
        <w:t>der section 57AAA of the Act.</w:t>
      </w:r>
      <w:r w:rsidR="008F6A17" w:rsidRPr="005823ED">
        <w:t xml:space="preserve"> </w:t>
      </w:r>
      <w:r w:rsidR="0071268A">
        <w:t>It details the minimum pre-requi</w:t>
      </w:r>
      <w:r w:rsidR="00E01608">
        <w:t>si</w:t>
      </w:r>
      <w:r w:rsidR="0071268A">
        <w:t xml:space="preserve">tes that an interest holder </w:t>
      </w:r>
      <w:r w:rsidR="0025238A">
        <w:t xml:space="preserve">will need to include in an application for </w:t>
      </w:r>
      <w:r w:rsidR="003A52E7">
        <w:t xml:space="preserve">consideration by the Minister, and subject to the Minister’s </w:t>
      </w:r>
      <w:r w:rsidR="00B211EC">
        <w:t>discretion,</w:t>
      </w:r>
      <w:r w:rsidR="003A52E7">
        <w:t xml:space="preserve"> </w:t>
      </w:r>
      <w:r w:rsidR="00866929">
        <w:t>Ministerial approval.</w:t>
      </w:r>
    </w:p>
    <w:p w14:paraId="154863A8" w14:textId="135E1F11" w:rsidR="00E5728A" w:rsidRDefault="0025238A" w:rsidP="001513E9">
      <w:r>
        <w:t xml:space="preserve">This guideline also outlines the process of assessment for the application and </w:t>
      </w:r>
      <w:r w:rsidR="00485BE4">
        <w:t>how the approval to</w:t>
      </w:r>
      <w:r w:rsidR="003A52E7">
        <w:t xml:space="preserve"> recover</w:t>
      </w:r>
      <w:r w:rsidR="00485BE4">
        <w:t xml:space="preserve"> petroleum on an appraisal basis operates within </w:t>
      </w:r>
      <w:r>
        <w:t>the regulatory framework under which onshore petroleum a</w:t>
      </w:r>
      <w:r w:rsidR="00485BE4">
        <w:t>ctivities are conducted in the Northern T</w:t>
      </w:r>
      <w:r w:rsidR="00866929">
        <w:t>erritory.</w:t>
      </w:r>
    </w:p>
    <w:p w14:paraId="1523D8B5" w14:textId="77777777" w:rsidR="00B7264A" w:rsidRPr="00B7264A" w:rsidRDefault="00FF3573" w:rsidP="001513E9">
      <w:pPr>
        <w:pStyle w:val="Heading2"/>
        <w:rPr>
          <w:lang w:eastAsia="en-AU"/>
        </w:rPr>
      </w:pPr>
      <w:bookmarkStart w:id="2" w:name="_Toc190869112"/>
      <w:r>
        <w:rPr>
          <w:lang w:eastAsia="en-AU"/>
        </w:rPr>
        <w:t>Application of the guideline</w:t>
      </w:r>
      <w:bookmarkEnd w:id="2"/>
    </w:p>
    <w:p w14:paraId="109AA7B0" w14:textId="1455EA19" w:rsidR="00485BE4" w:rsidRDefault="00485BE4" w:rsidP="001513E9">
      <w:pPr>
        <w:rPr>
          <w:lang w:eastAsia="en-AU"/>
        </w:rPr>
      </w:pPr>
      <w:r>
        <w:rPr>
          <w:lang w:eastAsia="en-AU"/>
        </w:rPr>
        <w:t>This guideline applies to an application made by an interest holder u</w:t>
      </w:r>
      <w:r w:rsidR="00866929">
        <w:rPr>
          <w:lang w:eastAsia="en-AU"/>
        </w:rPr>
        <w:t xml:space="preserve">nder section 57AAA of the Act. </w:t>
      </w:r>
      <w:r>
        <w:rPr>
          <w:lang w:eastAsia="en-AU"/>
        </w:rPr>
        <w:t>S</w:t>
      </w:r>
      <w:r w:rsidR="00C20E86">
        <w:rPr>
          <w:lang w:eastAsia="en-AU"/>
        </w:rPr>
        <w:t>ection </w:t>
      </w:r>
      <w:r>
        <w:rPr>
          <w:lang w:eastAsia="en-AU"/>
        </w:rPr>
        <w:t>57AAA of the Act allows the hol</w:t>
      </w:r>
      <w:r w:rsidR="00C20E86">
        <w:rPr>
          <w:lang w:eastAsia="en-AU"/>
        </w:rPr>
        <w:t>der of an exploration permit or</w:t>
      </w:r>
      <w:r>
        <w:rPr>
          <w:lang w:eastAsia="en-AU"/>
        </w:rPr>
        <w:t xml:space="preserve"> retention licence to</w:t>
      </w:r>
      <w:r w:rsidR="003A52E7">
        <w:rPr>
          <w:lang w:eastAsia="en-AU"/>
        </w:rPr>
        <w:t xml:space="preserve"> make an application to recover</w:t>
      </w:r>
      <w:r>
        <w:rPr>
          <w:lang w:eastAsia="en-AU"/>
        </w:rPr>
        <w:t xml:space="preserve"> petroleum on an app</w:t>
      </w:r>
      <w:r w:rsidR="00866929">
        <w:rPr>
          <w:lang w:eastAsia="en-AU"/>
        </w:rPr>
        <w:t>raisal basis.</w:t>
      </w:r>
      <w:r>
        <w:rPr>
          <w:lang w:eastAsia="en-AU"/>
        </w:rPr>
        <w:t xml:space="preserve"> The Minister mu</w:t>
      </w:r>
      <w:r w:rsidR="00426445">
        <w:rPr>
          <w:lang w:eastAsia="en-AU"/>
        </w:rPr>
        <w:t>st consider the application and</w:t>
      </w:r>
      <w:r>
        <w:rPr>
          <w:lang w:eastAsia="en-AU"/>
        </w:rPr>
        <w:t xml:space="preserve"> can only approve the application if satisfied of certain matters</w:t>
      </w:r>
      <w:r w:rsidR="00C20E86">
        <w:rPr>
          <w:lang w:eastAsia="en-AU"/>
        </w:rPr>
        <w:t xml:space="preserve"> specified in the Act</w:t>
      </w:r>
      <w:r w:rsidR="00866929">
        <w:rPr>
          <w:lang w:eastAsia="en-AU"/>
        </w:rPr>
        <w:t>.</w:t>
      </w:r>
    </w:p>
    <w:p w14:paraId="044033D5" w14:textId="519BD013" w:rsidR="00426445" w:rsidRDefault="00485BE4" w:rsidP="001513E9">
      <w:pPr>
        <w:rPr>
          <w:lang w:eastAsia="en-AU"/>
        </w:rPr>
      </w:pPr>
      <w:r>
        <w:rPr>
          <w:lang w:eastAsia="en-AU"/>
        </w:rPr>
        <w:t xml:space="preserve">The </w:t>
      </w:r>
      <w:r w:rsidR="00426445">
        <w:rPr>
          <w:lang w:eastAsia="en-AU"/>
        </w:rPr>
        <w:t xml:space="preserve">objective of the </w:t>
      </w:r>
      <w:r>
        <w:rPr>
          <w:lang w:eastAsia="en-AU"/>
        </w:rPr>
        <w:t xml:space="preserve">Act </w:t>
      </w:r>
      <w:r w:rsidR="00426445">
        <w:rPr>
          <w:lang w:eastAsia="en-AU"/>
        </w:rPr>
        <w:t>is to provide a legal framework that, amongst other things:</w:t>
      </w:r>
    </w:p>
    <w:p w14:paraId="3081BC2A" w14:textId="42FAF579" w:rsidR="00485BE4" w:rsidRDefault="00426445" w:rsidP="001513E9">
      <w:pPr>
        <w:pStyle w:val="ListParagraph"/>
        <w:numPr>
          <w:ilvl w:val="0"/>
          <w:numId w:val="12"/>
        </w:numPr>
        <w:ind w:left="709" w:hanging="709"/>
        <w:rPr>
          <w:lang w:eastAsia="en-AU"/>
        </w:rPr>
      </w:pPr>
      <w:r>
        <w:rPr>
          <w:lang w:eastAsia="en-AU"/>
        </w:rPr>
        <w:t>encourages the effective exploration for petroleum and to develop petroleum production so that the optimal value of the resource is returned to the Territory; and</w:t>
      </w:r>
    </w:p>
    <w:p w14:paraId="390347A3" w14:textId="7D96661C" w:rsidR="00426445" w:rsidRDefault="00426445" w:rsidP="001513E9">
      <w:pPr>
        <w:pStyle w:val="ListParagraph"/>
        <w:numPr>
          <w:ilvl w:val="0"/>
          <w:numId w:val="12"/>
        </w:numPr>
        <w:ind w:left="709" w:hanging="709"/>
        <w:rPr>
          <w:lang w:eastAsia="en-AU"/>
        </w:rPr>
      </w:pPr>
      <w:r>
        <w:rPr>
          <w:lang w:eastAsia="en-AU"/>
        </w:rPr>
        <w:t>provides protection to the environment; and</w:t>
      </w:r>
    </w:p>
    <w:p w14:paraId="0DD84699" w14:textId="774BC762" w:rsidR="00426445" w:rsidRDefault="00426445" w:rsidP="001513E9">
      <w:pPr>
        <w:pStyle w:val="ListParagraph"/>
        <w:numPr>
          <w:ilvl w:val="0"/>
          <w:numId w:val="12"/>
        </w:numPr>
        <w:ind w:left="709" w:hanging="709"/>
        <w:rPr>
          <w:lang w:eastAsia="en-AU"/>
        </w:rPr>
      </w:pPr>
      <w:r>
        <w:rPr>
          <w:lang w:eastAsia="en-AU"/>
        </w:rPr>
        <w:t>promotes the principles of ecologically sustainable development.</w:t>
      </w:r>
      <w:r>
        <w:rPr>
          <w:rStyle w:val="FootnoteReference"/>
          <w:lang w:eastAsia="en-AU"/>
        </w:rPr>
        <w:footnoteReference w:id="2"/>
      </w:r>
    </w:p>
    <w:p w14:paraId="312CEED1" w14:textId="626AD0EA" w:rsidR="00426445" w:rsidRPr="00A6328A" w:rsidRDefault="00426445" w:rsidP="001513E9">
      <w:pPr>
        <w:rPr>
          <w:lang w:eastAsia="en-AU"/>
        </w:rPr>
      </w:pPr>
      <w:r w:rsidRPr="00A6328A">
        <w:rPr>
          <w:lang w:eastAsia="en-AU"/>
        </w:rPr>
        <w:t>The ability to recover petroleum on an appraisal basis is cons</w:t>
      </w:r>
      <w:r w:rsidR="00A6328A" w:rsidRPr="00A6328A">
        <w:rPr>
          <w:lang w:eastAsia="en-AU"/>
        </w:rPr>
        <w:t>istent with the Act’s objective – in that it is part of undertaking exploration in a manner which seeks to avoid venting and flaring of a non-renew</w:t>
      </w:r>
      <w:r w:rsidR="00E01608">
        <w:rPr>
          <w:lang w:eastAsia="en-AU"/>
        </w:rPr>
        <w:t>able</w:t>
      </w:r>
      <w:r w:rsidR="00A6328A" w:rsidRPr="00A6328A">
        <w:rPr>
          <w:lang w:eastAsia="en-AU"/>
        </w:rPr>
        <w:t xml:space="preserve"> resource.</w:t>
      </w:r>
    </w:p>
    <w:p w14:paraId="71119C27" w14:textId="6F0E39B0" w:rsidR="003A52E7" w:rsidRPr="0025238A" w:rsidRDefault="003A52E7" w:rsidP="001513E9">
      <w:pPr>
        <w:rPr>
          <w:lang w:eastAsia="en-AU"/>
        </w:rPr>
      </w:pPr>
      <w:r w:rsidRPr="00A6328A">
        <w:rPr>
          <w:lang w:eastAsia="en-AU"/>
        </w:rPr>
        <w:t>This guideline shou</w:t>
      </w:r>
      <w:r w:rsidR="00A6328A" w:rsidRPr="00A6328A">
        <w:rPr>
          <w:lang w:eastAsia="en-AU"/>
        </w:rPr>
        <w:t xml:space="preserve">ld be read in conjunction with </w:t>
      </w:r>
      <w:r w:rsidRPr="00A6328A">
        <w:rPr>
          <w:lang w:eastAsia="en-AU"/>
        </w:rPr>
        <w:t>the Act, the PER 2016, the PR 2020 and the Code.</w:t>
      </w:r>
    </w:p>
    <w:p w14:paraId="1D785A32" w14:textId="77777777" w:rsidR="00FF3573" w:rsidRDefault="00FF3573" w:rsidP="001513E9">
      <w:pPr>
        <w:pStyle w:val="Heading2"/>
        <w:rPr>
          <w:lang w:eastAsia="en-AU"/>
        </w:rPr>
      </w:pPr>
      <w:bookmarkStart w:id="3" w:name="_Toc190869113"/>
      <w:r>
        <w:rPr>
          <w:lang w:eastAsia="en-AU"/>
        </w:rPr>
        <w:t>Authorisation and publication</w:t>
      </w:r>
      <w:bookmarkEnd w:id="3"/>
    </w:p>
    <w:p w14:paraId="2D290463" w14:textId="5C9E0188" w:rsidR="00FF3573" w:rsidRPr="00EC0C17" w:rsidRDefault="00FF3573" w:rsidP="001513E9">
      <w:pPr>
        <w:rPr>
          <w:lang w:eastAsia="en-AU"/>
        </w:rPr>
      </w:pPr>
      <w:r>
        <w:rPr>
          <w:lang w:eastAsia="en-AU"/>
        </w:rPr>
        <w:t xml:space="preserve">In accordance with section 117C(1) of the Act the Minister has issued this guideline for the purpose of section 57AAA(3)(e) of the Act. This guideline </w:t>
      </w:r>
      <w:r w:rsidR="0083578C">
        <w:rPr>
          <w:lang w:eastAsia="en-AU"/>
        </w:rPr>
        <w:t>is</w:t>
      </w:r>
      <w:r>
        <w:rPr>
          <w:lang w:eastAsia="en-AU"/>
        </w:rPr>
        <w:t xml:space="preserve"> published on </w:t>
      </w:r>
      <w:r w:rsidR="00E46FF2">
        <w:rPr>
          <w:lang w:eastAsia="en-AU"/>
        </w:rPr>
        <w:t xml:space="preserve">DME’s </w:t>
      </w:r>
      <w:r>
        <w:rPr>
          <w:lang w:eastAsia="en-AU"/>
        </w:rPr>
        <w:t xml:space="preserve">website at: </w:t>
      </w:r>
      <w:hyperlink r:id="rId18" w:history="1">
        <w:r w:rsidR="00D90C16" w:rsidRPr="001220CF">
          <w:rPr>
            <w:rStyle w:val="Hyperlink"/>
            <w:lang w:eastAsia="en-AU"/>
          </w:rPr>
          <w:t>https://nt.gov.au/industry/energy/petroleum-operations/recover-petroleum-for-appraisal-purposes</w:t>
        </w:r>
      </w:hyperlink>
      <w:r w:rsidR="00991212">
        <w:rPr>
          <w:lang w:eastAsia="en-AU"/>
        </w:rPr>
        <w:t>.</w:t>
      </w:r>
    </w:p>
    <w:p w14:paraId="199A03BD" w14:textId="77777777" w:rsidR="00B7264A" w:rsidRDefault="00B7264A" w:rsidP="001513E9">
      <w:pPr>
        <w:pStyle w:val="Heading1"/>
        <w:rPr>
          <w:lang w:eastAsia="en-AU"/>
        </w:rPr>
      </w:pPr>
      <w:bookmarkStart w:id="4" w:name="_Toc190869114"/>
      <w:r>
        <w:rPr>
          <w:lang w:eastAsia="en-AU"/>
        </w:rPr>
        <w:t>Recovery of appraisal petroleum</w:t>
      </w:r>
      <w:r w:rsidR="000F4B70">
        <w:rPr>
          <w:lang w:eastAsia="en-AU"/>
        </w:rPr>
        <w:t xml:space="preserve">: </w:t>
      </w:r>
      <w:r w:rsidR="00F2286F">
        <w:rPr>
          <w:lang w:eastAsia="en-AU"/>
        </w:rPr>
        <w:t>background</w:t>
      </w:r>
      <w:bookmarkEnd w:id="4"/>
    </w:p>
    <w:p w14:paraId="448E1EDC" w14:textId="670EAB43" w:rsidR="00B7264A" w:rsidRPr="005823ED" w:rsidRDefault="00B7264A" w:rsidP="001513E9">
      <w:r w:rsidRPr="005823ED">
        <w:t xml:space="preserve">In order to progress from exploration to production (including seeking the grant of a production licence) an interest holder needs to provide evidence to the Minister </w:t>
      </w:r>
      <w:r w:rsidR="00F0484A">
        <w:t xml:space="preserve">that </w:t>
      </w:r>
      <w:r w:rsidRPr="005823ED">
        <w:t>there is a commercially exploitable accumulation of petroleum within the boundaries of the explorati</w:t>
      </w:r>
      <w:r w:rsidR="00866929">
        <w:t>on permit or retention licence.</w:t>
      </w:r>
      <w:r w:rsidRPr="005823ED">
        <w:t xml:space="preserve"> </w:t>
      </w:r>
      <w:r w:rsidR="00B43622">
        <w:t>The objective of the Act is to encourage exploration and to d</w:t>
      </w:r>
      <w:r w:rsidR="00313D85">
        <w:t>evelop</w:t>
      </w:r>
      <w:r w:rsidR="00B211EC">
        <w:t xml:space="preserve"> petroleum production;</w:t>
      </w:r>
      <w:r w:rsidR="00B43622">
        <w:t xml:space="preserve"> consistent with that objective a</w:t>
      </w:r>
      <w:r w:rsidRPr="005823ED">
        <w:t xml:space="preserve">n interest holder </w:t>
      </w:r>
      <w:r w:rsidR="00781E4C">
        <w:t>is required</w:t>
      </w:r>
      <w:r w:rsidRPr="005823ED">
        <w:t xml:space="preserve"> to </w:t>
      </w:r>
      <w:r w:rsidR="00781E4C">
        <w:t xml:space="preserve">explore for petroleum and, in the event of a discovery, seek to </w:t>
      </w:r>
      <w:r w:rsidRPr="005823ED">
        <w:lastRenderedPageBreak/>
        <w:t>determine the extent of any petroleum discovered within the boundary of the petroleum interest</w:t>
      </w:r>
      <w:r w:rsidR="00F0484A">
        <w:t xml:space="preserve"> and whether production is commercially viable</w:t>
      </w:r>
      <w:r w:rsidR="00866929">
        <w:t>.</w:t>
      </w:r>
    </w:p>
    <w:p w14:paraId="76D53FD4" w14:textId="424B7787" w:rsidR="00132FB9" w:rsidRPr="00132FB9" w:rsidRDefault="00B7264A" w:rsidP="001513E9">
      <w:pPr>
        <w:rPr>
          <w:kern w:val="28"/>
        </w:rPr>
      </w:pPr>
      <w:r w:rsidRPr="003C2813">
        <w:t xml:space="preserve">In order to obtain information regarding the </w:t>
      </w:r>
      <w:r w:rsidR="00240983" w:rsidRPr="003C2813">
        <w:t xml:space="preserve">extent and nature (including quality and </w:t>
      </w:r>
      <w:r w:rsidR="008A6F6E" w:rsidRPr="003C2813">
        <w:t>quantity</w:t>
      </w:r>
      <w:r w:rsidR="00240983" w:rsidRPr="003C2813">
        <w:t>)</w:t>
      </w:r>
      <w:r w:rsidRPr="003C2813">
        <w:t xml:space="preserve"> of the accumulation of petroleum, an interest holder will need to undertake extended well testing</w:t>
      </w:r>
      <w:r w:rsidR="00866929">
        <w:t xml:space="preserve">. </w:t>
      </w:r>
      <w:r w:rsidR="00D47D07" w:rsidRPr="003C2813">
        <w:t xml:space="preserve">Well testing is also known as ‘flow testing’ or ‘production testing’ and is when an interest holder </w:t>
      </w:r>
      <w:r w:rsidR="00D2250B" w:rsidRPr="003C2813">
        <w:t xml:space="preserve">undertakes operations to </w:t>
      </w:r>
      <w:r w:rsidR="00132FB9" w:rsidRPr="003C2813">
        <w:t xml:space="preserve">recover petroleum from the underground </w:t>
      </w:r>
      <w:r w:rsidR="00ED2E46" w:rsidRPr="003C2813">
        <w:t>petroleum pool</w:t>
      </w:r>
      <w:r w:rsidR="00132FB9" w:rsidRPr="003C2813">
        <w:t xml:space="preserve"> to the surface</w:t>
      </w:r>
      <w:r w:rsidR="003C2813" w:rsidRPr="003C2813">
        <w:t xml:space="preserve"> for the purpose of testing</w:t>
      </w:r>
      <w:r w:rsidR="00866929">
        <w:t xml:space="preserve">. </w:t>
      </w:r>
      <w:r w:rsidR="00132FB9" w:rsidRPr="003C2813">
        <w:t>In general</w:t>
      </w:r>
      <w:r w:rsidR="00F13467">
        <w:t>,</w:t>
      </w:r>
      <w:r w:rsidR="00132FB9" w:rsidRPr="003C2813">
        <w:t xml:space="preserve"> well testing is conducted to </w:t>
      </w:r>
      <w:r w:rsidR="00B211EC" w:rsidRPr="003C2813">
        <w:t xml:space="preserve">confirm or </w:t>
      </w:r>
      <w:r w:rsidR="00132FB9" w:rsidRPr="003C2813">
        <w:t>validate the production r</w:t>
      </w:r>
      <w:r w:rsidR="00866929">
        <w:t xml:space="preserve">ates from any particular well. </w:t>
      </w:r>
      <w:r w:rsidR="00132FB9" w:rsidRPr="003C2813">
        <w:rPr>
          <w:kern w:val="28"/>
        </w:rPr>
        <w:t>Extended well</w:t>
      </w:r>
      <w:r w:rsidRPr="003C2813">
        <w:rPr>
          <w:kern w:val="28"/>
        </w:rPr>
        <w:t xml:space="preserve"> testing</w:t>
      </w:r>
      <w:r w:rsidR="00132FB9" w:rsidRPr="003C2813">
        <w:rPr>
          <w:kern w:val="28"/>
        </w:rPr>
        <w:t>, in particular,</w:t>
      </w:r>
      <w:r w:rsidRPr="003C2813">
        <w:rPr>
          <w:kern w:val="28"/>
        </w:rPr>
        <w:t xml:space="preserve"> </w:t>
      </w:r>
      <w:r w:rsidR="00132FB9" w:rsidRPr="003C2813">
        <w:rPr>
          <w:kern w:val="28"/>
        </w:rPr>
        <w:t>is</w:t>
      </w:r>
      <w:r w:rsidRPr="003C2813">
        <w:rPr>
          <w:kern w:val="28"/>
        </w:rPr>
        <w:t xml:space="preserve"> used to obtain </w:t>
      </w:r>
      <w:r w:rsidR="00132FB9" w:rsidRPr="003C2813">
        <w:rPr>
          <w:kern w:val="28"/>
        </w:rPr>
        <w:t xml:space="preserve">reliable </w:t>
      </w:r>
      <w:r w:rsidRPr="003C2813">
        <w:rPr>
          <w:kern w:val="28"/>
        </w:rPr>
        <w:t>data to determine reservoir rock and fluid properties, estimate volume</w:t>
      </w:r>
      <w:r w:rsidR="00ED2E46" w:rsidRPr="003C2813">
        <w:rPr>
          <w:kern w:val="28"/>
        </w:rPr>
        <w:t xml:space="preserve"> of the petroleum pool</w:t>
      </w:r>
      <w:r w:rsidRPr="003C2813">
        <w:rPr>
          <w:kern w:val="28"/>
        </w:rPr>
        <w:t>, confirm reserves for field development</w:t>
      </w:r>
      <w:r w:rsidR="00ED2E46" w:rsidRPr="003C2813">
        <w:rPr>
          <w:kern w:val="28"/>
        </w:rPr>
        <w:t xml:space="preserve"> and confirm long-term field</w:t>
      </w:r>
      <w:r w:rsidR="00866929">
        <w:rPr>
          <w:kern w:val="28"/>
        </w:rPr>
        <w:t xml:space="preserve"> deliverability. </w:t>
      </w:r>
      <w:r w:rsidR="00AF18FF" w:rsidRPr="003C2813">
        <w:rPr>
          <w:kern w:val="28"/>
        </w:rPr>
        <w:t>Extended well testing is an essential activity for proving the viability of the resource.</w:t>
      </w:r>
    </w:p>
    <w:p w14:paraId="3C9FFF17" w14:textId="18374556" w:rsidR="00132FB9" w:rsidRPr="00132FB9" w:rsidRDefault="00B7264A" w:rsidP="001513E9">
      <w:r w:rsidRPr="003C2813">
        <w:t>The duration of any extended well testing is dependent on a range of factors which are specific to individ</w:t>
      </w:r>
      <w:r w:rsidR="00866929">
        <w:t>ual sites and individual wells.</w:t>
      </w:r>
      <w:r w:rsidRPr="003C2813">
        <w:t xml:space="preserve"> </w:t>
      </w:r>
      <w:r w:rsidR="00132FB9" w:rsidRPr="003C2813">
        <w:t xml:space="preserve">The duration of any extended well testing is primarily based on the interest holder’s technical objectives in relation to obtaining information about the </w:t>
      </w:r>
      <w:r w:rsidR="00001529" w:rsidRPr="003C2813">
        <w:t>resource</w:t>
      </w:r>
      <w:r w:rsidR="00132FB9" w:rsidRPr="003C2813">
        <w:t xml:space="preserve"> and, for most tests, will be small in comparison to the ultimate field life and recovery from that field.</w:t>
      </w:r>
    </w:p>
    <w:p w14:paraId="4C80F7E9" w14:textId="740A2365" w:rsidR="00CB6BB2" w:rsidRDefault="00B7264A" w:rsidP="001513E9">
      <w:r w:rsidRPr="00132FB9">
        <w:t>Currently</w:t>
      </w:r>
      <w:r w:rsidR="00F13467">
        <w:t>,</w:t>
      </w:r>
      <w:r w:rsidRPr="00132FB9">
        <w:t xml:space="preserve"> petroleum which is </w:t>
      </w:r>
      <w:r w:rsidR="0093735D">
        <w:t xml:space="preserve">recovered </w:t>
      </w:r>
      <w:r w:rsidR="00132FB9" w:rsidRPr="00132FB9">
        <w:t>in the Northern Territory</w:t>
      </w:r>
      <w:r w:rsidRPr="00132FB9">
        <w:t xml:space="preserve"> through extended w</w:t>
      </w:r>
      <w:r w:rsidR="00AF18FF">
        <w:t>ell testing is vented or flared</w:t>
      </w:r>
      <w:r w:rsidR="003C2813">
        <w:t>,</w:t>
      </w:r>
      <w:r w:rsidR="00AF18FF">
        <w:t xml:space="preserve"> although there are </w:t>
      </w:r>
      <w:r w:rsidRPr="00132FB9">
        <w:t>requirements in the Code to eliminate or minimise venting and flaring where possible</w:t>
      </w:r>
      <w:r w:rsidR="00866929">
        <w:t xml:space="preserve">. </w:t>
      </w:r>
      <w:r w:rsidR="00001529">
        <w:t>P</w:t>
      </w:r>
      <w:r w:rsidR="00AF18FF">
        <w:t>rior to the introduction of section 57AAA in the Act</w:t>
      </w:r>
      <w:r w:rsidR="0093735D">
        <w:t>,</w:t>
      </w:r>
      <w:r w:rsidR="003C2813">
        <w:rPr>
          <w:rStyle w:val="FootnoteReference"/>
        </w:rPr>
        <w:footnoteReference w:id="3"/>
      </w:r>
      <w:r w:rsidR="00AF18FF">
        <w:t xml:space="preserve"> there was no alternative available to interest holders </w:t>
      </w:r>
      <w:r w:rsidR="0093735D">
        <w:t>to</w:t>
      </w:r>
      <w:r w:rsidR="00AF18FF">
        <w:t xml:space="preserve"> avoid the</w:t>
      </w:r>
      <w:r w:rsidR="00D84059">
        <w:t xml:space="preserve"> scope 1</w:t>
      </w:r>
      <w:r w:rsidR="00AF18FF">
        <w:t xml:space="preserve"> </w:t>
      </w:r>
      <w:r w:rsidR="00D84059">
        <w:t xml:space="preserve">greenhouse gas </w:t>
      </w:r>
      <w:r w:rsidR="00AF18FF">
        <w:t xml:space="preserve">emissions </w:t>
      </w:r>
      <w:r w:rsidR="00266557">
        <w:t xml:space="preserve">generated </w:t>
      </w:r>
      <w:r w:rsidR="00AF18FF">
        <w:t>through venting and flaring</w:t>
      </w:r>
      <w:r w:rsidRPr="00132FB9">
        <w:t>.</w:t>
      </w:r>
      <w:r w:rsidR="00D84059">
        <w:rPr>
          <w:rStyle w:val="FootnoteReference"/>
        </w:rPr>
        <w:footnoteReference w:id="4"/>
      </w:r>
    </w:p>
    <w:p w14:paraId="4016CDBA" w14:textId="56B75DDA" w:rsidR="00853BEB" w:rsidRDefault="00AF18FF" w:rsidP="001513E9">
      <w:r w:rsidRPr="00D078FF">
        <w:t xml:space="preserve">Section 57AAA was introduced into the Act so that interest holders could, subject to </w:t>
      </w:r>
      <w:r w:rsidR="0093735D" w:rsidRPr="00D078FF">
        <w:t xml:space="preserve">Ministerial </w:t>
      </w:r>
      <w:r w:rsidRPr="00D078FF">
        <w:t xml:space="preserve">approval, seek an alternative and productive use to the petroleum </w:t>
      </w:r>
      <w:r w:rsidR="00D84059" w:rsidRPr="00D078FF">
        <w:t xml:space="preserve">recovered </w:t>
      </w:r>
      <w:r w:rsidRPr="00D078FF">
        <w:t xml:space="preserve">during extended well testing. </w:t>
      </w:r>
      <w:r w:rsidR="00D84059" w:rsidRPr="00D078FF">
        <w:t>Section </w:t>
      </w:r>
      <w:r w:rsidR="00853BEB" w:rsidRPr="00D078FF">
        <w:t>57AAA of the Act allows an interest holder, subject to Ministerial approval, to</w:t>
      </w:r>
      <w:r w:rsidR="00CE0629" w:rsidRPr="00D078FF">
        <w:t xml:space="preserve"> reduce the unnecessary waste of a natural resource </w:t>
      </w:r>
      <w:r w:rsidR="00D84059" w:rsidRPr="00D078FF">
        <w:t xml:space="preserve">(and avoidable scope 1 greenhouse gas emissions) </w:t>
      </w:r>
      <w:r w:rsidR="00CE0629" w:rsidRPr="00D078FF">
        <w:t xml:space="preserve">and </w:t>
      </w:r>
      <w:r w:rsidR="00B211EC" w:rsidRPr="00D078FF">
        <w:t xml:space="preserve">to use the petroleum during their own operations or to </w:t>
      </w:r>
      <w:r w:rsidR="00CE0629" w:rsidRPr="00D078FF">
        <w:t xml:space="preserve">sell or gift </w:t>
      </w:r>
      <w:r w:rsidR="00866929">
        <w:t>the petroleum to third parties.</w:t>
      </w:r>
      <w:r w:rsidR="00CE0629" w:rsidRPr="00D078FF">
        <w:t xml:space="preserve"> This could include a range of scenarios including </w:t>
      </w:r>
      <w:r w:rsidR="00B211EC" w:rsidRPr="00D078FF">
        <w:t xml:space="preserve">using the petroleum for purposes in connection with an interest holder’s operation (such as electricity generation onsite) or </w:t>
      </w:r>
      <w:r w:rsidR="00CE0629" w:rsidRPr="00D078FF">
        <w:t>providing the petroleum to nearby landholders or communi</w:t>
      </w:r>
      <w:r w:rsidR="003C2813" w:rsidRPr="00D078FF">
        <w:t>ties for electricity generation</w:t>
      </w:r>
      <w:r w:rsidR="00CE0629" w:rsidRPr="00D078FF">
        <w:t>.</w:t>
      </w:r>
      <w:r w:rsidR="00866929">
        <w:t xml:space="preserve"> </w:t>
      </w:r>
      <w:r w:rsidR="00D078FF" w:rsidRPr="00D078FF">
        <w:t>The recovery of petroleum on an appraisal basis is also permissible in both New South Wales and Queensland on exploration titles.</w:t>
      </w:r>
      <w:r w:rsidR="00D078FF" w:rsidRPr="00D078FF">
        <w:rPr>
          <w:rStyle w:val="FootnoteReference"/>
        </w:rPr>
        <w:footnoteReference w:id="5"/>
      </w:r>
    </w:p>
    <w:p w14:paraId="0277DF1D" w14:textId="61F42BAC" w:rsidR="00866929" w:rsidRDefault="00AE47FB" w:rsidP="001513E9">
      <w:r>
        <w:t xml:space="preserve">The recovery of petroleum on an appraisal basis, and the amendments to allow the same in the Act are </w:t>
      </w:r>
      <w:r w:rsidR="00AF18FF">
        <w:t>consistent with the</w:t>
      </w:r>
      <w:r w:rsidR="00E74762">
        <w:t xml:space="preserve"> Government’s commitment to minimise greenhouse gas emissions during </w:t>
      </w:r>
      <w:r w:rsidR="00AF18FF">
        <w:t>onshore petroleum operations, in responding to the impacts of climate change and t</w:t>
      </w:r>
      <w:r w:rsidR="00D84059">
        <w:t>o achieve net zero emissions by </w:t>
      </w:r>
      <w:r w:rsidR="00AF18FF">
        <w:t>2050</w:t>
      </w:r>
      <w:r w:rsidR="0093735D">
        <w:t>.</w:t>
      </w:r>
    </w:p>
    <w:p w14:paraId="6F3C41B8" w14:textId="77777777" w:rsidR="00866929" w:rsidRDefault="00866929" w:rsidP="001513E9">
      <w:r>
        <w:br w:type="page"/>
      </w:r>
    </w:p>
    <w:p w14:paraId="276B59F3" w14:textId="1E4F0D31" w:rsidR="008F6A17" w:rsidRDefault="009B4F56" w:rsidP="001513E9">
      <w:pPr>
        <w:pStyle w:val="Heading1"/>
        <w:rPr>
          <w:lang w:eastAsia="en-AU"/>
        </w:rPr>
      </w:pPr>
      <w:bookmarkStart w:id="5" w:name="_Toc190869115"/>
      <w:r>
        <w:rPr>
          <w:lang w:eastAsia="en-AU"/>
        </w:rPr>
        <w:lastRenderedPageBreak/>
        <w:t xml:space="preserve">Seeking </w:t>
      </w:r>
      <w:r w:rsidR="00EC0C17">
        <w:rPr>
          <w:lang w:eastAsia="en-AU"/>
        </w:rPr>
        <w:t>approval</w:t>
      </w:r>
      <w:bookmarkEnd w:id="5"/>
    </w:p>
    <w:p w14:paraId="5C6686C2" w14:textId="77777777" w:rsidR="00240983" w:rsidRDefault="00240983" w:rsidP="001513E9">
      <w:pPr>
        <w:pStyle w:val="Heading2"/>
        <w:rPr>
          <w:lang w:eastAsia="en-AU"/>
        </w:rPr>
      </w:pPr>
      <w:bookmarkStart w:id="6" w:name="_Toc190869116"/>
      <w:r>
        <w:rPr>
          <w:lang w:eastAsia="en-AU"/>
        </w:rPr>
        <w:t>Application</w:t>
      </w:r>
      <w:bookmarkEnd w:id="6"/>
    </w:p>
    <w:p w14:paraId="4E20FC13" w14:textId="030F968E" w:rsidR="00FA0052" w:rsidRDefault="00240983" w:rsidP="001513E9">
      <w:r>
        <w:t xml:space="preserve">An application must be in approved form which </w:t>
      </w:r>
      <w:r w:rsidR="00CB6BB2">
        <w:t xml:space="preserve">is published on </w:t>
      </w:r>
      <w:r w:rsidR="00E46FF2">
        <w:t xml:space="preserve">DME’s </w:t>
      </w:r>
      <w:r w:rsidR="00CB6BB2">
        <w:t xml:space="preserve">website at: </w:t>
      </w:r>
      <w:hyperlink r:id="rId19" w:history="1">
        <w:r w:rsidR="00D90C16" w:rsidRPr="001220CF">
          <w:rPr>
            <w:rStyle w:val="Hyperlink"/>
            <w:lang w:eastAsia="en-AU"/>
          </w:rPr>
          <w:t>https://nt.gov.au/industry/energy/petroleum-operations/recover-petroleum-for-appraisal-purposes</w:t>
        </w:r>
      </w:hyperlink>
      <w:r w:rsidR="00001529">
        <w:rPr>
          <w:lang w:eastAsia="en-AU"/>
        </w:rPr>
        <w:t xml:space="preserve">. </w:t>
      </w:r>
      <w:r>
        <w:t>Only the holder of an exploration permit or retention licence is entitled to make an application.</w:t>
      </w:r>
      <w:r w:rsidR="00D078FF">
        <w:rPr>
          <w:rStyle w:val="FootnoteReference"/>
        </w:rPr>
        <w:footnoteReference w:id="6"/>
      </w:r>
    </w:p>
    <w:p w14:paraId="644CA541" w14:textId="2F0A7767" w:rsidR="00240983" w:rsidRDefault="00240983" w:rsidP="001513E9">
      <w:r>
        <w:t xml:space="preserve">The application fee is </w:t>
      </w:r>
      <w:r>
        <w:rPr>
          <w:lang w:eastAsia="en-AU"/>
        </w:rPr>
        <w:t>18</w:t>
      </w:r>
      <w:r w:rsidR="003C1496">
        <w:rPr>
          <w:lang w:eastAsia="en-AU"/>
        </w:rPr>
        <w:t>,</w:t>
      </w:r>
      <w:r>
        <w:rPr>
          <w:lang w:eastAsia="en-AU"/>
        </w:rPr>
        <w:t>158</w:t>
      </w:r>
      <w:r w:rsidR="00CB6BB2">
        <w:rPr>
          <w:lang w:eastAsia="en-AU"/>
        </w:rPr>
        <w:t xml:space="preserve"> revenue units (equivalent to $</w:t>
      </w:r>
      <w:r w:rsidR="00E42664">
        <w:rPr>
          <w:lang w:eastAsia="en-AU"/>
        </w:rPr>
        <w:t>25</w:t>
      </w:r>
      <w:r w:rsidR="00091AE3">
        <w:rPr>
          <w:lang w:eastAsia="en-AU"/>
        </w:rPr>
        <w:t>,</w:t>
      </w:r>
      <w:r w:rsidR="00E42664">
        <w:rPr>
          <w:lang w:eastAsia="en-AU"/>
        </w:rPr>
        <w:t>6</w:t>
      </w:r>
      <w:r w:rsidR="009D3ACC">
        <w:rPr>
          <w:lang w:eastAsia="en-AU"/>
        </w:rPr>
        <w:t>0</w:t>
      </w:r>
      <w:r w:rsidR="00E42664">
        <w:rPr>
          <w:lang w:eastAsia="en-AU"/>
        </w:rPr>
        <w:t>2</w:t>
      </w:r>
      <w:r w:rsidR="00001529">
        <w:rPr>
          <w:lang w:eastAsia="en-AU"/>
        </w:rPr>
        <w:t xml:space="preserve"> as at 1 July </w:t>
      </w:r>
      <w:r w:rsidR="005A39DF">
        <w:rPr>
          <w:lang w:eastAsia="en-AU"/>
        </w:rPr>
        <w:t>2024</w:t>
      </w:r>
      <w:r>
        <w:rPr>
          <w:lang w:eastAsia="en-AU"/>
        </w:rPr>
        <w:t>).</w:t>
      </w:r>
      <w:r w:rsidR="00D00096">
        <w:rPr>
          <w:lang w:eastAsia="en-AU"/>
        </w:rPr>
        <w:t xml:space="preserve"> The application fee must be received by </w:t>
      </w:r>
      <w:r w:rsidR="00E46FF2">
        <w:rPr>
          <w:lang w:eastAsia="en-AU"/>
        </w:rPr>
        <w:t xml:space="preserve">DME </w:t>
      </w:r>
      <w:r w:rsidR="00D00096">
        <w:rPr>
          <w:lang w:eastAsia="en-AU"/>
        </w:rPr>
        <w:t xml:space="preserve">before assessment of the application </w:t>
      </w:r>
      <w:r w:rsidR="00545870">
        <w:rPr>
          <w:lang w:eastAsia="en-AU"/>
        </w:rPr>
        <w:t>will</w:t>
      </w:r>
      <w:r w:rsidR="00866929">
        <w:rPr>
          <w:lang w:eastAsia="en-AU"/>
        </w:rPr>
        <w:t xml:space="preserve"> commence.</w:t>
      </w:r>
    </w:p>
    <w:p w14:paraId="2007378A" w14:textId="4EE892EC" w:rsidR="00D00096" w:rsidRDefault="00CB6BB2" w:rsidP="001513E9">
      <w:r>
        <w:t xml:space="preserve">The application </w:t>
      </w:r>
      <w:r w:rsidR="00D00096">
        <w:t xml:space="preserve">must address and provide evidence on all matters </w:t>
      </w:r>
      <w:r w:rsidR="00545870">
        <w:t xml:space="preserve">specified in the approved form - </w:t>
      </w:r>
      <w:r w:rsidR="00D00096">
        <w:t>which addresses the matters outlined in section 57AAA(5) of the Act as well as other relevant mat</w:t>
      </w:r>
      <w:r w:rsidR="00545870">
        <w:t>ters outlined in this guideline</w:t>
      </w:r>
      <w:r w:rsidR="00866929">
        <w:t>.</w:t>
      </w:r>
    </w:p>
    <w:p w14:paraId="0FADDB29" w14:textId="31E7C642" w:rsidR="00ED2E46" w:rsidRDefault="00D00096" w:rsidP="001513E9">
      <w:r>
        <w:t>Fundamentally</w:t>
      </w:r>
      <w:r w:rsidR="0083578C">
        <w:t>,</w:t>
      </w:r>
      <w:r>
        <w:t xml:space="preserve"> the application must outline the interest holder’s objective in undert</w:t>
      </w:r>
      <w:r w:rsidR="001B56A3">
        <w:t>aking the extended well testing including key elements, proposed milestones</w:t>
      </w:r>
      <w:r w:rsidR="00ED2E46">
        <w:t xml:space="preserve">, </w:t>
      </w:r>
      <w:r w:rsidR="001B56A3">
        <w:t>proposed duration</w:t>
      </w:r>
      <w:r w:rsidR="00ED2E46">
        <w:t xml:space="preserve"> and associated surface infrastructure</w:t>
      </w:r>
      <w:r w:rsidR="00866929">
        <w:t>.</w:t>
      </w:r>
    </w:p>
    <w:p w14:paraId="6B6C9437" w14:textId="2D23CFDA" w:rsidR="00240983" w:rsidRDefault="00545870" w:rsidP="001513E9">
      <w:r>
        <w:t>For example t</w:t>
      </w:r>
      <w:r w:rsidR="001B56A3">
        <w:t>he application must include:</w:t>
      </w:r>
    </w:p>
    <w:p w14:paraId="7422088E" w14:textId="31C7B269" w:rsidR="001B56A3" w:rsidRDefault="001B56A3" w:rsidP="001513E9">
      <w:pPr>
        <w:pStyle w:val="ListParagraph"/>
        <w:numPr>
          <w:ilvl w:val="0"/>
          <w:numId w:val="20"/>
        </w:numPr>
        <w:ind w:left="709" w:hanging="709"/>
      </w:pPr>
      <w:r>
        <w:t>The name and contact details of the person in charge of the activity (who may be a contractor carrying out the activity on the behalf of the interest holder)</w:t>
      </w:r>
      <w:r w:rsidR="00890A78">
        <w:t>.</w:t>
      </w:r>
    </w:p>
    <w:p w14:paraId="7ECF505F" w14:textId="0991C60B" w:rsidR="001B56A3" w:rsidRDefault="001B56A3" w:rsidP="001513E9">
      <w:pPr>
        <w:pStyle w:val="ListParagraph"/>
        <w:numPr>
          <w:ilvl w:val="0"/>
          <w:numId w:val="20"/>
        </w:numPr>
        <w:ind w:left="709" w:hanging="709"/>
      </w:pPr>
      <w:r>
        <w:t xml:space="preserve">An assessment of the current well barrier integrity status and whether the well barrier integrity status </w:t>
      </w:r>
      <w:r w:rsidR="00890A78">
        <w:t>will be altered by the activity.</w:t>
      </w:r>
    </w:p>
    <w:p w14:paraId="44B7FC9B" w14:textId="2DB1FBE2" w:rsidR="001B56A3" w:rsidRDefault="001B56A3" w:rsidP="001513E9">
      <w:pPr>
        <w:pStyle w:val="ListParagraph"/>
        <w:numPr>
          <w:ilvl w:val="0"/>
          <w:numId w:val="20"/>
        </w:numPr>
        <w:ind w:left="709" w:hanging="709"/>
      </w:pPr>
      <w:r>
        <w:t>A description of the design, construction, operation and decommissioning of the</w:t>
      </w:r>
      <w:r w:rsidR="00E75477">
        <w:t xml:space="preserve"> temporary or semi-permanent</w:t>
      </w:r>
      <w:r>
        <w:t xml:space="preserve"> appraisal production infrastructure associated with the extended well testing and the beneficial use of that petroleum</w:t>
      </w:r>
      <w:r w:rsidR="00866929">
        <w:t>.</w:t>
      </w:r>
    </w:p>
    <w:p w14:paraId="5DD54FE7" w14:textId="37BBC4E6" w:rsidR="001B56A3" w:rsidRDefault="001B56A3" w:rsidP="001513E9">
      <w:pPr>
        <w:pStyle w:val="ListParagraph"/>
        <w:numPr>
          <w:ilvl w:val="0"/>
          <w:numId w:val="20"/>
        </w:numPr>
        <w:ind w:left="709" w:hanging="709"/>
      </w:pPr>
      <w:r>
        <w:t>A list of any documents that have been prepared for the</w:t>
      </w:r>
      <w:r w:rsidR="00E75477">
        <w:t xml:space="preserve"> operation of the activity.</w:t>
      </w:r>
    </w:p>
    <w:p w14:paraId="773D331D" w14:textId="6AEED976" w:rsidR="001B56A3" w:rsidRDefault="001B56A3" w:rsidP="001513E9">
      <w:pPr>
        <w:pStyle w:val="ListParagraph"/>
        <w:numPr>
          <w:ilvl w:val="0"/>
          <w:numId w:val="20"/>
        </w:numPr>
        <w:ind w:left="709" w:hanging="709"/>
      </w:pPr>
      <w:r>
        <w:t>A timetable for carrying out and completing the activity</w:t>
      </w:r>
      <w:r w:rsidR="00E75477">
        <w:t xml:space="preserve"> including the </w:t>
      </w:r>
      <w:r w:rsidR="00866929">
        <w:t>various stages of the activity.</w:t>
      </w:r>
    </w:p>
    <w:p w14:paraId="3F7EE782" w14:textId="2DCF25C8" w:rsidR="00240983" w:rsidRDefault="00E75477" w:rsidP="001513E9">
      <w:pPr>
        <w:rPr>
          <w:lang w:eastAsia="en-AU"/>
        </w:rPr>
      </w:pPr>
      <w:r>
        <w:t>In relation to the technical aspect of the application,</w:t>
      </w:r>
      <w:r w:rsidR="00D00096">
        <w:t xml:space="preserve"> w</w:t>
      </w:r>
      <w:r w:rsidR="00545870">
        <w:t>hen the</w:t>
      </w:r>
      <w:r w:rsidR="00240983">
        <w:t xml:space="preserve"> application </w:t>
      </w:r>
      <w:r w:rsidR="00545870">
        <w:t>requires</w:t>
      </w:r>
      <w:r w:rsidR="00240983">
        <w:t xml:space="preserve"> a list of the code</w:t>
      </w:r>
      <w:r w:rsidR="00545870">
        <w:t>s and standards to be</w:t>
      </w:r>
      <w:r w:rsidR="00240983">
        <w:t xml:space="preserve"> specified it must i</w:t>
      </w:r>
      <w:r w:rsidR="00240983">
        <w:rPr>
          <w:lang w:eastAsia="en-AU"/>
        </w:rPr>
        <w:t>nclude a table with a list of Australi</w:t>
      </w:r>
      <w:r w:rsidR="00545870">
        <w:rPr>
          <w:lang w:eastAsia="en-AU"/>
        </w:rPr>
        <w:t xml:space="preserve">an and International Standards and </w:t>
      </w:r>
      <w:r w:rsidR="00240983">
        <w:rPr>
          <w:lang w:eastAsia="en-AU"/>
        </w:rPr>
        <w:t>codes. Listed Australian and International Standards should have the following four elements:</w:t>
      </w:r>
    </w:p>
    <w:p w14:paraId="028444DD" w14:textId="77777777" w:rsidR="00240983" w:rsidRDefault="00240983" w:rsidP="001513E9">
      <w:pPr>
        <w:pStyle w:val="ListParagraph"/>
        <w:numPr>
          <w:ilvl w:val="0"/>
          <w:numId w:val="21"/>
        </w:numPr>
        <w:ind w:left="709" w:hanging="709"/>
        <w:rPr>
          <w:lang w:eastAsia="en-AU"/>
        </w:rPr>
      </w:pPr>
      <w:r>
        <w:rPr>
          <w:lang w:eastAsia="en-AU"/>
        </w:rPr>
        <w:t>the prefix of the standard issuing organisation;</w:t>
      </w:r>
    </w:p>
    <w:p w14:paraId="27529593" w14:textId="77777777" w:rsidR="00240983" w:rsidRDefault="00240983" w:rsidP="001513E9">
      <w:pPr>
        <w:pStyle w:val="ListParagraph"/>
        <w:numPr>
          <w:ilvl w:val="0"/>
          <w:numId w:val="21"/>
        </w:numPr>
        <w:ind w:left="709" w:hanging="709"/>
        <w:rPr>
          <w:lang w:eastAsia="en-AU"/>
        </w:rPr>
      </w:pPr>
      <w:r>
        <w:rPr>
          <w:lang w:eastAsia="en-AU"/>
        </w:rPr>
        <w:t>the standard number;</w:t>
      </w:r>
    </w:p>
    <w:p w14:paraId="2640E03A" w14:textId="77777777" w:rsidR="00240983" w:rsidRDefault="00240983" w:rsidP="001513E9">
      <w:pPr>
        <w:pStyle w:val="ListParagraph"/>
        <w:numPr>
          <w:ilvl w:val="0"/>
          <w:numId w:val="21"/>
        </w:numPr>
        <w:ind w:left="709" w:hanging="709"/>
        <w:rPr>
          <w:lang w:eastAsia="en-AU"/>
        </w:rPr>
      </w:pPr>
      <w:r>
        <w:rPr>
          <w:lang w:eastAsia="en-AU"/>
        </w:rPr>
        <w:t>the year of issue; and</w:t>
      </w:r>
    </w:p>
    <w:p w14:paraId="21E6E7EA" w14:textId="77777777" w:rsidR="00240983" w:rsidRDefault="00240983" w:rsidP="001513E9">
      <w:pPr>
        <w:pStyle w:val="ListParagraph"/>
        <w:numPr>
          <w:ilvl w:val="0"/>
          <w:numId w:val="21"/>
        </w:numPr>
        <w:ind w:left="709" w:hanging="709"/>
        <w:rPr>
          <w:lang w:eastAsia="en-AU"/>
        </w:rPr>
      </w:pPr>
      <w:r>
        <w:rPr>
          <w:lang w:eastAsia="en-AU"/>
        </w:rPr>
        <w:t>the standard title.</w:t>
      </w:r>
    </w:p>
    <w:p w14:paraId="325BC37E" w14:textId="43E55023" w:rsidR="007E282D" w:rsidRDefault="007E282D" w:rsidP="001513E9">
      <w:pPr>
        <w:pStyle w:val="Heading2"/>
        <w:rPr>
          <w:lang w:eastAsia="en-AU"/>
        </w:rPr>
      </w:pPr>
      <w:bookmarkStart w:id="7" w:name="_Toc190869117"/>
      <w:r>
        <w:rPr>
          <w:lang w:eastAsia="en-AU"/>
        </w:rPr>
        <w:t>Required information</w:t>
      </w:r>
      <w:r w:rsidR="00ED2E46">
        <w:rPr>
          <w:lang w:eastAsia="en-AU"/>
        </w:rPr>
        <w:t xml:space="preserve"> for consideration</w:t>
      </w:r>
      <w:bookmarkEnd w:id="7"/>
    </w:p>
    <w:p w14:paraId="05677731" w14:textId="77777777" w:rsidR="007268DA" w:rsidRDefault="007268DA" w:rsidP="001513E9">
      <w:pPr>
        <w:rPr>
          <w:lang w:eastAsia="en-AU"/>
        </w:rPr>
      </w:pPr>
      <w:r>
        <w:rPr>
          <w:lang w:eastAsia="en-AU"/>
        </w:rPr>
        <w:t>Any application for consideration by the Minister must provide the following information:</w:t>
      </w:r>
    </w:p>
    <w:p w14:paraId="500C2E1B" w14:textId="3FF94DB1" w:rsidR="00ED2E46" w:rsidRPr="00ED2E46" w:rsidRDefault="007268DA" w:rsidP="001513E9">
      <w:pPr>
        <w:pStyle w:val="ListParagraph"/>
        <w:numPr>
          <w:ilvl w:val="0"/>
          <w:numId w:val="10"/>
        </w:numPr>
        <w:ind w:hanging="720"/>
        <w:rPr>
          <w:lang w:eastAsia="en-AU"/>
        </w:rPr>
      </w:pPr>
      <w:r>
        <w:rPr>
          <w:lang w:eastAsia="en-AU"/>
        </w:rPr>
        <w:t xml:space="preserve">Evidence of a discovery of petroleum within the boundaries of the petroleum interest including the most current analysis </w:t>
      </w:r>
      <w:r w:rsidR="00156710">
        <w:rPr>
          <w:lang w:eastAsia="en-AU"/>
        </w:rPr>
        <w:t xml:space="preserve">of the </w:t>
      </w:r>
      <w:r w:rsidR="00ED2E46">
        <w:rPr>
          <w:lang w:eastAsia="en-AU"/>
        </w:rPr>
        <w:t xml:space="preserve">structure, </w:t>
      </w:r>
      <w:r w:rsidR="00156710">
        <w:rPr>
          <w:lang w:eastAsia="en-AU"/>
        </w:rPr>
        <w:t xml:space="preserve">extent </w:t>
      </w:r>
      <w:r w:rsidR="00ED2E46">
        <w:rPr>
          <w:lang w:eastAsia="en-AU"/>
        </w:rPr>
        <w:t xml:space="preserve">and location </w:t>
      </w:r>
      <w:r w:rsidR="00156710">
        <w:rPr>
          <w:lang w:eastAsia="en-AU"/>
        </w:rPr>
        <w:t xml:space="preserve">of the </w:t>
      </w:r>
      <w:r w:rsidR="00ED2E46">
        <w:rPr>
          <w:lang w:eastAsia="en-AU"/>
        </w:rPr>
        <w:t>resource</w:t>
      </w:r>
      <w:r w:rsidR="00156710">
        <w:rPr>
          <w:lang w:eastAsia="en-AU"/>
        </w:rPr>
        <w:t xml:space="preserve"> and the </w:t>
      </w:r>
      <w:r w:rsidR="009A2AF2">
        <w:rPr>
          <w:lang w:eastAsia="en-AU"/>
        </w:rPr>
        <w:t xml:space="preserve">estimated </w:t>
      </w:r>
      <w:r w:rsidR="00156710">
        <w:rPr>
          <w:lang w:eastAsia="en-AU"/>
        </w:rPr>
        <w:t xml:space="preserve">volumes of petroleum present that comply with the </w:t>
      </w:r>
      <w:r w:rsidR="00D341C5">
        <w:rPr>
          <w:lang w:eastAsia="en-AU"/>
        </w:rPr>
        <w:t xml:space="preserve">requirements of the </w:t>
      </w:r>
      <w:r w:rsidR="00156710">
        <w:rPr>
          <w:i/>
          <w:lang w:eastAsia="en-AU"/>
        </w:rPr>
        <w:t xml:space="preserve">Petroleum Resources </w:t>
      </w:r>
      <w:r w:rsidR="00156710">
        <w:rPr>
          <w:i/>
          <w:lang w:eastAsia="en-AU"/>
        </w:rPr>
        <w:lastRenderedPageBreak/>
        <w:t>Management System</w:t>
      </w:r>
      <w:r w:rsidR="00D078FF">
        <w:rPr>
          <w:i/>
          <w:lang w:eastAsia="en-AU"/>
        </w:rPr>
        <w:t>.</w:t>
      </w:r>
      <w:r w:rsidR="00D078FF" w:rsidRPr="00D078FF">
        <w:rPr>
          <w:rStyle w:val="FootnoteReference"/>
          <w:lang w:eastAsia="en-AU"/>
        </w:rPr>
        <w:footnoteReference w:id="7"/>
      </w:r>
      <w:r w:rsidR="009A2AF2">
        <w:rPr>
          <w:lang w:eastAsia="en-AU"/>
        </w:rPr>
        <w:t xml:space="preserve"> Details of the data, assumptions and methodologies used by the interest holder to determine the estimates must also be included</w:t>
      </w:r>
      <w:r w:rsidR="00C0726B">
        <w:rPr>
          <w:lang w:eastAsia="en-AU"/>
        </w:rPr>
        <w:t xml:space="preserve"> in the application</w:t>
      </w:r>
      <w:r w:rsidR="00866929">
        <w:rPr>
          <w:lang w:eastAsia="en-AU"/>
        </w:rPr>
        <w:t>.</w:t>
      </w:r>
    </w:p>
    <w:p w14:paraId="6D54520A" w14:textId="39D23549" w:rsidR="007268DA" w:rsidRDefault="00ED2E46" w:rsidP="001513E9">
      <w:pPr>
        <w:pStyle w:val="ListParagraph"/>
        <w:ind w:left="720"/>
        <w:rPr>
          <w:lang w:eastAsia="en-AU"/>
        </w:rPr>
      </w:pPr>
      <w:r>
        <w:rPr>
          <w:lang w:eastAsia="en-AU"/>
        </w:rPr>
        <w:t>An application for the beneficial use of petroleum would, at a minimum, require a discovery notification under section 64(1)(a) of the Ac</w:t>
      </w:r>
      <w:r w:rsidR="00866929">
        <w:rPr>
          <w:lang w:eastAsia="en-AU"/>
        </w:rPr>
        <w:t>t to have made to the Minister.</w:t>
      </w:r>
    </w:p>
    <w:p w14:paraId="2259FA91" w14:textId="64E9DB3C" w:rsidR="00C81D79" w:rsidRPr="00D341C5" w:rsidRDefault="0050469D" w:rsidP="001513E9">
      <w:pPr>
        <w:pStyle w:val="ListParagraph"/>
        <w:numPr>
          <w:ilvl w:val="0"/>
          <w:numId w:val="10"/>
        </w:numPr>
        <w:ind w:hanging="720"/>
        <w:rPr>
          <w:lang w:eastAsia="en-AU"/>
        </w:rPr>
      </w:pPr>
      <w:r w:rsidRPr="00D341C5">
        <w:rPr>
          <w:lang w:eastAsia="en-AU"/>
        </w:rPr>
        <w:t>The objective for the</w:t>
      </w:r>
      <w:r w:rsidR="009A2AF2" w:rsidRPr="00D341C5">
        <w:rPr>
          <w:lang w:eastAsia="en-AU"/>
        </w:rPr>
        <w:t xml:space="preserve"> proposed extended well testing</w:t>
      </w:r>
      <w:r w:rsidRPr="00D341C5">
        <w:rPr>
          <w:lang w:eastAsia="en-AU"/>
        </w:rPr>
        <w:t xml:space="preserve"> including how the information obtained will assist in d</w:t>
      </w:r>
      <w:r w:rsidR="00ED2E46" w:rsidRPr="00D341C5">
        <w:rPr>
          <w:lang w:eastAsia="en-AU"/>
        </w:rPr>
        <w:t xml:space="preserve">etermining the </w:t>
      </w:r>
      <w:r w:rsidR="005F3E62" w:rsidRPr="00D341C5">
        <w:rPr>
          <w:lang w:eastAsia="en-AU"/>
        </w:rPr>
        <w:t>accumulation of petroleum within the petroleum interest boundaries</w:t>
      </w:r>
      <w:r w:rsidR="004E523E" w:rsidRPr="00D341C5">
        <w:rPr>
          <w:lang w:eastAsia="en-AU"/>
        </w:rPr>
        <w:t xml:space="preserve"> and how the information will inform further development of the petroleum pool (including production)</w:t>
      </w:r>
      <w:r w:rsidR="005F3E62" w:rsidRPr="00D341C5">
        <w:rPr>
          <w:lang w:eastAsia="en-AU"/>
        </w:rPr>
        <w:t>.</w:t>
      </w:r>
      <w:r w:rsidR="00C81D79" w:rsidRPr="00D341C5">
        <w:rPr>
          <w:lang w:eastAsia="en-AU"/>
        </w:rPr>
        <w:t xml:space="preserve"> </w:t>
      </w:r>
    </w:p>
    <w:p w14:paraId="56DC2F29" w14:textId="5DF53067" w:rsidR="0050469D" w:rsidRDefault="00C81D79" w:rsidP="001513E9">
      <w:pPr>
        <w:pStyle w:val="ListParagraph"/>
        <w:ind w:left="720"/>
        <w:rPr>
          <w:lang w:eastAsia="en-AU"/>
        </w:rPr>
      </w:pPr>
      <w:r w:rsidRPr="00D341C5">
        <w:rPr>
          <w:lang w:eastAsia="en-AU"/>
        </w:rPr>
        <w:t xml:space="preserve">The </w:t>
      </w:r>
      <w:r w:rsidR="00C0726B" w:rsidRPr="00D341C5">
        <w:rPr>
          <w:lang w:eastAsia="en-AU"/>
        </w:rPr>
        <w:t xml:space="preserve">interest holder’s </w:t>
      </w:r>
      <w:r w:rsidRPr="00D341C5">
        <w:rPr>
          <w:lang w:eastAsia="en-AU"/>
        </w:rPr>
        <w:t>objective must be consistent with seeking to unders</w:t>
      </w:r>
      <w:r w:rsidR="00D341C5" w:rsidRPr="00D341C5">
        <w:rPr>
          <w:lang w:eastAsia="en-AU"/>
        </w:rPr>
        <w:t>tand the extent of the resource and</w:t>
      </w:r>
      <w:r w:rsidRPr="00D341C5">
        <w:rPr>
          <w:lang w:eastAsia="en-AU"/>
        </w:rPr>
        <w:t xml:space="preserve"> to develop </w:t>
      </w:r>
      <w:r w:rsidR="009A2AF2" w:rsidRPr="00D341C5">
        <w:rPr>
          <w:lang w:eastAsia="en-AU"/>
        </w:rPr>
        <w:t xml:space="preserve">options (including modelling) for the commercial exploitation of the resource under a production licence. </w:t>
      </w:r>
      <w:r w:rsidR="00C0726B" w:rsidRPr="00D341C5">
        <w:rPr>
          <w:lang w:eastAsia="en-AU"/>
        </w:rPr>
        <w:t xml:space="preserve">Details of how the objective of the extended well testing is consistent with the </w:t>
      </w:r>
      <w:r w:rsidR="0087719C">
        <w:rPr>
          <w:lang w:eastAsia="en-AU"/>
        </w:rPr>
        <w:t xml:space="preserve">interest holder’s </w:t>
      </w:r>
      <w:r w:rsidR="00C0726B" w:rsidRPr="00D341C5">
        <w:rPr>
          <w:lang w:eastAsia="en-AU"/>
        </w:rPr>
        <w:t>overall exploration and potential development</w:t>
      </w:r>
      <w:r w:rsidR="009D7FF0">
        <w:rPr>
          <w:lang w:eastAsia="en-AU"/>
        </w:rPr>
        <w:t xml:space="preserve"> strategy</w:t>
      </w:r>
      <w:r w:rsidR="00C0726B" w:rsidRPr="00D341C5">
        <w:rPr>
          <w:lang w:eastAsia="en-AU"/>
        </w:rPr>
        <w:t xml:space="preserve"> of the petroleum interest must be included in the application.</w:t>
      </w:r>
    </w:p>
    <w:p w14:paraId="4BFD6EF1" w14:textId="77777777" w:rsidR="00C3087B" w:rsidRPr="0009339C" w:rsidRDefault="00C3087B" w:rsidP="001513E9">
      <w:pPr>
        <w:pStyle w:val="ListParagraph"/>
        <w:numPr>
          <w:ilvl w:val="0"/>
          <w:numId w:val="10"/>
        </w:numPr>
        <w:ind w:hanging="720"/>
        <w:rPr>
          <w:rFonts w:asciiTheme="minorHAnsi" w:hAnsiTheme="minorHAnsi"/>
          <w:lang w:eastAsia="en-AU"/>
        </w:rPr>
      </w:pPr>
      <w:r w:rsidRPr="0009339C">
        <w:rPr>
          <w:rFonts w:asciiTheme="minorHAnsi" w:hAnsiTheme="minorHAnsi"/>
          <w:lang w:eastAsia="en-AU"/>
        </w:rPr>
        <w:t>The interest holder’s proposal regarding the extended well testing including:</w:t>
      </w:r>
    </w:p>
    <w:p w14:paraId="3C66E731" w14:textId="3619849F" w:rsidR="00A34D81" w:rsidRDefault="00A34D81" w:rsidP="001513E9">
      <w:pPr>
        <w:pStyle w:val="ListParagraph"/>
        <w:numPr>
          <w:ilvl w:val="0"/>
          <w:numId w:val="22"/>
        </w:numPr>
        <w:ind w:left="1418" w:hanging="698"/>
        <w:rPr>
          <w:rFonts w:asciiTheme="minorHAnsi" w:hAnsiTheme="minorHAnsi"/>
          <w:lang w:eastAsia="en-AU"/>
        </w:rPr>
      </w:pPr>
      <w:r>
        <w:rPr>
          <w:rFonts w:asciiTheme="minorHAnsi" w:hAnsiTheme="minorHAnsi"/>
          <w:lang w:eastAsia="en-AU"/>
        </w:rPr>
        <w:t>The proposed duration of the extended well testing and the recovery of petroleum on an appraisal basis</w:t>
      </w:r>
      <w:r w:rsidR="006E0893">
        <w:rPr>
          <w:rFonts w:asciiTheme="minorHAnsi" w:hAnsiTheme="minorHAnsi"/>
          <w:lang w:eastAsia="en-AU"/>
        </w:rPr>
        <w:t xml:space="preserve"> (including proposed commencement and end dates)</w:t>
      </w:r>
      <w:r>
        <w:rPr>
          <w:rFonts w:asciiTheme="minorHAnsi" w:hAnsiTheme="minorHAnsi"/>
          <w:lang w:eastAsia="en-AU"/>
        </w:rPr>
        <w:t>.</w:t>
      </w:r>
      <w:r>
        <w:rPr>
          <w:rStyle w:val="FootnoteReference"/>
          <w:rFonts w:asciiTheme="minorHAnsi" w:hAnsiTheme="minorHAnsi"/>
          <w:lang w:eastAsia="en-AU"/>
        </w:rPr>
        <w:footnoteReference w:id="8"/>
      </w:r>
      <w:r>
        <w:rPr>
          <w:rFonts w:asciiTheme="minorHAnsi" w:hAnsiTheme="minorHAnsi"/>
          <w:lang w:eastAsia="en-AU"/>
        </w:rPr>
        <w:t xml:space="preserve"> </w:t>
      </w:r>
    </w:p>
    <w:p w14:paraId="5495F5EE" w14:textId="7FD7BE33" w:rsidR="00C3087B" w:rsidRPr="0009339C" w:rsidRDefault="00C3087B" w:rsidP="001513E9">
      <w:pPr>
        <w:pStyle w:val="ListParagraph"/>
        <w:numPr>
          <w:ilvl w:val="0"/>
          <w:numId w:val="22"/>
        </w:numPr>
        <w:ind w:left="1418" w:hanging="698"/>
        <w:rPr>
          <w:rFonts w:asciiTheme="minorHAnsi" w:hAnsiTheme="minorHAnsi"/>
          <w:lang w:eastAsia="en-AU"/>
        </w:rPr>
      </w:pPr>
      <w:r w:rsidRPr="0009339C">
        <w:rPr>
          <w:rFonts w:asciiTheme="minorHAnsi" w:hAnsiTheme="minorHAnsi"/>
          <w:lang w:eastAsia="en-AU"/>
        </w:rPr>
        <w:t>The number of wells the subject of the app</w:t>
      </w:r>
      <w:r w:rsidR="009D7FF0">
        <w:rPr>
          <w:rFonts w:asciiTheme="minorHAnsi" w:hAnsiTheme="minorHAnsi"/>
          <w:lang w:eastAsia="en-AU"/>
        </w:rPr>
        <w:t>lication and the petroleum pool/pools</w:t>
      </w:r>
      <w:r w:rsidR="00866929">
        <w:rPr>
          <w:rFonts w:asciiTheme="minorHAnsi" w:hAnsiTheme="minorHAnsi"/>
          <w:lang w:eastAsia="en-AU"/>
        </w:rPr>
        <w:t xml:space="preserve"> that each well will target.</w:t>
      </w:r>
      <w:r w:rsidRPr="0009339C">
        <w:rPr>
          <w:rFonts w:asciiTheme="minorHAnsi" w:hAnsiTheme="minorHAnsi"/>
          <w:lang w:eastAsia="en-AU"/>
        </w:rPr>
        <w:t xml:space="preserve"> A description of the well including its name, number and location must be included</w:t>
      </w:r>
      <w:r w:rsidR="00091AE3" w:rsidRPr="00091AE3">
        <w:rPr>
          <w:rFonts w:asciiTheme="minorHAnsi" w:hAnsiTheme="minorHAnsi"/>
          <w:lang w:eastAsia="en-AU"/>
        </w:rPr>
        <w:t xml:space="preserve"> </w:t>
      </w:r>
      <w:r w:rsidR="00091AE3">
        <w:rPr>
          <w:rFonts w:asciiTheme="minorHAnsi" w:hAnsiTheme="minorHAnsi"/>
          <w:lang w:eastAsia="en-AU"/>
        </w:rPr>
        <w:t>and a summary of any previous periods of extended well testing for the relevant wells (if any)</w:t>
      </w:r>
      <w:r w:rsidRPr="0009339C">
        <w:rPr>
          <w:rFonts w:asciiTheme="minorHAnsi" w:hAnsiTheme="minorHAnsi"/>
          <w:lang w:eastAsia="en-AU"/>
        </w:rPr>
        <w:t>.</w:t>
      </w:r>
    </w:p>
    <w:p w14:paraId="18089842" w14:textId="11B3302B" w:rsidR="00C3087B" w:rsidRPr="0009339C" w:rsidRDefault="00C3087B" w:rsidP="001513E9">
      <w:pPr>
        <w:pStyle w:val="ListParagraph"/>
        <w:numPr>
          <w:ilvl w:val="0"/>
          <w:numId w:val="22"/>
        </w:numPr>
        <w:ind w:left="1418" w:hanging="698"/>
        <w:rPr>
          <w:rFonts w:asciiTheme="minorHAnsi" w:hAnsiTheme="minorHAnsi"/>
          <w:lang w:eastAsia="en-AU"/>
        </w:rPr>
      </w:pPr>
      <w:r w:rsidRPr="0009339C">
        <w:rPr>
          <w:rFonts w:asciiTheme="minorHAnsi" w:hAnsiTheme="minorHAnsi"/>
          <w:lang w:eastAsia="en-AU"/>
        </w:rPr>
        <w:t xml:space="preserve">The estimated likely volume to be </w:t>
      </w:r>
      <w:r w:rsidR="00440AD4" w:rsidRPr="0009339C">
        <w:rPr>
          <w:rFonts w:asciiTheme="minorHAnsi" w:hAnsiTheme="minorHAnsi"/>
          <w:lang w:eastAsia="en-AU"/>
        </w:rPr>
        <w:t>recovered</w:t>
      </w:r>
      <w:r w:rsidRPr="0009339C">
        <w:rPr>
          <w:rFonts w:asciiTheme="minorHAnsi" w:hAnsiTheme="minorHAnsi"/>
          <w:lang w:eastAsia="en-AU"/>
        </w:rPr>
        <w:t xml:space="preserve"> dur</w:t>
      </w:r>
      <w:r w:rsidR="00866929">
        <w:rPr>
          <w:rFonts w:asciiTheme="minorHAnsi" w:hAnsiTheme="minorHAnsi"/>
          <w:lang w:eastAsia="en-AU"/>
        </w:rPr>
        <w:t xml:space="preserve">ing the extended well testing. </w:t>
      </w:r>
      <w:r w:rsidRPr="0009339C">
        <w:rPr>
          <w:rFonts w:asciiTheme="minorHAnsi" w:hAnsiTheme="minorHAnsi"/>
          <w:lang w:eastAsia="en-AU"/>
        </w:rPr>
        <w:t xml:space="preserve">Details of the data, assumptions and methodologies used by the interest holder to determine the estimate must also </w:t>
      </w:r>
      <w:r w:rsidR="00866929">
        <w:rPr>
          <w:rFonts w:asciiTheme="minorHAnsi" w:hAnsiTheme="minorHAnsi"/>
          <w:lang w:eastAsia="en-AU"/>
        </w:rPr>
        <w:t>be included in the application.</w:t>
      </w:r>
      <w:r w:rsidRPr="0009339C">
        <w:rPr>
          <w:rFonts w:asciiTheme="minorHAnsi" w:hAnsiTheme="minorHAnsi"/>
          <w:lang w:eastAsia="en-AU"/>
        </w:rPr>
        <w:t xml:space="preserve"> If a range is provided then</w:t>
      </w:r>
      <w:r w:rsidR="00440AD4" w:rsidRPr="0009339C">
        <w:rPr>
          <w:rFonts w:asciiTheme="minorHAnsi" w:hAnsiTheme="minorHAnsi"/>
          <w:lang w:eastAsia="en-AU"/>
        </w:rPr>
        <w:t xml:space="preserve"> what factors impact on recovery must be outlined in the application</w:t>
      </w:r>
      <w:r w:rsidRPr="0009339C">
        <w:rPr>
          <w:rFonts w:asciiTheme="minorHAnsi" w:hAnsiTheme="minorHAnsi"/>
          <w:lang w:eastAsia="en-AU"/>
        </w:rPr>
        <w:t>.</w:t>
      </w:r>
    </w:p>
    <w:p w14:paraId="7AC01D37" w14:textId="2B4E0961" w:rsidR="00943908" w:rsidRPr="0009339C" w:rsidRDefault="00C3087B" w:rsidP="001513E9">
      <w:pPr>
        <w:pStyle w:val="ListParagraph"/>
        <w:numPr>
          <w:ilvl w:val="0"/>
          <w:numId w:val="22"/>
        </w:numPr>
        <w:ind w:left="1418" w:hanging="698"/>
        <w:rPr>
          <w:rFonts w:asciiTheme="minorHAnsi" w:hAnsiTheme="minorHAnsi"/>
          <w:lang w:eastAsia="en-AU"/>
        </w:rPr>
      </w:pPr>
      <w:r w:rsidRPr="0009339C">
        <w:rPr>
          <w:rFonts w:asciiTheme="minorHAnsi" w:hAnsiTheme="minorHAnsi"/>
          <w:lang w:eastAsia="en-AU"/>
        </w:rPr>
        <w:t xml:space="preserve">The rate at which petroleum </w:t>
      </w:r>
      <w:r w:rsidR="009D7FF0">
        <w:rPr>
          <w:rFonts w:asciiTheme="minorHAnsi" w:hAnsiTheme="minorHAnsi"/>
          <w:lang w:eastAsia="en-AU"/>
        </w:rPr>
        <w:t xml:space="preserve">is proposed to be </w:t>
      </w:r>
      <w:r w:rsidRPr="0009339C">
        <w:rPr>
          <w:rFonts w:asciiTheme="minorHAnsi" w:hAnsiTheme="minorHAnsi"/>
          <w:lang w:eastAsia="en-AU"/>
        </w:rPr>
        <w:t xml:space="preserve">recovered and </w:t>
      </w:r>
      <w:r w:rsidR="009D7FF0">
        <w:rPr>
          <w:rFonts w:asciiTheme="minorHAnsi" w:hAnsiTheme="minorHAnsi"/>
          <w:lang w:eastAsia="en-AU"/>
        </w:rPr>
        <w:t>an outline</w:t>
      </w:r>
      <w:r w:rsidRPr="0009339C">
        <w:rPr>
          <w:rFonts w:asciiTheme="minorHAnsi" w:hAnsiTheme="minorHAnsi"/>
          <w:lang w:eastAsia="en-AU"/>
        </w:rPr>
        <w:t xml:space="preserve"> </w:t>
      </w:r>
      <w:r w:rsidR="009D7FF0">
        <w:rPr>
          <w:rFonts w:asciiTheme="minorHAnsi" w:hAnsiTheme="minorHAnsi"/>
          <w:lang w:eastAsia="en-AU"/>
        </w:rPr>
        <w:t>of</w:t>
      </w:r>
      <w:r w:rsidRPr="0009339C">
        <w:rPr>
          <w:rFonts w:asciiTheme="minorHAnsi" w:hAnsiTheme="minorHAnsi"/>
          <w:lang w:eastAsia="en-AU"/>
        </w:rPr>
        <w:t xml:space="preserve"> the likely impact on the projected production profile for the petroleum</w:t>
      </w:r>
      <w:r w:rsidR="00440AD4" w:rsidRPr="0009339C">
        <w:rPr>
          <w:rFonts w:asciiTheme="minorHAnsi" w:hAnsiTheme="minorHAnsi"/>
          <w:lang w:eastAsia="en-AU"/>
        </w:rPr>
        <w:t xml:space="preserve"> pool</w:t>
      </w:r>
      <w:r w:rsidRPr="0009339C">
        <w:rPr>
          <w:rFonts w:asciiTheme="minorHAnsi" w:hAnsiTheme="minorHAnsi"/>
          <w:lang w:eastAsia="en-AU"/>
        </w:rPr>
        <w:t>.</w:t>
      </w:r>
      <w:r w:rsidR="00440AD4" w:rsidRPr="0009339C">
        <w:rPr>
          <w:rFonts w:asciiTheme="minorHAnsi" w:hAnsiTheme="minorHAnsi"/>
          <w:lang w:eastAsia="en-AU"/>
        </w:rPr>
        <w:t xml:space="preserve"> If a range is provided then what factors impact on the rate must be outlined in the application</w:t>
      </w:r>
    </w:p>
    <w:p w14:paraId="1CC5EBED" w14:textId="56E11E46" w:rsidR="00C3087B" w:rsidRPr="0009339C" w:rsidRDefault="00C3087B" w:rsidP="001513E9">
      <w:pPr>
        <w:pStyle w:val="ListParagraph"/>
        <w:ind w:left="1418"/>
        <w:rPr>
          <w:rFonts w:asciiTheme="minorHAnsi" w:hAnsiTheme="minorHAnsi"/>
          <w:lang w:eastAsia="en-AU"/>
        </w:rPr>
      </w:pPr>
      <w:r w:rsidRPr="0009339C">
        <w:rPr>
          <w:rFonts w:asciiTheme="minorHAnsi" w:hAnsiTheme="minorHAnsi"/>
        </w:rPr>
        <w:t xml:space="preserve">The </w:t>
      </w:r>
      <w:r w:rsidR="00F71A84">
        <w:rPr>
          <w:rFonts w:asciiTheme="minorHAnsi" w:hAnsiTheme="minorHAnsi"/>
        </w:rPr>
        <w:t xml:space="preserve">proposed </w:t>
      </w:r>
      <w:r w:rsidRPr="0009339C">
        <w:rPr>
          <w:rFonts w:asciiTheme="minorHAnsi" w:hAnsiTheme="minorHAnsi"/>
        </w:rPr>
        <w:t>rate at which petroleum being recovered for appraisal purposes must not compromise the ultimate recovery pote</w:t>
      </w:r>
      <w:r w:rsidR="00866929">
        <w:rPr>
          <w:rFonts w:asciiTheme="minorHAnsi" w:hAnsiTheme="minorHAnsi"/>
        </w:rPr>
        <w:t>ntial of the well or the field.</w:t>
      </w:r>
    </w:p>
    <w:p w14:paraId="241E7DBB" w14:textId="7E5AC22B" w:rsidR="0087719C" w:rsidRPr="0009339C" w:rsidRDefault="001134DB" w:rsidP="001513E9">
      <w:pPr>
        <w:pStyle w:val="ListParagraph"/>
        <w:numPr>
          <w:ilvl w:val="0"/>
          <w:numId w:val="10"/>
        </w:numPr>
        <w:ind w:hanging="720"/>
        <w:rPr>
          <w:rFonts w:asciiTheme="minorHAnsi" w:hAnsiTheme="minorHAnsi"/>
          <w:lang w:eastAsia="en-AU"/>
        </w:rPr>
      </w:pPr>
      <w:r w:rsidRPr="0009339C">
        <w:rPr>
          <w:rFonts w:asciiTheme="minorHAnsi" w:hAnsiTheme="minorHAnsi"/>
          <w:lang w:eastAsia="en-AU"/>
        </w:rPr>
        <w:t>Justification from the interest holder</w:t>
      </w:r>
      <w:r w:rsidR="00484564" w:rsidRPr="0009339C">
        <w:rPr>
          <w:rFonts w:asciiTheme="minorHAnsi" w:hAnsiTheme="minorHAnsi"/>
          <w:lang w:eastAsia="en-AU"/>
        </w:rPr>
        <w:t>, noting this is only an</w:t>
      </w:r>
      <w:r w:rsidRPr="0009339C">
        <w:rPr>
          <w:rFonts w:asciiTheme="minorHAnsi" w:hAnsiTheme="minorHAnsi"/>
          <w:lang w:eastAsia="en-AU"/>
        </w:rPr>
        <w:t xml:space="preserve"> application to recover petroleum on an appraisal basis, as to why production is not </w:t>
      </w:r>
      <w:r w:rsidR="008A6F6E" w:rsidRPr="0009339C">
        <w:rPr>
          <w:rFonts w:asciiTheme="minorHAnsi" w:hAnsiTheme="minorHAnsi"/>
          <w:lang w:eastAsia="en-AU"/>
        </w:rPr>
        <w:t xml:space="preserve">currently </w:t>
      </w:r>
      <w:r w:rsidRPr="0009339C">
        <w:rPr>
          <w:rFonts w:asciiTheme="minorHAnsi" w:hAnsiTheme="minorHAnsi"/>
          <w:lang w:eastAsia="en-AU"/>
        </w:rPr>
        <w:t>commercially viable</w:t>
      </w:r>
      <w:r w:rsidR="0087719C" w:rsidRPr="0009339C">
        <w:rPr>
          <w:rFonts w:asciiTheme="minorHAnsi" w:hAnsiTheme="minorHAnsi"/>
          <w:lang w:eastAsia="en-AU"/>
        </w:rPr>
        <w:t xml:space="preserve"> and therefore the interest holder cannot apply for a production licence</w:t>
      </w:r>
      <w:r w:rsidR="00484564" w:rsidRPr="0009339C">
        <w:rPr>
          <w:rFonts w:asciiTheme="minorHAnsi" w:hAnsiTheme="minorHAnsi"/>
          <w:lang w:eastAsia="en-AU"/>
        </w:rPr>
        <w:t>.</w:t>
      </w:r>
      <w:r w:rsidR="004305C6">
        <w:rPr>
          <w:rStyle w:val="FootnoteReference"/>
          <w:rFonts w:asciiTheme="minorHAnsi" w:hAnsiTheme="minorHAnsi"/>
          <w:lang w:eastAsia="en-AU"/>
        </w:rPr>
        <w:footnoteReference w:id="9"/>
      </w:r>
    </w:p>
    <w:p w14:paraId="63F48282" w14:textId="7A9C1120" w:rsidR="00F71A84" w:rsidRDefault="00484564" w:rsidP="001513E9">
      <w:pPr>
        <w:pStyle w:val="ListParagraph"/>
        <w:ind w:left="720"/>
        <w:rPr>
          <w:rFonts w:asciiTheme="minorHAnsi" w:hAnsiTheme="minorHAnsi"/>
          <w:lang w:eastAsia="en-AU"/>
        </w:rPr>
      </w:pPr>
      <w:r w:rsidRPr="0009339C">
        <w:rPr>
          <w:rFonts w:asciiTheme="minorHAnsi" w:hAnsiTheme="minorHAnsi"/>
          <w:lang w:eastAsia="en-AU"/>
        </w:rPr>
        <w:t xml:space="preserve">The interest holder must consider </w:t>
      </w:r>
      <w:r w:rsidR="00D341C5" w:rsidRPr="0009339C">
        <w:rPr>
          <w:rFonts w:asciiTheme="minorHAnsi" w:hAnsiTheme="minorHAnsi"/>
          <w:lang w:eastAsia="en-AU"/>
        </w:rPr>
        <w:t xml:space="preserve">the </w:t>
      </w:r>
      <w:r w:rsidR="00D341C5" w:rsidRPr="0009339C">
        <w:rPr>
          <w:rFonts w:asciiTheme="minorHAnsi" w:hAnsiTheme="minorHAnsi"/>
          <w:i/>
          <w:lang w:eastAsia="en-AU"/>
        </w:rPr>
        <w:t>Petroleum Resources Management System</w:t>
      </w:r>
      <w:r w:rsidR="00D341C5" w:rsidRPr="0009339C">
        <w:rPr>
          <w:rStyle w:val="FootnoteReference"/>
          <w:rFonts w:asciiTheme="minorHAnsi" w:hAnsiTheme="minorHAnsi"/>
          <w:i/>
          <w:lang w:eastAsia="en-AU"/>
        </w:rPr>
        <w:footnoteReference w:id="10"/>
      </w:r>
      <w:r w:rsidR="00D341C5" w:rsidRPr="0009339C">
        <w:rPr>
          <w:rFonts w:asciiTheme="minorHAnsi" w:hAnsiTheme="minorHAnsi"/>
          <w:i/>
          <w:lang w:eastAsia="en-AU"/>
        </w:rPr>
        <w:t xml:space="preserve"> </w:t>
      </w:r>
      <w:r w:rsidR="00D341C5" w:rsidRPr="0009339C">
        <w:rPr>
          <w:rFonts w:asciiTheme="minorHAnsi" w:hAnsiTheme="minorHAnsi"/>
          <w:lang w:eastAsia="en-AU"/>
        </w:rPr>
        <w:t>and demonstrate to the Minister that the interest</w:t>
      </w:r>
      <w:r w:rsidR="0087719C" w:rsidRPr="0009339C">
        <w:rPr>
          <w:rFonts w:asciiTheme="minorHAnsi" w:hAnsiTheme="minorHAnsi"/>
          <w:lang w:eastAsia="en-AU"/>
        </w:rPr>
        <w:t xml:space="preserve"> holder has undertaken a</w:t>
      </w:r>
      <w:r w:rsidR="00D341C5" w:rsidRPr="0009339C">
        <w:rPr>
          <w:rFonts w:asciiTheme="minorHAnsi" w:hAnsiTheme="minorHAnsi"/>
          <w:lang w:eastAsia="en-AU"/>
        </w:rPr>
        <w:t xml:space="preserve"> fulsome analysis</w:t>
      </w:r>
      <w:r w:rsidR="0087719C" w:rsidRPr="0009339C">
        <w:rPr>
          <w:rFonts w:asciiTheme="minorHAnsi" w:hAnsiTheme="minorHAnsi"/>
          <w:lang w:eastAsia="en-AU"/>
        </w:rPr>
        <w:t xml:space="preserve"> of potential production scenarios (based on their current analysis of the petroleum pool)</w:t>
      </w:r>
      <w:r w:rsidR="00D341C5" w:rsidRPr="0009339C">
        <w:rPr>
          <w:rFonts w:asciiTheme="minorHAnsi" w:hAnsiTheme="minorHAnsi"/>
          <w:lang w:eastAsia="en-AU"/>
        </w:rPr>
        <w:t xml:space="preserve"> </w:t>
      </w:r>
      <w:r w:rsidR="00F71A84">
        <w:rPr>
          <w:rFonts w:asciiTheme="minorHAnsi" w:hAnsiTheme="minorHAnsi"/>
          <w:lang w:eastAsia="en-AU"/>
        </w:rPr>
        <w:t xml:space="preserve">of the petroleum interest </w:t>
      </w:r>
      <w:r w:rsidR="00D341C5" w:rsidRPr="0009339C">
        <w:rPr>
          <w:rFonts w:asciiTheme="minorHAnsi" w:hAnsiTheme="minorHAnsi"/>
          <w:lang w:eastAsia="en-AU"/>
        </w:rPr>
        <w:t>and</w:t>
      </w:r>
      <w:r w:rsidR="0087719C" w:rsidRPr="0009339C">
        <w:rPr>
          <w:rFonts w:asciiTheme="minorHAnsi" w:hAnsiTheme="minorHAnsi"/>
          <w:lang w:eastAsia="en-AU"/>
        </w:rPr>
        <w:t xml:space="preserve"> outline</w:t>
      </w:r>
      <w:r w:rsidR="00C3087B" w:rsidRPr="0009339C">
        <w:rPr>
          <w:rFonts w:asciiTheme="minorHAnsi" w:hAnsiTheme="minorHAnsi"/>
          <w:lang w:eastAsia="en-AU"/>
        </w:rPr>
        <w:t xml:space="preserve"> </w:t>
      </w:r>
      <w:r w:rsidR="00F71A84">
        <w:rPr>
          <w:rFonts w:asciiTheme="minorHAnsi" w:hAnsiTheme="minorHAnsi"/>
          <w:lang w:eastAsia="en-AU"/>
        </w:rPr>
        <w:t xml:space="preserve">why they consider </w:t>
      </w:r>
      <w:r w:rsidR="00866929">
        <w:rPr>
          <w:rFonts w:asciiTheme="minorHAnsi" w:hAnsiTheme="minorHAnsi"/>
          <w:lang w:eastAsia="en-AU"/>
        </w:rPr>
        <w:t>that production is not viable.</w:t>
      </w:r>
    </w:p>
    <w:p w14:paraId="0DB9F532" w14:textId="40BE6D54" w:rsidR="00D341C5" w:rsidRPr="0009339C" w:rsidRDefault="00C3087B" w:rsidP="001513E9">
      <w:pPr>
        <w:pStyle w:val="ListParagraph"/>
        <w:ind w:left="720"/>
        <w:rPr>
          <w:rFonts w:asciiTheme="minorHAnsi" w:hAnsiTheme="minorHAnsi"/>
          <w:lang w:eastAsia="en-AU"/>
        </w:rPr>
      </w:pPr>
      <w:r w:rsidRPr="0009339C">
        <w:rPr>
          <w:rFonts w:asciiTheme="minorHAnsi" w:hAnsiTheme="minorHAnsi"/>
          <w:lang w:eastAsia="en-AU"/>
        </w:rPr>
        <w:t>Specifically</w:t>
      </w:r>
      <w:r w:rsidR="00F13467">
        <w:rPr>
          <w:rFonts w:asciiTheme="minorHAnsi" w:hAnsiTheme="minorHAnsi"/>
          <w:lang w:eastAsia="en-AU"/>
        </w:rPr>
        <w:t>,</w:t>
      </w:r>
      <w:r w:rsidRPr="0009339C">
        <w:rPr>
          <w:rFonts w:asciiTheme="minorHAnsi" w:hAnsiTheme="minorHAnsi"/>
          <w:lang w:eastAsia="en-AU"/>
        </w:rPr>
        <w:t xml:space="preserve"> an interest holder must provide an explanation as to whether or not</w:t>
      </w:r>
      <w:r w:rsidR="00866929">
        <w:rPr>
          <w:rFonts w:asciiTheme="minorHAnsi" w:hAnsiTheme="minorHAnsi"/>
          <w:i/>
          <w:lang w:eastAsia="en-AU"/>
        </w:rPr>
        <w:t>:</w:t>
      </w:r>
    </w:p>
    <w:p w14:paraId="2916D5EC" w14:textId="1FFF304C" w:rsidR="00D341C5" w:rsidRPr="0009339C" w:rsidRDefault="0087719C" w:rsidP="001513E9">
      <w:pPr>
        <w:pStyle w:val="ListParagraph"/>
        <w:numPr>
          <w:ilvl w:val="0"/>
          <w:numId w:val="13"/>
        </w:numPr>
        <w:ind w:left="1418" w:hanging="698"/>
        <w:rPr>
          <w:rFonts w:asciiTheme="minorHAnsi" w:hAnsiTheme="minorHAnsi"/>
          <w:lang w:eastAsia="en-AU"/>
        </w:rPr>
      </w:pPr>
      <w:r w:rsidRPr="0009339C">
        <w:rPr>
          <w:rFonts w:asciiTheme="minorHAnsi" w:hAnsiTheme="minorHAnsi"/>
        </w:rPr>
        <w:t>t</w:t>
      </w:r>
      <w:r w:rsidR="00D341C5" w:rsidRPr="0009339C">
        <w:rPr>
          <w:rFonts w:asciiTheme="minorHAnsi" w:hAnsiTheme="minorHAnsi"/>
        </w:rPr>
        <w:t xml:space="preserve">here is sufficient certainty of the extent of the petroleum pool to justify </w:t>
      </w:r>
      <w:r w:rsidRPr="0009339C">
        <w:rPr>
          <w:rFonts w:asciiTheme="minorHAnsi" w:hAnsiTheme="minorHAnsi"/>
        </w:rPr>
        <w:t xml:space="preserve">production </w:t>
      </w:r>
      <w:r w:rsidR="00D341C5" w:rsidRPr="0009339C">
        <w:rPr>
          <w:rFonts w:asciiTheme="minorHAnsi" w:hAnsiTheme="minorHAnsi"/>
        </w:rPr>
        <w:t>development;</w:t>
      </w:r>
    </w:p>
    <w:p w14:paraId="6C198A56" w14:textId="6ED3FD16" w:rsidR="00D341C5" w:rsidRPr="0009339C" w:rsidRDefault="0087719C" w:rsidP="001513E9">
      <w:pPr>
        <w:pStyle w:val="ListParagraph"/>
        <w:numPr>
          <w:ilvl w:val="0"/>
          <w:numId w:val="13"/>
        </w:numPr>
        <w:ind w:left="1418" w:hanging="698"/>
        <w:rPr>
          <w:rFonts w:asciiTheme="minorHAnsi" w:hAnsiTheme="minorHAnsi"/>
          <w:lang w:eastAsia="en-AU"/>
        </w:rPr>
      </w:pPr>
      <w:r w:rsidRPr="0009339C">
        <w:rPr>
          <w:rFonts w:asciiTheme="minorHAnsi" w:hAnsiTheme="minorHAnsi"/>
          <w:lang w:eastAsia="en-AU"/>
        </w:rPr>
        <w:lastRenderedPageBreak/>
        <w:t xml:space="preserve">it is reasonable that </w:t>
      </w:r>
      <w:r w:rsidR="00D341C5" w:rsidRPr="0009339C">
        <w:rPr>
          <w:rFonts w:asciiTheme="minorHAnsi" w:hAnsiTheme="minorHAnsi"/>
          <w:lang w:eastAsia="en-AU"/>
        </w:rPr>
        <w:t xml:space="preserve">financial appropriations </w:t>
      </w:r>
      <w:r w:rsidRPr="0009339C">
        <w:rPr>
          <w:rFonts w:asciiTheme="minorHAnsi" w:hAnsiTheme="minorHAnsi"/>
          <w:lang w:eastAsia="en-AU"/>
        </w:rPr>
        <w:t>can be secured (to</w:t>
      </w:r>
      <w:r w:rsidR="00D341C5" w:rsidRPr="0009339C">
        <w:rPr>
          <w:rFonts w:asciiTheme="minorHAnsi" w:hAnsiTheme="minorHAnsi"/>
          <w:lang w:eastAsia="en-AU"/>
        </w:rPr>
        <w:t xml:space="preserve"> a high likelihood</w:t>
      </w:r>
      <w:r w:rsidRPr="0009339C">
        <w:rPr>
          <w:rFonts w:asciiTheme="minorHAnsi" w:hAnsiTheme="minorHAnsi"/>
          <w:lang w:eastAsia="en-AU"/>
        </w:rPr>
        <w:t>)</w:t>
      </w:r>
      <w:r w:rsidR="00D341C5" w:rsidRPr="0009339C">
        <w:rPr>
          <w:rFonts w:asciiTheme="minorHAnsi" w:hAnsiTheme="minorHAnsi"/>
          <w:lang w:eastAsia="en-AU"/>
        </w:rPr>
        <w:t xml:space="preserve"> </w:t>
      </w:r>
      <w:r w:rsidRPr="0009339C">
        <w:rPr>
          <w:rFonts w:asciiTheme="minorHAnsi" w:hAnsiTheme="minorHAnsi"/>
          <w:lang w:eastAsia="en-AU"/>
        </w:rPr>
        <w:t>to implement the production development;</w:t>
      </w:r>
    </w:p>
    <w:p w14:paraId="77FC4810" w14:textId="5C7A559C" w:rsidR="00D341C5" w:rsidRPr="0009339C" w:rsidRDefault="0087719C" w:rsidP="001513E9">
      <w:pPr>
        <w:pStyle w:val="ListParagraph"/>
        <w:numPr>
          <w:ilvl w:val="0"/>
          <w:numId w:val="13"/>
        </w:numPr>
        <w:ind w:left="1418" w:hanging="698"/>
        <w:rPr>
          <w:rFonts w:asciiTheme="minorHAnsi" w:hAnsiTheme="minorHAnsi"/>
          <w:lang w:eastAsia="en-AU"/>
        </w:rPr>
      </w:pPr>
      <w:r w:rsidRPr="0009339C">
        <w:rPr>
          <w:rFonts w:asciiTheme="minorHAnsi" w:hAnsiTheme="minorHAnsi"/>
          <w:lang w:eastAsia="en-AU"/>
        </w:rPr>
        <w:t>t</w:t>
      </w:r>
      <w:r w:rsidR="00D341C5" w:rsidRPr="0009339C">
        <w:rPr>
          <w:rFonts w:asciiTheme="minorHAnsi" w:hAnsiTheme="minorHAnsi"/>
          <w:lang w:eastAsia="en-AU"/>
        </w:rPr>
        <w:t xml:space="preserve">here is a reasonable assessment that </w:t>
      </w:r>
      <w:r w:rsidRPr="0009339C">
        <w:rPr>
          <w:rFonts w:asciiTheme="minorHAnsi" w:hAnsiTheme="minorHAnsi"/>
          <w:lang w:eastAsia="en-AU"/>
        </w:rPr>
        <w:t xml:space="preserve">a production development will </w:t>
      </w:r>
      <w:r w:rsidR="00D341C5" w:rsidRPr="0009339C">
        <w:rPr>
          <w:rFonts w:asciiTheme="minorHAnsi" w:hAnsiTheme="minorHAnsi"/>
          <w:lang w:eastAsia="en-AU"/>
        </w:rPr>
        <w:t xml:space="preserve">have positive economics </w:t>
      </w:r>
      <w:r w:rsidRPr="0009339C">
        <w:rPr>
          <w:rFonts w:asciiTheme="minorHAnsi" w:hAnsiTheme="minorHAnsi"/>
          <w:lang w:eastAsia="en-AU"/>
        </w:rPr>
        <w:t xml:space="preserve">or </w:t>
      </w:r>
      <w:r w:rsidR="00D341C5" w:rsidRPr="0009339C">
        <w:rPr>
          <w:rFonts w:asciiTheme="minorHAnsi" w:hAnsiTheme="minorHAnsi"/>
          <w:lang w:eastAsia="en-AU"/>
        </w:rPr>
        <w:t>meet defined in</w:t>
      </w:r>
      <w:r w:rsidRPr="0009339C">
        <w:rPr>
          <w:rFonts w:asciiTheme="minorHAnsi" w:hAnsiTheme="minorHAnsi"/>
          <w:lang w:eastAsia="en-AU"/>
        </w:rPr>
        <w:t>vestment and operating criteria;</w:t>
      </w:r>
    </w:p>
    <w:p w14:paraId="246587F3" w14:textId="28E072C2" w:rsidR="00D341C5" w:rsidRPr="0009339C" w:rsidRDefault="00C3087B" w:rsidP="001513E9">
      <w:pPr>
        <w:pStyle w:val="ListParagraph"/>
        <w:numPr>
          <w:ilvl w:val="0"/>
          <w:numId w:val="13"/>
        </w:numPr>
        <w:ind w:left="1418" w:hanging="698"/>
        <w:rPr>
          <w:rFonts w:asciiTheme="minorHAnsi" w:hAnsiTheme="minorHAnsi"/>
          <w:lang w:eastAsia="en-AU"/>
        </w:rPr>
      </w:pPr>
      <w:r w:rsidRPr="0009339C">
        <w:rPr>
          <w:rFonts w:asciiTheme="minorHAnsi" w:hAnsiTheme="minorHAnsi"/>
          <w:lang w:eastAsia="en-AU"/>
        </w:rPr>
        <w:t>t</w:t>
      </w:r>
      <w:r w:rsidR="0087719C" w:rsidRPr="0009339C">
        <w:rPr>
          <w:rFonts w:asciiTheme="minorHAnsi" w:hAnsiTheme="minorHAnsi"/>
          <w:lang w:eastAsia="en-AU"/>
        </w:rPr>
        <w:t>here is</w:t>
      </w:r>
      <w:r w:rsidR="00D341C5" w:rsidRPr="0009339C">
        <w:rPr>
          <w:rFonts w:asciiTheme="minorHAnsi" w:hAnsiTheme="minorHAnsi"/>
          <w:lang w:eastAsia="en-AU"/>
        </w:rPr>
        <w:t xml:space="preserve"> a reasonable expectation that there will be a market for forecast sales quantities of the </w:t>
      </w:r>
      <w:r w:rsidR="0087719C" w:rsidRPr="0009339C">
        <w:rPr>
          <w:rFonts w:asciiTheme="minorHAnsi" w:hAnsiTheme="minorHAnsi"/>
          <w:lang w:eastAsia="en-AU"/>
        </w:rPr>
        <w:t>petroleum</w:t>
      </w:r>
      <w:r w:rsidR="00D341C5" w:rsidRPr="0009339C">
        <w:rPr>
          <w:rFonts w:asciiTheme="minorHAnsi" w:hAnsiTheme="minorHAnsi"/>
          <w:lang w:eastAsia="en-AU"/>
        </w:rPr>
        <w:t xml:space="preserve"> required to justify</w:t>
      </w:r>
      <w:r w:rsidR="0087719C" w:rsidRPr="0009339C">
        <w:rPr>
          <w:rFonts w:asciiTheme="minorHAnsi" w:hAnsiTheme="minorHAnsi"/>
          <w:lang w:eastAsia="en-AU"/>
        </w:rPr>
        <w:t xml:space="preserve"> production</w:t>
      </w:r>
      <w:r w:rsidR="00D341C5" w:rsidRPr="0009339C">
        <w:rPr>
          <w:rFonts w:asciiTheme="minorHAnsi" w:hAnsiTheme="minorHAnsi"/>
          <w:lang w:eastAsia="en-AU"/>
        </w:rPr>
        <w:t xml:space="preserve"> development</w:t>
      </w:r>
      <w:r w:rsidR="0087719C" w:rsidRPr="0009339C">
        <w:rPr>
          <w:rFonts w:asciiTheme="minorHAnsi" w:hAnsiTheme="minorHAnsi"/>
          <w:lang w:eastAsia="en-AU"/>
        </w:rPr>
        <w:t>;</w:t>
      </w:r>
      <w:r w:rsidR="00F71A84">
        <w:rPr>
          <w:rFonts w:asciiTheme="minorHAnsi" w:hAnsiTheme="minorHAnsi"/>
          <w:lang w:eastAsia="en-AU"/>
        </w:rPr>
        <w:t xml:space="preserve"> and</w:t>
      </w:r>
    </w:p>
    <w:p w14:paraId="661D2BC0" w14:textId="55CBA323" w:rsidR="00D341C5" w:rsidRPr="0009339C" w:rsidRDefault="0087719C" w:rsidP="001513E9">
      <w:pPr>
        <w:pStyle w:val="ListParagraph"/>
        <w:numPr>
          <w:ilvl w:val="0"/>
          <w:numId w:val="13"/>
        </w:numPr>
        <w:ind w:left="1418" w:hanging="698"/>
        <w:rPr>
          <w:rFonts w:asciiTheme="minorHAnsi" w:hAnsiTheme="minorHAnsi"/>
          <w:lang w:eastAsia="en-AU"/>
        </w:rPr>
      </w:pPr>
      <w:r w:rsidRPr="0009339C">
        <w:rPr>
          <w:rFonts w:asciiTheme="minorHAnsi" w:hAnsiTheme="minorHAnsi"/>
          <w:lang w:eastAsia="en-AU"/>
        </w:rPr>
        <w:t>t</w:t>
      </w:r>
      <w:r w:rsidR="00D341C5" w:rsidRPr="0009339C">
        <w:rPr>
          <w:rFonts w:asciiTheme="minorHAnsi" w:hAnsiTheme="minorHAnsi"/>
          <w:lang w:eastAsia="en-AU"/>
        </w:rPr>
        <w:t>here is evidence that the necessary production and transportation facilities are available</w:t>
      </w:r>
      <w:r w:rsidRPr="0009339C">
        <w:rPr>
          <w:rFonts w:asciiTheme="minorHAnsi" w:hAnsiTheme="minorHAnsi"/>
          <w:lang w:eastAsia="en-AU"/>
        </w:rPr>
        <w:t xml:space="preserve"> to support a production development</w:t>
      </w:r>
      <w:r w:rsidR="00D341C5" w:rsidRPr="0009339C">
        <w:rPr>
          <w:rFonts w:asciiTheme="minorHAnsi" w:hAnsiTheme="minorHAnsi"/>
          <w:lang w:eastAsia="en-AU"/>
        </w:rPr>
        <w:t>.</w:t>
      </w:r>
    </w:p>
    <w:p w14:paraId="270D2A11" w14:textId="6205BD12" w:rsidR="001134DB" w:rsidRPr="0009339C" w:rsidRDefault="00C0726B" w:rsidP="001513E9">
      <w:pPr>
        <w:pStyle w:val="ListParagraph"/>
        <w:numPr>
          <w:ilvl w:val="0"/>
          <w:numId w:val="10"/>
        </w:numPr>
        <w:ind w:hanging="720"/>
        <w:rPr>
          <w:rFonts w:asciiTheme="minorHAnsi" w:hAnsiTheme="minorHAnsi"/>
          <w:lang w:eastAsia="en-AU"/>
        </w:rPr>
      </w:pPr>
      <w:r w:rsidRPr="0009339C">
        <w:rPr>
          <w:rFonts w:asciiTheme="minorHAnsi" w:hAnsiTheme="minorHAnsi"/>
          <w:lang w:eastAsia="en-AU"/>
        </w:rPr>
        <w:t>The interest holder’s proposal for</w:t>
      </w:r>
      <w:r w:rsidR="00156710" w:rsidRPr="0009339C">
        <w:rPr>
          <w:rFonts w:asciiTheme="minorHAnsi" w:hAnsiTheme="minorHAnsi"/>
          <w:lang w:eastAsia="en-AU"/>
        </w:rPr>
        <w:t xml:space="preserve"> the </w:t>
      </w:r>
      <w:r w:rsidR="00DF5A69" w:rsidRPr="0009339C">
        <w:rPr>
          <w:rFonts w:asciiTheme="minorHAnsi" w:hAnsiTheme="minorHAnsi"/>
          <w:lang w:eastAsia="en-AU"/>
        </w:rPr>
        <w:t>appraisal pr</w:t>
      </w:r>
      <w:r w:rsidR="00034868" w:rsidRPr="0009339C">
        <w:rPr>
          <w:rFonts w:asciiTheme="minorHAnsi" w:hAnsiTheme="minorHAnsi"/>
          <w:lang w:eastAsia="en-AU"/>
        </w:rPr>
        <w:t xml:space="preserve">oduction infrastructure to be constructed </w:t>
      </w:r>
      <w:r w:rsidR="00E10ACD" w:rsidRPr="0009339C">
        <w:rPr>
          <w:rFonts w:asciiTheme="minorHAnsi" w:hAnsiTheme="minorHAnsi"/>
          <w:lang w:eastAsia="en-AU"/>
        </w:rPr>
        <w:t>on the petroleum interest required for</w:t>
      </w:r>
      <w:r w:rsidR="00034868" w:rsidRPr="0009339C">
        <w:rPr>
          <w:rFonts w:asciiTheme="minorHAnsi" w:hAnsiTheme="minorHAnsi"/>
          <w:lang w:eastAsia="en-AU"/>
        </w:rPr>
        <w:t xml:space="preserve"> the recovery of petroleum on an appraisal basis</w:t>
      </w:r>
      <w:r w:rsidR="00866929">
        <w:rPr>
          <w:rFonts w:asciiTheme="minorHAnsi" w:hAnsiTheme="minorHAnsi"/>
          <w:lang w:eastAsia="en-AU"/>
        </w:rPr>
        <w:t>.</w:t>
      </w:r>
      <w:r w:rsidRPr="0009339C">
        <w:rPr>
          <w:rFonts w:asciiTheme="minorHAnsi" w:hAnsiTheme="minorHAnsi"/>
          <w:lang w:eastAsia="en-AU"/>
        </w:rPr>
        <w:t xml:space="preserve"> The proposal must include a plan</w:t>
      </w:r>
      <w:r w:rsidR="00E10ACD" w:rsidRPr="0009339C">
        <w:rPr>
          <w:rFonts w:asciiTheme="minorHAnsi" w:hAnsiTheme="minorHAnsi"/>
          <w:lang w:eastAsia="en-AU"/>
        </w:rPr>
        <w:t xml:space="preserve"> </w:t>
      </w:r>
      <w:r w:rsidRPr="0009339C">
        <w:rPr>
          <w:rFonts w:asciiTheme="minorHAnsi" w:hAnsiTheme="minorHAnsi"/>
          <w:lang w:eastAsia="en-AU"/>
        </w:rPr>
        <w:t xml:space="preserve">of the proposed appraisal production infrastructure that demonstrates the infrastructure will be </w:t>
      </w:r>
      <w:r w:rsidR="00ED2E46" w:rsidRPr="0009339C">
        <w:rPr>
          <w:rFonts w:asciiTheme="minorHAnsi" w:hAnsiTheme="minorHAnsi"/>
          <w:noProof/>
        </w:rPr>
        <w:t xml:space="preserve">appropriately designed, built, operated and decommissioned to ensure that petroleum recovered will be appropriately managed from the point of extraction at the wellhead to the point of removal from the </w:t>
      </w:r>
      <w:r w:rsidRPr="0009339C">
        <w:rPr>
          <w:rFonts w:asciiTheme="minorHAnsi" w:hAnsiTheme="minorHAnsi"/>
          <w:noProof/>
        </w:rPr>
        <w:t>petroleum interest</w:t>
      </w:r>
      <w:r w:rsidR="00ED2E46" w:rsidRPr="0009339C">
        <w:rPr>
          <w:rFonts w:asciiTheme="minorHAnsi" w:hAnsiTheme="minorHAnsi"/>
          <w:noProof/>
        </w:rPr>
        <w:t>.</w:t>
      </w:r>
    </w:p>
    <w:p w14:paraId="3F138DA4" w14:textId="4A153B89" w:rsidR="00156710" w:rsidRPr="0009339C" w:rsidRDefault="00E10ACD" w:rsidP="001513E9">
      <w:pPr>
        <w:pStyle w:val="ListParagraph"/>
        <w:ind w:left="720"/>
        <w:rPr>
          <w:rFonts w:asciiTheme="minorHAnsi" w:hAnsiTheme="minorHAnsi"/>
          <w:lang w:eastAsia="en-AU"/>
        </w:rPr>
      </w:pPr>
      <w:r w:rsidRPr="0009339C">
        <w:rPr>
          <w:rFonts w:asciiTheme="minorHAnsi" w:hAnsiTheme="minorHAnsi"/>
          <w:lang w:eastAsia="en-AU"/>
        </w:rPr>
        <w:t xml:space="preserve">Appraisal production infrastructure is </w:t>
      </w:r>
      <w:r w:rsidR="00DF5A69" w:rsidRPr="0009339C">
        <w:rPr>
          <w:rFonts w:asciiTheme="minorHAnsi" w:hAnsiTheme="minorHAnsi"/>
          <w:lang w:eastAsia="en-AU"/>
        </w:rPr>
        <w:t xml:space="preserve">either temporary or semi-permanent </w:t>
      </w:r>
      <w:r w:rsidRPr="0009339C">
        <w:rPr>
          <w:rFonts w:asciiTheme="minorHAnsi" w:hAnsiTheme="minorHAnsi"/>
          <w:lang w:eastAsia="en-AU"/>
        </w:rPr>
        <w:t>surface infrastructure</w:t>
      </w:r>
      <w:r w:rsidR="00764346" w:rsidRPr="0009339C">
        <w:rPr>
          <w:rFonts w:asciiTheme="minorHAnsi" w:hAnsiTheme="minorHAnsi"/>
          <w:lang w:eastAsia="en-AU"/>
        </w:rPr>
        <w:t xml:space="preserve"> and the </w:t>
      </w:r>
      <w:r w:rsidR="00C0726B" w:rsidRPr="0009339C">
        <w:rPr>
          <w:rFonts w:asciiTheme="minorHAnsi" w:hAnsiTheme="minorHAnsi"/>
          <w:lang w:eastAsia="en-AU"/>
        </w:rPr>
        <w:t>interest</w:t>
      </w:r>
      <w:r w:rsidR="00F71A84">
        <w:rPr>
          <w:rFonts w:asciiTheme="minorHAnsi" w:hAnsiTheme="minorHAnsi"/>
          <w:lang w:eastAsia="en-AU"/>
        </w:rPr>
        <w:t xml:space="preserve"> </w:t>
      </w:r>
      <w:r w:rsidR="00C0726B" w:rsidRPr="0009339C">
        <w:rPr>
          <w:rFonts w:asciiTheme="minorHAnsi" w:hAnsiTheme="minorHAnsi"/>
          <w:lang w:eastAsia="en-AU"/>
        </w:rPr>
        <w:t xml:space="preserve">holder’s </w:t>
      </w:r>
      <w:r w:rsidR="00764346" w:rsidRPr="0009339C">
        <w:rPr>
          <w:rFonts w:asciiTheme="minorHAnsi" w:hAnsiTheme="minorHAnsi"/>
          <w:lang w:eastAsia="en-AU"/>
        </w:rPr>
        <w:t xml:space="preserve">proposal must include information regarding </w:t>
      </w:r>
      <w:r w:rsidR="00F71A84">
        <w:rPr>
          <w:rFonts w:asciiTheme="minorHAnsi" w:hAnsiTheme="minorHAnsi"/>
          <w:lang w:eastAsia="en-AU"/>
        </w:rPr>
        <w:t xml:space="preserve">the </w:t>
      </w:r>
      <w:r w:rsidR="00764346" w:rsidRPr="0009339C">
        <w:rPr>
          <w:rFonts w:asciiTheme="minorHAnsi" w:hAnsiTheme="minorHAnsi"/>
          <w:lang w:eastAsia="en-AU"/>
        </w:rPr>
        <w:t>proposed decommissioning</w:t>
      </w:r>
      <w:r w:rsidR="00F71A84">
        <w:rPr>
          <w:rFonts w:asciiTheme="minorHAnsi" w:hAnsiTheme="minorHAnsi"/>
          <w:lang w:eastAsia="en-AU"/>
        </w:rPr>
        <w:t xml:space="preserve"> of that infrastructure</w:t>
      </w:r>
      <w:r w:rsidR="00866929">
        <w:rPr>
          <w:rFonts w:asciiTheme="minorHAnsi" w:hAnsiTheme="minorHAnsi"/>
          <w:lang w:eastAsia="en-AU"/>
        </w:rPr>
        <w:t xml:space="preserve">. </w:t>
      </w:r>
      <w:r w:rsidRPr="0009339C">
        <w:rPr>
          <w:rFonts w:asciiTheme="minorHAnsi" w:hAnsiTheme="minorHAnsi"/>
          <w:lang w:eastAsia="en-AU"/>
        </w:rPr>
        <w:t xml:space="preserve">Appraisal production infrastructure does not include a well or any pipelines which may be constructed outside of a petroleum interest and regulated under the </w:t>
      </w:r>
      <w:r w:rsidRPr="0009339C">
        <w:rPr>
          <w:rFonts w:asciiTheme="minorHAnsi" w:hAnsiTheme="minorHAnsi"/>
          <w:i/>
          <w:lang w:eastAsia="en-AU"/>
        </w:rPr>
        <w:t>Energy Pipelines A</w:t>
      </w:r>
      <w:r w:rsidR="00F71A84">
        <w:rPr>
          <w:rFonts w:asciiTheme="minorHAnsi" w:hAnsiTheme="minorHAnsi"/>
          <w:i/>
          <w:lang w:eastAsia="en-AU"/>
        </w:rPr>
        <w:t>ct </w:t>
      </w:r>
      <w:r w:rsidR="00A773AE" w:rsidRPr="0009339C">
        <w:rPr>
          <w:rFonts w:asciiTheme="minorHAnsi" w:hAnsiTheme="minorHAnsi"/>
          <w:i/>
          <w:lang w:eastAsia="en-AU"/>
        </w:rPr>
        <w:t>1981</w:t>
      </w:r>
      <w:r w:rsidRPr="0009339C">
        <w:rPr>
          <w:rFonts w:asciiTheme="minorHAnsi" w:hAnsiTheme="minorHAnsi"/>
          <w:lang w:eastAsia="en-AU"/>
        </w:rPr>
        <w:t>.</w:t>
      </w:r>
    </w:p>
    <w:p w14:paraId="5EB3BF9B" w14:textId="183313FC" w:rsidR="00C0726B" w:rsidRPr="0009339C" w:rsidRDefault="002A6A58" w:rsidP="001513E9">
      <w:pPr>
        <w:pStyle w:val="ListParagraph"/>
        <w:ind w:left="720"/>
        <w:rPr>
          <w:rFonts w:asciiTheme="minorHAnsi" w:hAnsiTheme="minorHAnsi"/>
          <w:lang w:eastAsia="en-AU"/>
        </w:rPr>
      </w:pPr>
      <w:r w:rsidRPr="0009339C">
        <w:rPr>
          <w:rFonts w:asciiTheme="minorHAnsi" w:hAnsiTheme="minorHAnsi"/>
          <w:lang w:eastAsia="en-AU"/>
        </w:rPr>
        <w:t>The plan</w:t>
      </w:r>
      <w:r w:rsidR="00C0726B" w:rsidRPr="0009339C">
        <w:rPr>
          <w:rFonts w:asciiTheme="minorHAnsi" w:hAnsiTheme="minorHAnsi"/>
          <w:lang w:eastAsia="en-AU"/>
        </w:rPr>
        <w:t xml:space="preserve"> must</w:t>
      </w:r>
      <w:r w:rsidR="0009339C">
        <w:rPr>
          <w:rFonts w:asciiTheme="minorHAnsi" w:hAnsiTheme="minorHAnsi"/>
          <w:lang w:eastAsia="en-AU"/>
        </w:rPr>
        <w:t xml:space="preserve"> include the following</w:t>
      </w:r>
      <w:r w:rsidR="00866929">
        <w:rPr>
          <w:rFonts w:asciiTheme="minorHAnsi" w:hAnsiTheme="minorHAnsi"/>
          <w:lang w:eastAsia="en-AU"/>
        </w:rPr>
        <w:t>:</w:t>
      </w:r>
    </w:p>
    <w:p w14:paraId="3FC46816" w14:textId="5811BC9E" w:rsidR="0009339C" w:rsidRPr="0009339C" w:rsidRDefault="0009339C" w:rsidP="001513E9">
      <w:pPr>
        <w:pStyle w:val="ListParagraph"/>
        <w:numPr>
          <w:ilvl w:val="0"/>
          <w:numId w:val="24"/>
        </w:numPr>
        <w:ind w:left="1418" w:hanging="698"/>
        <w:rPr>
          <w:rFonts w:asciiTheme="minorHAnsi" w:hAnsiTheme="minorHAnsi"/>
        </w:rPr>
      </w:pPr>
      <w:r w:rsidRPr="0009339C">
        <w:rPr>
          <w:rFonts w:asciiTheme="minorHAnsi" w:hAnsiTheme="minorHAnsi"/>
        </w:rPr>
        <w:t xml:space="preserve">An introduction relating to the items of </w:t>
      </w:r>
      <w:r w:rsidRPr="0009339C">
        <w:rPr>
          <w:rFonts w:asciiTheme="minorHAnsi" w:hAnsiTheme="minorHAnsi"/>
          <w:lang w:eastAsia="en-AU"/>
        </w:rPr>
        <w:t xml:space="preserve">appraisal production infrastructure </w:t>
      </w:r>
      <w:r w:rsidRPr="0009339C">
        <w:rPr>
          <w:rFonts w:asciiTheme="minorHAnsi" w:hAnsiTheme="minorHAnsi"/>
        </w:rPr>
        <w:t xml:space="preserve">that </w:t>
      </w:r>
      <w:r>
        <w:rPr>
          <w:rFonts w:asciiTheme="minorHAnsi" w:hAnsiTheme="minorHAnsi"/>
        </w:rPr>
        <w:t>is</w:t>
      </w:r>
      <w:r w:rsidRPr="0009339C">
        <w:rPr>
          <w:rFonts w:asciiTheme="minorHAnsi" w:hAnsiTheme="minorHAnsi"/>
        </w:rPr>
        <w:t xml:space="preserve"> proposed to be constructed on </w:t>
      </w:r>
      <w:r>
        <w:rPr>
          <w:rFonts w:asciiTheme="minorHAnsi" w:hAnsiTheme="minorHAnsi"/>
        </w:rPr>
        <w:t>petroleum interest</w:t>
      </w:r>
      <w:r w:rsidRPr="0009339C">
        <w:rPr>
          <w:rFonts w:asciiTheme="minorHAnsi" w:hAnsiTheme="minorHAnsi"/>
        </w:rPr>
        <w:t>,</w:t>
      </w:r>
      <w:r w:rsidRPr="0009339C">
        <w:rPr>
          <w:rFonts w:asciiTheme="minorHAnsi" w:hAnsiTheme="minorHAnsi"/>
          <w:spacing w:val="-6"/>
        </w:rPr>
        <w:t xml:space="preserve"> </w:t>
      </w:r>
      <w:r w:rsidRPr="0009339C">
        <w:rPr>
          <w:rFonts w:asciiTheme="minorHAnsi" w:hAnsiTheme="minorHAnsi"/>
        </w:rPr>
        <w:t>including:</w:t>
      </w:r>
    </w:p>
    <w:p w14:paraId="6CD9F339" w14:textId="01C8CEB4" w:rsidR="0009339C" w:rsidRPr="0009339C" w:rsidRDefault="0009339C" w:rsidP="001513E9">
      <w:pPr>
        <w:pStyle w:val="ListParagraph"/>
        <w:numPr>
          <w:ilvl w:val="1"/>
          <w:numId w:val="10"/>
        </w:numPr>
        <w:ind w:left="1985" w:hanging="567"/>
        <w:rPr>
          <w:rFonts w:asciiTheme="minorHAnsi" w:hAnsiTheme="minorHAnsi"/>
          <w:lang w:eastAsia="en-AU"/>
        </w:rPr>
      </w:pPr>
      <w:r w:rsidRPr="0009339C">
        <w:rPr>
          <w:rFonts w:asciiTheme="minorHAnsi" w:hAnsiTheme="minorHAnsi"/>
        </w:rPr>
        <w:t xml:space="preserve">an </w:t>
      </w:r>
      <w:r w:rsidRPr="0009339C">
        <w:rPr>
          <w:rFonts w:asciiTheme="minorHAnsi" w:hAnsiTheme="minorHAnsi"/>
          <w:lang w:eastAsia="en-AU"/>
        </w:rPr>
        <w:t>outline or description of the appraisal production infrastructure; and</w:t>
      </w:r>
    </w:p>
    <w:p w14:paraId="0054CCBE" w14:textId="48347335" w:rsidR="0009339C" w:rsidRPr="0009339C" w:rsidRDefault="0009339C" w:rsidP="001513E9">
      <w:pPr>
        <w:pStyle w:val="ListParagraph"/>
        <w:numPr>
          <w:ilvl w:val="1"/>
          <w:numId w:val="10"/>
        </w:numPr>
        <w:ind w:left="1985" w:hanging="567"/>
        <w:rPr>
          <w:rFonts w:asciiTheme="minorHAnsi" w:hAnsiTheme="minorHAnsi"/>
        </w:rPr>
      </w:pPr>
      <w:r w:rsidRPr="0009339C">
        <w:rPr>
          <w:rFonts w:asciiTheme="minorHAnsi" w:hAnsiTheme="minorHAnsi"/>
          <w:lang w:eastAsia="en-AU"/>
        </w:rPr>
        <w:t>a map sho</w:t>
      </w:r>
      <w:r w:rsidRPr="0009339C">
        <w:rPr>
          <w:rFonts w:asciiTheme="minorHAnsi" w:hAnsiTheme="minorHAnsi"/>
        </w:rPr>
        <w:t xml:space="preserve">wing the proposed location of each item of </w:t>
      </w:r>
      <w:r w:rsidRPr="0009339C">
        <w:rPr>
          <w:rFonts w:asciiTheme="minorHAnsi" w:hAnsiTheme="minorHAnsi"/>
          <w:lang w:eastAsia="en-AU"/>
        </w:rPr>
        <w:t xml:space="preserve">appraisal production </w:t>
      </w:r>
      <w:r w:rsidRPr="0009339C">
        <w:rPr>
          <w:rFonts w:asciiTheme="minorHAnsi" w:hAnsiTheme="minorHAnsi"/>
        </w:rPr>
        <w:t>infrastructure.</w:t>
      </w:r>
    </w:p>
    <w:p w14:paraId="503F5264" w14:textId="12DBFBE7" w:rsidR="0009339C" w:rsidRPr="0009339C" w:rsidRDefault="0009339C" w:rsidP="001513E9">
      <w:pPr>
        <w:pStyle w:val="ListParagraph"/>
        <w:numPr>
          <w:ilvl w:val="0"/>
          <w:numId w:val="24"/>
        </w:numPr>
        <w:ind w:left="1418" w:hanging="698"/>
        <w:rPr>
          <w:rFonts w:asciiTheme="minorHAnsi" w:hAnsiTheme="minorHAnsi"/>
        </w:rPr>
      </w:pPr>
      <w:r w:rsidRPr="0009339C">
        <w:rPr>
          <w:rFonts w:asciiTheme="minorHAnsi" w:hAnsiTheme="minorHAnsi"/>
        </w:rPr>
        <w:t xml:space="preserve">A description of the </w:t>
      </w:r>
      <w:r>
        <w:rPr>
          <w:rFonts w:asciiTheme="minorHAnsi" w:hAnsiTheme="minorHAnsi"/>
        </w:rPr>
        <w:t>interest holder’s</w:t>
      </w:r>
      <w:r w:rsidRPr="0009339C">
        <w:rPr>
          <w:rFonts w:asciiTheme="minorHAnsi" w:hAnsiTheme="minorHAnsi"/>
        </w:rPr>
        <w:t xml:space="preserve"> asset managem</w:t>
      </w:r>
      <w:r>
        <w:rPr>
          <w:rFonts w:asciiTheme="minorHAnsi" w:hAnsiTheme="minorHAnsi"/>
        </w:rPr>
        <w:t>ent plan which informs the plan including:</w:t>
      </w:r>
    </w:p>
    <w:p w14:paraId="2848971B" w14:textId="4B22F566" w:rsidR="0009339C" w:rsidRPr="0009339C" w:rsidRDefault="002327A7" w:rsidP="001513E9">
      <w:pPr>
        <w:pStyle w:val="ListParagraph"/>
        <w:numPr>
          <w:ilvl w:val="0"/>
          <w:numId w:val="25"/>
        </w:numPr>
        <w:ind w:left="1985" w:hanging="567"/>
        <w:rPr>
          <w:rFonts w:asciiTheme="minorHAnsi" w:hAnsiTheme="minorHAnsi"/>
        </w:rPr>
      </w:pPr>
      <w:r>
        <w:rPr>
          <w:rFonts w:asciiTheme="minorHAnsi" w:hAnsiTheme="minorHAnsi"/>
        </w:rPr>
        <w:t>i</w:t>
      </w:r>
      <w:r w:rsidR="0009339C" w:rsidRPr="0009339C">
        <w:rPr>
          <w:rFonts w:asciiTheme="minorHAnsi" w:hAnsiTheme="minorHAnsi"/>
        </w:rPr>
        <w:t xml:space="preserve">nformation about the </w:t>
      </w:r>
      <w:r w:rsidR="0009339C">
        <w:rPr>
          <w:rFonts w:asciiTheme="minorHAnsi" w:hAnsiTheme="minorHAnsi"/>
        </w:rPr>
        <w:t>interest holder</w:t>
      </w:r>
      <w:r w:rsidR="0009339C" w:rsidRPr="0009339C">
        <w:rPr>
          <w:rFonts w:asciiTheme="minorHAnsi" w:hAnsiTheme="minorHAnsi"/>
        </w:rPr>
        <w:t xml:space="preserve">’s approach to risk management, including a description of its processes for hazard and risk identification, risk analysis and </w:t>
      </w:r>
      <w:r w:rsidR="0009339C">
        <w:rPr>
          <w:rFonts w:asciiTheme="minorHAnsi" w:hAnsiTheme="minorHAnsi"/>
        </w:rPr>
        <w:t>risk evaluation;</w:t>
      </w:r>
      <w:r>
        <w:rPr>
          <w:rFonts w:asciiTheme="minorHAnsi" w:hAnsiTheme="minorHAnsi"/>
        </w:rPr>
        <w:t xml:space="preserve"> and</w:t>
      </w:r>
    </w:p>
    <w:p w14:paraId="03D9A155" w14:textId="44094EDF" w:rsidR="0009339C" w:rsidRPr="0009339C" w:rsidRDefault="0009339C" w:rsidP="001513E9">
      <w:pPr>
        <w:pStyle w:val="ListParagraph"/>
        <w:numPr>
          <w:ilvl w:val="0"/>
          <w:numId w:val="25"/>
        </w:numPr>
        <w:ind w:left="1985" w:hanging="567"/>
        <w:rPr>
          <w:rFonts w:asciiTheme="minorHAnsi" w:hAnsiTheme="minorHAnsi"/>
        </w:rPr>
      </w:pPr>
      <w:r>
        <w:rPr>
          <w:rFonts w:asciiTheme="minorHAnsi" w:hAnsiTheme="minorHAnsi"/>
        </w:rPr>
        <w:t>a</w:t>
      </w:r>
      <w:r w:rsidRPr="0009339C">
        <w:rPr>
          <w:rFonts w:asciiTheme="minorHAnsi" w:hAnsiTheme="minorHAnsi"/>
        </w:rPr>
        <w:t xml:space="preserve"> description of the </w:t>
      </w:r>
      <w:r>
        <w:rPr>
          <w:rFonts w:asciiTheme="minorHAnsi" w:hAnsiTheme="minorHAnsi"/>
        </w:rPr>
        <w:t>interest holder’s</w:t>
      </w:r>
      <w:r w:rsidRPr="0009339C">
        <w:rPr>
          <w:rFonts w:asciiTheme="minorHAnsi" w:hAnsiTheme="minorHAnsi"/>
        </w:rPr>
        <w:t xml:space="preserve"> management of change processes</w:t>
      </w:r>
      <w:r>
        <w:rPr>
          <w:rFonts w:asciiTheme="minorHAnsi" w:hAnsiTheme="minorHAnsi"/>
        </w:rPr>
        <w:t>; and</w:t>
      </w:r>
    </w:p>
    <w:p w14:paraId="4F0EE809" w14:textId="1DE344BE" w:rsidR="0009339C" w:rsidRDefault="0009339C" w:rsidP="001513E9">
      <w:pPr>
        <w:pStyle w:val="ListParagraph"/>
        <w:numPr>
          <w:ilvl w:val="0"/>
          <w:numId w:val="25"/>
        </w:numPr>
        <w:ind w:left="1985" w:hanging="567"/>
        <w:rPr>
          <w:rFonts w:asciiTheme="minorHAnsi" w:hAnsiTheme="minorHAnsi"/>
        </w:rPr>
      </w:pPr>
      <w:r>
        <w:rPr>
          <w:rFonts w:asciiTheme="minorHAnsi" w:hAnsiTheme="minorHAnsi"/>
        </w:rPr>
        <w:t>a</w:t>
      </w:r>
      <w:r w:rsidRPr="0009339C">
        <w:rPr>
          <w:rFonts w:asciiTheme="minorHAnsi" w:hAnsiTheme="minorHAnsi"/>
        </w:rPr>
        <w:t xml:space="preserve"> description of the </w:t>
      </w:r>
      <w:r>
        <w:rPr>
          <w:rFonts w:asciiTheme="minorHAnsi" w:hAnsiTheme="minorHAnsi"/>
        </w:rPr>
        <w:t xml:space="preserve">interest holder’s </w:t>
      </w:r>
      <w:r w:rsidRPr="0009339C">
        <w:rPr>
          <w:rFonts w:asciiTheme="minorHAnsi" w:hAnsiTheme="minorHAnsi"/>
        </w:rPr>
        <w:t xml:space="preserve">organisational structure as it relates to the management of </w:t>
      </w:r>
      <w:r>
        <w:rPr>
          <w:rFonts w:asciiTheme="minorHAnsi" w:hAnsiTheme="minorHAnsi"/>
        </w:rPr>
        <w:t>appraisal production</w:t>
      </w:r>
      <w:r w:rsidRPr="0009339C">
        <w:rPr>
          <w:rFonts w:asciiTheme="minorHAnsi" w:hAnsiTheme="minorHAnsi"/>
        </w:rPr>
        <w:t xml:space="preserve"> infrastructure, including the responsibilitie</w:t>
      </w:r>
      <w:r w:rsidR="002327A7">
        <w:rPr>
          <w:rFonts w:asciiTheme="minorHAnsi" w:hAnsiTheme="minorHAnsi"/>
        </w:rPr>
        <w:t>s and competencies of key roles; and</w:t>
      </w:r>
    </w:p>
    <w:p w14:paraId="32D0DE8D" w14:textId="66BCE826" w:rsidR="002327A7" w:rsidRPr="002327A7" w:rsidRDefault="002327A7" w:rsidP="001513E9">
      <w:pPr>
        <w:pStyle w:val="ListParagraph"/>
        <w:numPr>
          <w:ilvl w:val="0"/>
          <w:numId w:val="25"/>
        </w:numPr>
        <w:ind w:left="1985" w:hanging="567"/>
        <w:rPr>
          <w:rFonts w:asciiTheme="minorHAnsi" w:hAnsiTheme="minorHAnsi"/>
        </w:rPr>
      </w:pPr>
      <w:r>
        <w:rPr>
          <w:rFonts w:asciiTheme="minorHAnsi" w:hAnsiTheme="minorHAnsi"/>
        </w:rPr>
        <w:t>a</w:t>
      </w:r>
      <w:r w:rsidRPr="0009339C">
        <w:rPr>
          <w:rFonts w:asciiTheme="minorHAnsi" w:hAnsiTheme="minorHAnsi"/>
        </w:rPr>
        <w:t xml:space="preserve"> copy of the risk register.</w:t>
      </w:r>
    </w:p>
    <w:p w14:paraId="3626BA16" w14:textId="072E7E7E" w:rsidR="0009339C" w:rsidRPr="0009339C" w:rsidRDefault="0009339C" w:rsidP="001513E9">
      <w:pPr>
        <w:pStyle w:val="ListParagraph"/>
        <w:numPr>
          <w:ilvl w:val="0"/>
          <w:numId w:val="24"/>
        </w:numPr>
        <w:ind w:left="1418" w:hanging="698"/>
        <w:rPr>
          <w:rFonts w:asciiTheme="minorHAnsi" w:hAnsiTheme="minorHAnsi"/>
        </w:rPr>
      </w:pPr>
      <w:r w:rsidRPr="0009339C">
        <w:rPr>
          <w:rFonts w:asciiTheme="minorHAnsi" w:hAnsiTheme="minorHAnsi"/>
        </w:rPr>
        <w:t xml:space="preserve">The basis of the design of the </w:t>
      </w:r>
      <w:r w:rsidRPr="0009339C">
        <w:rPr>
          <w:rFonts w:asciiTheme="minorHAnsi" w:hAnsiTheme="minorHAnsi"/>
          <w:lang w:eastAsia="en-AU"/>
        </w:rPr>
        <w:t xml:space="preserve">appraisal production </w:t>
      </w:r>
      <w:r w:rsidRPr="0009339C">
        <w:rPr>
          <w:rFonts w:asciiTheme="minorHAnsi" w:hAnsiTheme="minorHAnsi"/>
        </w:rPr>
        <w:t xml:space="preserve">infrastructure and </w:t>
      </w:r>
      <w:r>
        <w:rPr>
          <w:rFonts w:asciiTheme="minorHAnsi" w:hAnsiTheme="minorHAnsi"/>
        </w:rPr>
        <w:t>a</w:t>
      </w:r>
      <w:r w:rsidRPr="0009339C">
        <w:rPr>
          <w:rFonts w:asciiTheme="minorHAnsi" w:hAnsiTheme="minorHAnsi"/>
        </w:rPr>
        <w:t xml:space="preserve"> description of the </w:t>
      </w:r>
      <w:r w:rsidRPr="0009339C">
        <w:rPr>
          <w:rFonts w:asciiTheme="minorHAnsi" w:hAnsiTheme="minorHAnsi"/>
          <w:lang w:eastAsia="en-AU"/>
        </w:rPr>
        <w:t xml:space="preserve">appraisal production </w:t>
      </w:r>
      <w:r w:rsidRPr="0009339C">
        <w:rPr>
          <w:rFonts w:asciiTheme="minorHAnsi" w:hAnsiTheme="minorHAnsi"/>
        </w:rPr>
        <w:t>infrastructure facility design, including a process flow diagram.</w:t>
      </w:r>
    </w:p>
    <w:p w14:paraId="3747F7CB" w14:textId="2350633A" w:rsidR="0009339C" w:rsidRPr="0009339C" w:rsidRDefault="0009339C" w:rsidP="001513E9">
      <w:pPr>
        <w:pStyle w:val="ListParagraph"/>
        <w:numPr>
          <w:ilvl w:val="0"/>
          <w:numId w:val="24"/>
        </w:numPr>
        <w:ind w:left="1418" w:hanging="698"/>
        <w:rPr>
          <w:rFonts w:asciiTheme="minorHAnsi" w:hAnsiTheme="minorHAnsi"/>
          <w:lang w:eastAsia="en-AU"/>
        </w:rPr>
      </w:pPr>
      <w:r w:rsidRPr="0009339C">
        <w:rPr>
          <w:rFonts w:asciiTheme="minorHAnsi" w:hAnsiTheme="minorHAnsi"/>
        </w:rPr>
        <w:t>A description of the activities, including contingent activities, that will be conducted during the</w:t>
      </w:r>
      <w:r>
        <w:rPr>
          <w:rFonts w:asciiTheme="minorHAnsi" w:hAnsiTheme="minorHAnsi"/>
        </w:rPr>
        <w:t xml:space="preserve"> </w:t>
      </w:r>
      <w:r w:rsidRPr="0009339C">
        <w:rPr>
          <w:rFonts w:asciiTheme="minorHAnsi" w:hAnsiTheme="minorHAnsi"/>
        </w:rPr>
        <w:t>c</w:t>
      </w:r>
      <w:r>
        <w:rPr>
          <w:rFonts w:asciiTheme="minorHAnsi" w:hAnsiTheme="minorHAnsi"/>
        </w:rPr>
        <w:t>onstruction</w:t>
      </w:r>
      <w:r>
        <w:rPr>
          <w:rFonts w:asciiTheme="minorHAnsi" w:hAnsiTheme="minorHAnsi"/>
          <w:lang w:eastAsia="en-AU"/>
        </w:rPr>
        <w:t>, operation and decommissioning</w:t>
      </w:r>
      <w:r w:rsidR="00F71A84">
        <w:rPr>
          <w:rFonts w:asciiTheme="minorHAnsi" w:hAnsiTheme="minorHAnsi"/>
          <w:lang w:eastAsia="en-AU"/>
        </w:rPr>
        <w:t xml:space="preserve"> of the infrastructure</w:t>
      </w:r>
      <w:r w:rsidR="00866929">
        <w:rPr>
          <w:rFonts w:asciiTheme="minorHAnsi" w:hAnsiTheme="minorHAnsi"/>
          <w:lang w:eastAsia="en-AU"/>
        </w:rPr>
        <w:t>.</w:t>
      </w:r>
    </w:p>
    <w:p w14:paraId="36A7DB2B" w14:textId="1D672F91" w:rsidR="0009339C" w:rsidRPr="0009339C" w:rsidRDefault="0009339C" w:rsidP="001513E9">
      <w:pPr>
        <w:pStyle w:val="ListParagraph"/>
        <w:numPr>
          <w:ilvl w:val="0"/>
          <w:numId w:val="24"/>
        </w:numPr>
        <w:ind w:left="1418" w:hanging="698"/>
        <w:rPr>
          <w:rFonts w:asciiTheme="minorHAnsi" w:hAnsiTheme="minorHAnsi"/>
        </w:rPr>
      </w:pPr>
      <w:r w:rsidRPr="0009339C">
        <w:rPr>
          <w:rFonts w:asciiTheme="minorHAnsi" w:hAnsiTheme="minorHAnsi"/>
        </w:rPr>
        <w:t xml:space="preserve">A plan for the independent validation of works to be executed during design, construction, operation and decommissioning </w:t>
      </w:r>
      <w:r w:rsidR="002327A7">
        <w:rPr>
          <w:rFonts w:asciiTheme="minorHAnsi" w:hAnsiTheme="minorHAnsi"/>
        </w:rPr>
        <w:t>of the appraisal production</w:t>
      </w:r>
      <w:r w:rsidRPr="0009339C">
        <w:rPr>
          <w:rFonts w:asciiTheme="minorHAnsi" w:hAnsiTheme="minorHAnsi"/>
        </w:rPr>
        <w:t xml:space="preserve"> infrastructure by a competent person.</w:t>
      </w:r>
    </w:p>
    <w:p w14:paraId="608FC554" w14:textId="32F0452E" w:rsidR="0009339C" w:rsidRPr="0009339C" w:rsidRDefault="0009339C" w:rsidP="001513E9">
      <w:pPr>
        <w:pStyle w:val="ListParagraph"/>
        <w:numPr>
          <w:ilvl w:val="0"/>
          <w:numId w:val="24"/>
        </w:numPr>
        <w:ind w:left="1418" w:hanging="698"/>
        <w:rPr>
          <w:rFonts w:asciiTheme="minorHAnsi" w:hAnsiTheme="minorHAnsi"/>
        </w:rPr>
      </w:pPr>
      <w:r w:rsidRPr="0009339C">
        <w:rPr>
          <w:rFonts w:asciiTheme="minorHAnsi" w:hAnsiTheme="minorHAnsi"/>
        </w:rPr>
        <w:lastRenderedPageBreak/>
        <w:t xml:space="preserve">A list of the codes, standards and specifications that will be applied in relation to any part or aspect of the </w:t>
      </w:r>
      <w:r w:rsidR="002327A7">
        <w:rPr>
          <w:rFonts w:asciiTheme="minorHAnsi" w:hAnsiTheme="minorHAnsi"/>
        </w:rPr>
        <w:t>appraisal production infrastructure</w:t>
      </w:r>
      <w:r w:rsidRPr="0009339C">
        <w:rPr>
          <w:rFonts w:asciiTheme="minorHAnsi" w:hAnsiTheme="minorHAnsi"/>
        </w:rPr>
        <w:t>.</w:t>
      </w:r>
    </w:p>
    <w:p w14:paraId="1BE306C6" w14:textId="77777777" w:rsidR="0009339C" w:rsidRPr="0009339C" w:rsidRDefault="0009339C" w:rsidP="001513E9">
      <w:pPr>
        <w:pStyle w:val="ListParagraph"/>
        <w:numPr>
          <w:ilvl w:val="0"/>
          <w:numId w:val="24"/>
        </w:numPr>
        <w:ind w:left="1418" w:hanging="698"/>
        <w:rPr>
          <w:rFonts w:asciiTheme="minorHAnsi" w:hAnsiTheme="minorHAnsi"/>
        </w:rPr>
      </w:pPr>
      <w:r w:rsidRPr="0009339C">
        <w:rPr>
          <w:rFonts w:asciiTheme="minorHAnsi" w:hAnsiTheme="minorHAnsi"/>
        </w:rPr>
        <w:t>A description of:</w:t>
      </w:r>
    </w:p>
    <w:p w14:paraId="6F8795CB" w14:textId="37E5DECE" w:rsidR="0009339C" w:rsidRPr="0009339C" w:rsidRDefault="0009339C" w:rsidP="001513E9">
      <w:pPr>
        <w:pStyle w:val="ListParagraph"/>
        <w:numPr>
          <w:ilvl w:val="0"/>
          <w:numId w:val="26"/>
        </w:numPr>
        <w:ind w:left="1985" w:hanging="567"/>
        <w:rPr>
          <w:rFonts w:asciiTheme="minorHAnsi" w:hAnsiTheme="minorHAnsi"/>
          <w:lang w:eastAsia="en-AU"/>
        </w:rPr>
      </w:pPr>
      <w:r w:rsidRPr="0009339C">
        <w:rPr>
          <w:rFonts w:asciiTheme="minorHAnsi" w:hAnsiTheme="minorHAnsi"/>
        </w:rPr>
        <w:t xml:space="preserve">the </w:t>
      </w:r>
      <w:r w:rsidRPr="0009339C">
        <w:rPr>
          <w:rFonts w:asciiTheme="minorHAnsi" w:hAnsiTheme="minorHAnsi"/>
          <w:lang w:eastAsia="en-AU"/>
        </w:rPr>
        <w:t xml:space="preserve">control measures that will be in place to ensure that risks to the integrity of the </w:t>
      </w:r>
      <w:r w:rsidR="002327A7">
        <w:rPr>
          <w:rFonts w:asciiTheme="minorHAnsi" w:hAnsiTheme="minorHAnsi"/>
        </w:rPr>
        <w:t>appraisal production</w:t>
      </w:r>
      <w:r w:rsidRPr="0009339C">
        <w:rPr>
          <w:rFonts w:asciiTheme="minorHAnsi" w:hAnsiTheme="minorHAnsi"/>
          <w:lang w:eastAsia="en-AU"/>
        </w:rPr>
        <w:t xml:space="preserve"> infrastructure are reduced to as low as is reasonably practicable </w:t>
      </w:r>
      <w:r w:rsidR="002327A7">
        <w:rPr>
          <w:rFonts w:asciiTheme="minorHAnsi" w:hAnsiTheme="minorHAnsi"/>
          <w:lang w:eastAsia="en-AU"/>
        </w:rPr>
        <w:t xml:space="preserve">during the </w:t>
      </w:r>
      <w:r w:rsidR="00D3653A">
        <w:rPr>
          <w:rFonts w:asciiTheme="minorHAnsi" w:hAnsiTheme="minorHAnsi"/>
          <w:lang w:eastAsia="en-AU"/>
        </w:rPr>
        <w:t>relevant</w:t>
      </w:r>
      <w:r w:rsidR="00F71A84">
        <w:rPr>
          <w:rFonts w:asciiTheme="minorHAnsi" w:hAnsiTheme="minorHAnsi"/>
          <w:lang w:eastAsia="en-AU"/>
        </w:rPr>
        <w:t xml:space="preserve"> period</w:t>
      </w:r>
      <w:r w:rsidRPr="0009339C">
        <w:rPr>
          <w:rFonts w:asciiTheme="minorHAnsi" w:hAnsiTheme="minorHAnsi"/>
          <w:lang w:eastAsia="en-AU"/>
        </w:rPr>
        <w:t>;</w:t>
      </w:r>
    </w:p>
    <w:p w14:paraId="3F8A91F8" w14:textId="6635D0A6" w:rsidR="0009339C" w:rsidRPr="0009339C" w:rsidRDefault="0009339C" w:rsidP="001513E9">
      <w:pPr>
        <w:pStyle w:val="ListParagraph"/>
        <w:numPr>
          <w:ilvl w:val="0"/>
          <w:numId w:val="26"/>
        </w:numPr>
        <w:ind w:left="1985" w:hanging="567"/>
        <w:rPr>
          <w:rFonts w:asciiTheme="minorHAnsi" w:hAnsiTheme="minorHAnsi"/>
          <w:lang w:eastAsia="en-AU"/>
        </w:rPr>
      </w:pPr>
      <w:r w:rsidRPr="0009339C">
        <w:rPr>
          <w:rFonts w:asciiTheme="minorHAnsi" w:hAnsiTheme="minorHAnsi"/>
          <w:lang w:eastAsia="en-AU"/>
        </w:rPr>
        <w:t xml:space="preserve">the </w:t>
      </w:r>
      <w:r w:rsidRPr="0009339C">
        <w:rPr>
          <w:rFonts w:asciiTheme="minorHAnsi" w:hAnsiTheme="minorHAnsi"/>
        </w:rPr>
        <w:t>performance</w:t>
      </w:r>
      <w:r w:rsidRPr="0009339C">
        <w:rPr>
          <w:rFonts w:asciiTheme="minorHAnsi" w:hAnsiTheme="minorHAnsi"/>
          <w:lang w:eastAsia="en-AU"/>
        </w:rPr>
        <w:t xml:space="preserve"> standards </w:t>
      </w:r>
      <w:r w:rsidR="00866929">
        <w:rPr>
          <w:rFonts w:asciiTheme="minorHAnsi" w:hAnsiTheme="minorHAnsi"/>
          <w:lang w:eastAsia="en-AU"/>
        </w:rPr>
        <w:t>for those control measures; and</w:t>
      </w:r>
    </w:p>
    <w:p w14:paraId="420EAF6F" w14:textId="77777777" w:rsidR="0009339C" w:rsidRPr="0009339C" w:rsidRDefault="0009339C" w:rsidP="001513E9">
      <w:pPr>
        <w:pStyle w:val="ListParagraph"/>
        <w:numPr>
          <w:ilvl w:val="0"/>
          <w:numId w:val="26"/>
        </w:numPr>
        <w:ind w:left="1985" w:hanging="567"/>
        <w:rPr>
          <w:rFonts w:asciiTheme="minorHAnsi" w:hAnsiTheme="minorHAnsi"/>
        </w:rPr>
      </w:pPr>
      <w:r w:rsidRPr="0009339C">
        <w:rPr>
          <w:rFonts w:asciiTheme="minorHAnsi" w:hAnsiTheme="minorHAnsi"/>
          <w:lang w:eastAsia="en-AU"/>
        </w:rPr>
        <w:t xml:space="preserve">the measurement criteria that will be used to determine whether the performance </w:t>
      </w:r>
      <w:r w:rsidRPr="0009339C">
        <w:rPr>
          <w:rFonts w:asciiTheme="minorHAnsi" w:hAnsiTheme="minorHAnsi"/>
        </w:rPr>
        <w:t>standards</w:t>
      </w:r>
      <w:r w:rsidRPr="0009339C">
        <w:rPr>
          <w:rFonts w:asciiTheme="minorHAnsi" w:hAnsiTheme="minorHAnsi"/>
          <w:lang w:eastAsia="en-AU"/>
        </w:rPr>
        <w:t xml:space="preserve"> are</w:t>
      </w:r>
      <w:r w:rsidRPr="0009339C">
        <w:rPr>
          <w:rFonts w:asciiTheme="minorHAnsi" w:hAnsiTheme="minorHAnsi"/>
        </w:rPr>
        <w:t xml:space="preserve"> being met.</w:t>
      </w:r>
    </w:p>
    <w:p w14:paraId="486D1515" w14:textId="77777777" w:rsidR="0009339C" w:rsidRPr="0009339C" w:rsidRDefault="0009339C" w:rsidP="001513E9">
      <w:pPr>
        <w:pStyle w:val="ListParagraph"/>
        <w:numPr>
          <w:ilvl w:val="0"/>
          <w:numId w:val="24"/>
        </w:numPr>
        <w:ind w:left="1418" w:hanging="698"/>
        <w:rPr>
          <w:rFonts w:asciiTheme="minorHAnsi" w:hAnsiTheme="minorHAnsi"/>
        </w:rPr>
      </w:pPr>
      <w:r w:rsidRPr="0009339C">
        <w:rPr>
          <w:rFonts w:asciiTheme="minorHAnsi" w:hAnsiTheme="minorHAnsi"/>
        </w:rPr>
        <w:t>A description of:</w:t>
      </w:r>
    </w:p>
    <w:p w14:paraId="1BCEA5B7" w14:textId="7261FD77" w:rsidR="0009339C" w:rsidRPr="0009339C" w:rsidRDefault="0009339C" w:rsidP="001513E9">
      <w:pPr>
        <w:pStyle w:val="ListParagraph"/>
        <w:numPr>
          <w:ilvl w:val="0"/>
          <w:numId w:val="27"/>
        </w:numPr>
        <w:ind w:left="1985" w:hanging="567"/>
        <w:rPr>
          <w:rFonts w:asciiTheme="minorHAnsi" w:hAnsiTheme="minorHAnsi"/>
          <w:lang w:eastAsia="en-AU"/>
        </w:rPr>
      </w:pPr>
      <w:r w:rsidRPr="0009339C">
        <w:rPr>
          <w:rFonts w:asciiTheme="minorHAnsi" w:hAnsiTheme="minorHAnsi"/>
        </w:rPr>
        <w:t xml:space="preserve">the performance outcomes against which the performance of the </w:t>
      </w:r>
      <w:r w:rsidR="002327A7">
        <w:rPr>
          <w:rFonts w:asciiTheme="minorHAnsi" w:hAnsiTheme="minorHAnsi"/>
        </w:rPr>
        <w:t>interest holder</w:t>
      </w:r>
      <w:r w:rsidRPr="0009339C">
        <w:rPr>
          <w:rFonts w:asciiTheme="minorHAnsi" w:hAnsiTheme="minorHAnsi"/>
        </w:rPr>
        <w:t xml:space="preserve"> in maintaining the integrity</w:t>
      </w:r>
      <w:r w:rsidRPr="0009339C">
        <w:rPr>
          <w:rFonts w:asciiTheme="minorHAnsi" w:hAnsiTheme="minorHAnsi"/>
          <w:lang w:eastAsia="en-AU"/>
        </w:rPr>
        <w:t xml:space="preserve"> of the </w:t>
      </w:r>
      <w:r w:rsidR="002327A7">
        <w:rPr>
          <w:rFonts w:asciiTheme="minorHAnsi" w:hAnsiTheme="minorHAnsi"/>
        </w:rPr>
        <w:t>appraisal production</w:t>
      </w:r>
      <w:r w:rsidR="002327A7" w:rsidRPr="0009339C">
        <w:rPr>
          <w:rFonts w:asciiTheme="minorHAnsi" w:hAnsiTheme="minorHAnsi"/>
          <w:lang w:eastAsia="en-AU"/>
        </w:rPr>
        <w:t xml:space="preserve"> </w:t>
      </w:r>
      <w:r w:rsidRPr="0009339C">
        <w:rPr>
          <w:rFonts w:asciiTheme="minorHAnsi" w:hAnsiTheme="minorHAnsi"/>
          <w:lang w:eastAsia="en-AU"/>
        </w:rPr>
        <w:t>in</w:t>
      </w:r>
      <w:r w:rsidR="00F71A84">
        <w:rPr>
          <w:rFonts w:asciiTheme="minorHAnsi" w:hAnsiTheme="minorHAnsi"/>
          <w:lang w:eastAsia="en-AU"/>
        </w:rPr>
        <w:t>frastructure is to be measured; </w:t>
      </w:r>
      <w:r w:rsidR="00866929">
        <w:rPr>
          <w:rFonts w:asciiTheme="minorHAnsi" w:hAnsiTheme="minorHAnsi"/>
          <w:lang w:eastAsia="en-AU"/>
        </w:rPr>
        <w:t>and</w:t>
      </w:r>
    </w:p>
    <w:p w14:paraId="61B82436" w14:textId="799816B5" w:rsidR="0009339C" w:rsidRPr="0009339C" w:rsidRDefault="002327A7" w:rsidP="001513E9">
      <w:pPr>
        <w:pStyle w:val="ListParagraph"/>
        <w:numPr>
          <w:ilvl w:val="0"/>
          <w:numId w:val="27"/>
        </w:numPr>
        <w:ind w:left="1985" w:hanging="567"/>
        <w:rPr>
          <w:rFonts w:asciiTheme="minorHAnsi" w:hAnsiTheme="minorHAnsi"/>
        </w:rPr>
      </w:pPr>
      <w:r>
        <w:rPr>
          <w:rFonts w:asciiTheme="minorHAnsi" w:hAnsiTheme="minorHAnsi"/>
          <w:lang w:eastAsia="en-AU"/>
        </w:rPr>
        <w:t>t</w:t>
      </w:r>
      <w:r w:rsidR="0009339C" w:rsidRPr="0009339C">
        <w:rPr>
          <w:rFonts w:asciiTheme="minorHAnsi" w:hAnsiTheme="minorHAnsi"/>
          <w:lang w:eastAsia="en-AU"/>
        </w:rPr>
        <w:t>he measurement criteria that will be used to determine whether the performance outcomes are</w:t>
      </w:r>
      <w:r w:rsidR="0009339C" w:rsidRPr="0009339C">
        <w:rPr>
          <w:rFonts w:asciiTheme="minorHAnsi" w:hAnsiTheme="minorHAnsi"/>
        </w:rPr>
        <w:t xml:space="preserve"> being met.</w:t>
      </w:r>
    </w:p>
    <w:p w14:paraId="70521770" w14:textId="6AA3FB02" w:rsidR="0009339C" w:rsidRPr="0009339C" w:rsidRDefault="0009339C" w:rsidP="001513E9">
      <w:pPr>
        <w:pStyle w:val="ListParagraph"/>
        <w:numPr>
          <w:ilvl w:val="0"/>
          <w:numId w:val="24"/>
        </w:numPr>
        <w:ind w:left="1418" w:hanging="698"/>
        <w:rPr>
          <w:rFonts w:asciiTheme="minorHAnsi" w:hAnsiTheme="minorHAnsi"/>
        </w:rPr>
      </w:pPr>
      <w:r w:rsidRPr="0009339C">
        <w:rPr>
          <w:rFonts w:asciiTheme="minorHAnsi" w:hAnsiTheme="minorHAnsi"/>
        </w:rPr>
        <w:t>A description of the monitoring, integrity assurance, record keeping</w:t>
      </w:r>
      <w:r w:rsidR="000676C6">
        <w:rPr>
          <w:rFonts w:asciiTheme="minorHAnsi" w:hAnsiTheme="minorHAnsi"/>
        </w:rPr>
        <w:t xml:space="preserve"> and</w:t>
      </w:r>
      <w:r w:rsidRPr="0009339C">
        <w:rPr>
          <w:rFonts w:asciiTheme="minorHAnsi" w:hAnsiTheme="minorHAnsi"/>
        </w:rPr>
        <w:t xml:space="preserve"> audit that will be implemented to ensure and demonstrate how performance standards are met </w:t>
      </w:r>
      <w:r w:rsidR="002327A7">
        <w:rPr>
          <w:rFonts w:asciiTheme="minorHAnsi" w:hAnsiTheme="minorHAnsi"/>
        </w:rPr>
        <w:t xml:space="preserve">during the </w:t>
      </w:r>
      <w:r w:rsidR="00F71A84">
        <w:rPr>
          <w:rFonts w:asciiTheme="minorHAnsi" w:hAnsiTheme="minorHAnsi"/>
        </w:rPr>
        <w:t>approval period</w:t>
      </w:r>
      <w:r w:rsidRPr="0009339C">
        <w:rPr>
          <w:rFonts w:asciiTheme="minorHAnsi" w:hAnsiTheme="minorHAnsi"/>
        </w:rPr>
        <w:t>.</w:t>
      </w:r>
    </w:p>
    <w:p w14:paraId="185A0C24" w14:textId="31B59423" w:rsidR="0009339C" w:rsidRDefault="0009339C" w:rsidP="001513E9">
      <w:pPr>
        <w:pStyle w:val="ListParagraph"/>
        <w:numPr>
          <w:ilvl w:val="0"/>
          <w:numId w:val="24"/>
        </w:numPr>
        <w:ind w:left="1418" w:hanging="698"/>
        <w:rPr>
          <w:rFonts w:asciiTheme="minorHAnsi" w:hAnsiTheme="minorHAnsi"/>
        </w:rPr>
      </w:pPr>
      <w:r w:rsidRPr="0009339C">
        <w:rPr>
          <w:rFonts w:asciiTheme="minorHAnsi" w:hAnsiTheme="minorHAnsi"/>
        </w:rPr>
        <w:t xml:space="preserve">A description of the measures and arrangements that will be used to regain control of the </w:t>
      </w:r>
      <w:r w:rsidR="002327A7">
        <w:rPr>
          <w:rFonts w:asciiTheme="minorHAnsi" w:hAnsiTheme="minorHAnsi"/>
        </w:rPr>
        <w:t>appraisal production</w:t>
      </w:r>
      <w:r w:rsidR="002327A7" w:rsidRPr="0009339C">
        <w:rPr>
          <w:rFonts w:asciiTheme="minorHAnsi" w:hAnsiTheme="minorHAnsi"/>
        </w:rPr>
        <w:t xml:space="preserve"> </w:t>
      </w:r>
      <w:r w:rsidRPr="0009339C">
        <w:rPr>
          <w:rFonts w:asciiTheme="minorHAnsi" w:hAnsiTheme="minorHAnsi"/>
        </w:rPr>
        <w:t>infrastructure if there is a loss of integrity.</w:t>
      </w:r>
    </w:p>
    <w:p w14:paraId="1E00C807" w14:textId="457A1EAB" w:rsidR="0007640F" w:rsidRPr="0009339C" w:rsidRDefault="0007640F" w:rsidP="001513E9">
      <w:pPr>
        <w:pStyle w:val="ListParagraph"/>
        <w:numPr>
          <w:ilvl w:val="0"/>
          <w:numId w:val="24"/>
        </w:numPr>
        <w:ind w:left="1418" w:hanging="698"/>
        <w:rPr>
          <w:rFonts w:asciiTheme="minorHAnsi" w:hAnsiTheme="minorHAnsi"/>
        </w:rPr>
      </w:pPr>
      <w:r>
        <w:rPr>
          <w:rFonts w:asciiTheme="minorHAnsi" w:hAnsiTheme="minorHAnsi"/>
        </w:rPr>
        <w:t>A proposal for decommissioning the appraisal production infrastructure.</w:t>
      </w:r>
    </w:p>
    <w:p w14:paraId="64336321" w14:textId="38AF45E6" w:rsidR="00B35144" w:rsidRPr="0009339C" w:rsidRDefault="006E73FD" w:rsidP="001513E9">
      <w:pPr>
        <w:pStyle w:val="ListParagraph"/>
        <w:numPr>
          <w:ilvl w:val="0"/>
          <w:numId w:val="10"/>
        </w:numPr>
        <w:ind w:hanging="720"/>
        <w:rPr>
          <w:rFonts w:asciiTheme="minorHAnsi" w:hAnsiTheme="minorHAnsi"/>
          <w:lang w:eastAsia="en-AU"/>
        </w:rPr>
      </w:pPr>
      <w:r w:rsidRPr="0009339C">
        <w:rPr>
          <w:rFonts w:asciiTheme="minorHAnsi" w:hAnsiTheme="minorHAnsi"/>
          <w:lang w:eastAsia="en-AU"/>
        </w:rPr>
        <w:t xml:space="preserve">Evidence that the interest holder has obtained the approval, consent or agreements under the Land Rights Act or the Native Title Act in relation to the sale or other beneficial use of petroleum recovered on </w:t>
      </w:r>
      <w:r w:rsidR="00D078FF">
        <w:rPr>
          <w:rFonts w:asciiTheme="minorHAnsi" w:hAnsiTheme="minorHAnsi"/>
          <w:lang w:eastAsia="en-AU"/>
        </w:rPr>
        <w:t>an appraisal</w:t>
      </w:r>
      <w:r w:rsidR="00866929">
        <w:rPr>
          <w:rFonts w:asciiTheme="minorHAnsi" w:hAnsiTheme="minorHAnsi"/>
          <w:lang w:eastAsia="en-AU"/>
        </w:rPr>
        <w:t xml:space="preserve"> basis.</w:t>
      </w:r>
      <w:r w:rsidRPr="0009339C">
        <w:rPr>
          <w:rFonts w:asciiTheme="minorHAnsi" w:hAnsiTheme="minorHAnsi"/>
          <w:lang w:eastAsia="en-AU"/>
        </w:rPr>
        <w:t xml:space="preserve"> The Minister needs to be satisfied that such approval, consent or agreement has been reached before the Minister can approve the application (section 57AAA(5)(d)</w:t>
      </w:r>
      <w:r w:rsidR="002A6A58" w:rsidRPr="0009339C">
        <w:rPr>
          <w:rFonts w:asciiTheme="minorHAnsi" w:hAnsiTheme="minorHAnsi"/>
          <w:lang w:eastAsia="en-AU"/>
        </w:rPr>
        <w:t xml:space="preserve"> of the Act</w:t>
      </w:r>
      <w:r w:rsidR="00866929">
        <w:rPr>
          <w:rFonts w:asciiTheme="minorHAnsi" w:hAnsiTheme="minorHAnsi"/>
          <w:lang w:eastAsia="en-AU"/>
        </w:rPr>
        <w:t>).</w:t>
      </w:r>
    </w:p>
    <w:p w14:paraId="6C2DA0A5" w14:textId="05596FC3" w:rsidR="006E73FD" w:rsidRPr="0009339C" w:rsidRDefault="006E73FD" w:rsidP="001513E9">
      <w:pPr>
        <w:pStyle w:val="ListParagraph"/>
        <w:ind w:left="720"/>
        <w:rPr>
          <w:rFonts w:asciiTheme="minorHAnsi" w:hAnsiTheme="minorHAnsi"/>
          <w:lang w:eastAsia="en-AU"/>
        </w:rPr>
      </w:pPr>
      <w:r w:rsidRPr="0009339C">
        <w:rPr>
          <w:rFonts w:asciiTheme="minorHAnsi" w:hAnsiTheme="minorHAnsi"/>
          <w:lang w:eastAsia="en-AU"/>
        </w:rPr>
        <w:t>Evidence could include</w:t>
      </w:r>
      <w:r w:rsidR="00B35144" w:rsidRPr="0009339C">
        <w:rPr>
          <w:rFonts w:asciiTheme="minorHAnsi" w:hAnsiTheme="minorHAnsi"/>
          <w:lang w:eastAsia="en-AU"/>
        </w:rPr>
        <w:t xml:space="preserve"> but is not limited to</w:t>
      </w:r>
      <w:r w:rsidRPr="0009339C">
        <w:rPr>
          <w:rFonts w:asciiTheme="minorHAnsi" w:hAnsiTheme="minorHAnsi"/>
          <w:lang w:eastAsia="en-AU"/>
        </w:rPr>
        <w:t>:</w:t>
      </w:r>
    </w:p>
    <w:p w14:paraId="2D78D281" w14:textId="77777777" w:rsidR="006E73FD" w:rsidRPr="0009339C" w:rsidRDefault="006E73FD" w:rsidP="001513E9">
      <w:pPr>
        <w:pStyle w:val="ListParagraph"/>
        <w:numPr>
          <w:ilvl w:val="0"/>
          <w:numId w:val="23"/>
        </w:numPr>
        <w:ind w:left="1418" w:hanging="709"/>
        <w:rPr>
          <w:rFonts w:asciiTheme="minorHAnsi" w:hAnsiTheme="minorHAnsi"/>
          <w:lang w:eastAsia="en-AU"/>
        </w:rPr>
      </w:pPr>
      <w:r w:rsidRPr="0009339C">
        <w:rPr>
          <w:rFonts w:asciiTheme="minorHAnsi" w:hAnsiTheme="minorHAnsi"/>
          <w:lang w:eastAsia="en-AU"/>
        </w:rPr>
        <w:t>a copy of the signed agreement between the interest holder and:</w:t>
      </w:r>
    </w:p>
    <w:p w14:paraId="0F305C62" w14:textId="778A6009" w:rsidR="006E73FD" w:rsidRPr="0009339C" w:rsidRDefault="006E73FD" w:rsidP="001513E9">
      <w:pPr>
        <w:pStyle w:val="ListParagraph"/>
        <w:numPr>
          <w:ilvl w:val="1"/>
          <w:numId w:val="10"/>
        </w:numPr>
        <w:ind w:left="1985" w:hanging="425"/>
        <w:rPr>
          <w:rFonts w:asciiTheme="minorHAnsi" w:hAnsiTheme="minorHAnsi"/>
          <w:lang w:eastAsia="en-AU"/>
        </w:rPr>
      </w:pPr>
      <w:r w:rsidRPr="0009339C">
        <w:rPr>
          <w:rFonts w:asciiTheme="minorHAnsi" w:hAnsiTheme="minorHAnsi"/>
          <w:lang w:eastAsia="en-AU"/>
        </w:rPr>
        <w:t>if the petroleum interest is on Aboriginal land –</w:t>
      </w:r>
      <w:r w:rsidR="002123F7">
        <w:rPr>
          <w:rFonts w:asciiTheme="minorHAnsi" w:hAnsiTheme="minorHAnsi"/>
          <w:lang w:eastAsia="en-AU"/>
        </w:rPr>
        <w:t xml:space="preserve"> </w:t>
      </w:r>
      <w:r w:rsidRPr="0009339C">
        <w:rPr>
          <w:rFonts w:asciiTheme="minorHAnsi" w:hAnsiTheme="minorHAnsi"/>
          <w:lang w:eastAsia="en-AU"/>
        </w:rPr>
        <w:t>the relevant Land Council</w:t>
      </w:r>
      <w:r w:rsidR="00F71A84">
        <w:rPr>
          <w:rFonts w:asciiTheme="minorHAnsi" w:hAnsiTheme="minorHAnsi"/>
          <w:lang w:eastAsia="en-AU"/>
        </w:rPr>
        <w:t>;</w:t>
      </w:r>
    </w:p>
    <w:p w14:paraId="4E03F9E0" w14:textId="1F051B7F" w:rsidR="002A6A58" w:rsidRPr="0009339C" w:rsidRDefault="006E73FD" w:rsidP="001513E9">
      <w:pPr>
        <w:pStyle w:val="ListParagraph"/>
        <w:numPr>
          <w:ilvl w:val="1"/>
          <w:numId w:val="10"/>
        </w:numPr>
        <w:ind w:left="1985" w:hanging="425"/>
        <w:rPr>
          <w:rFonts w:asciiTheme="minorHAnsi" w:hAnsiTheme="minorHAnsi"/>
          <w:lang w:eastAsia="en-AU"/>
        </w:rPr>
      </w:pPr>
      <w:r w:rsidRPr="0009339C">
        <w:rPr>
          <w:rFonts w:asciiTheme="minorHAnsi" w:hAnsiTheme="minorHAnsi"/>
          <w:lang w:eastAsia="en-AU"/>
        </w:rPr>
        <w:t>if the petroleum interest is not on Aboriginal land</w:t>
      </w:r>
      <w:r w:rsidR="00D3653A">
        <w:rPr>
          <w:rFonts w:asciiTheme="minorHAnsi" w:hAnsiTheme="minorHAnsi"/>
          <w:lang w:eastAsia="en-AU"/>
        </w:rPr>
        <w:t xml:space="preserve"> and there is a registered native title claim or native title determination</w:t>
      </w:r>
      <w:r w:rsidRPr="0009339C">
        <w:rPr>
          <w:rFonts w:asciiTheme="minorHAnsi" w:hAnsiTheme="minorHAnsi"/>
          <w:lang w:eastAsia="en-AU"/>
        </w:rPr>
        <w:t xml:space="preserve"> –</w:t>
      </w:r>
      <w:r w:rsidR="002123F7">
        <w:rPr>
          <w:rFonts w:asciiTheme="minorHAnsi" w:hAnsiTheme="minorHAnsi"/>
          <w:lang w:eastAsia="en-AU"/>
        </w:rPr>
        <w:t xml:space="preserve"> </w:t>
      </w:r>
      <w:r w:rsidR="002A6A58" w:rsidRPr="0009339C">
        <w:rPr>
          <w:rFonts w:asciiTheme="minorHAnsi" w:hAnsiTheme="minorHAnsi"/>
          <w:lang w:eastAsia="en-AU"/>
        </w:rPr>
        <w:t>the relevant Land Council and</w:t>
      </w:r>
      <w:r w:rsidR="00B35144" w:rsidRPr="0009339C">
        <w:rPr>
          <w:rFonts w:asciiTheme="minorHAnsi" w:hAnsiTheme="minorHAnsi"/>
          <w:lang w:eastAsia="en-AU"/>
        </w:rPr>
        <w:t>:</w:t>
      </w:r>
    </w:p>
    <w:p w14:paraId="69E4388D" w14:textId="4A94254F" w:rsidR="002A6A58" w:rsidRPr="0009339C" w:rsidRDefault="002A6A58" w:rsidP="001513E9">
      <w:pPr>
        <w:pStyle w:val="ListParagraph"/>
        <w:numPr>
          <w:ilvl w:val="2"/>
          <w:numId w:val="10"/>
        </w:numPr>
        <w:ind w:left="2552" w:hanging="572"/>
        <w:rPr>
          <w:rFonts w:asciiTheme="minorHAnsi" w:hAnsiTheme="minorHAnsi"/>
          <w:lang w:eastAsia="en-AU"/>
        </w:rPr>
      </w:pPr>
      <w:r w:rsidRPr="0009339C">
        <w:rPr>
          <w:rFonts w:asciiTheme="minorHAnsi" w:hAnsiTheme="minorHAnsi"/>
          <w:lang w:eastAsia="en-AU"/>
        </w:rPr>
        <w:t>the</w:t>
      </w:r>
      <w:r w:rsidR="00B35144" w:rsidRPr="0009339C">
        <w:rPr>
          <w:rFonts w:asciiTheme="minorHAnsi" w:hAnsiTheme="minorHAnsi"/>
          <w:lang w:eastAsia="en-AU"/>
        </w:rPr>
        <w:t xml:space="preserve"> relevant</w:t>
      </w:r>
      <w:r w:rsidR="00866929">
        <w:rPr>
          <w:rFonts w:asciiTheme="minorHAnsi" w:hAnsiTheme="minorHAnsi"/>
          <w:lang w:eastAsia="en-AU"/>
        </w:rPr>
        <w:t xml:space="preserve"> prescribed body corporate; or</w:t>
      </w:r>
    </w:p>
    <w:p w14:paraId="4D54D3F2" w14:textId="52378FC7" w:rsidR="006E73FD" w:rsidRPr="0009339C" w:rsidRDefault="002A6A58" w:rsidP="001513E9">
      <w:pPr>
        <w:pStyle w:val="ListParagraph"/>
        <w:numPr>
          <w:ilvl w:val="2"/>
          <w:numId w:val="10"/>
        </w:numPr>
        <w:ind w:left="2552" w:hanging="572"/>
        <w:rPr>
          <w:rFonts w:asciiTheme="minorHAnsi" w:hAnsiTheme="minorHAnsi"/>
          <w:lang w:eastAsia="en-AU"/>
        </w:rPr>
      </w:pPr>
      <w:r w:rsidRPr="0009339C">
        <w:rPr>
          <w:rFonts w:asciiTheme="minorHAnsi" w:hAnsiTheme="minorHAnsi"/>
          <w:lang w:eastAsia="en-AU"/>
        </w:rPr>
        <w:t xml:space="preserve">the </w:t>
      </w:r>
      <w:r w:rsidR="00B35144" w:rsidRPr="0009339C">
        <w:rPr>
          <w:rFonts w:asciiTheme="minorHAnsi" w:hAnsiTheme="minorHAnsi"/>
          <w:lang w:eastAsia="en-AU"/>
        </w:rPr>
        <w:t xml:space="preserve">relevant </w:t>
      </w:r>
      <w:r w:rsidRPr="0009339C">
        <w:rPr>
          <w:rFonts w:asciiTheme="minorHAnsi" w:hAnsiTheme="minorHAnsi"/>
          <w:lang w:eastAsia="en-AU"/>
        </w:rPr>
        <w:t>reg</w:t>
      </w:r>
      <w:r w:rsidR="00866929">
        <w:rPr>
          <w:rFonts w:asciiTheme="minorHAnsi" w:hAnsiTheme="minorHAnsi"/>
          <w:lang w:eastAsia="en-AU"/>
        </w:rPr>
        <w:t>istered native title claimants;</w:t>
      </w:r>
    </w:p>
    <w:p w14:paraId="6E7F46DE" w14:textId="0573F068" w:rsidR="002A6A58" w:rsidRPr="0009339C" w:rsidRDefault="00D3653A" w:rsidP="001513E9">
      <w:pPr>
        <w:pStyle w:val="ListParagraph"/>
        <w:numPr>
          <w:ilvl w:val="1"/>
          <w:numId w:val="10"/>
        </w:numPr>
        <w:ind w:left="1985" w:hanging="425"/>
        <w:rPr>
          <w:lang w:eastAsia="en-AU"/>
        </w:rPr>
      </w:pPr>
      <w:r w:rsidRPr="002123F7">
        <w:rPr>
          <w:rFonts w:asciiTheme="minorHAnsi" w:hAnsiTheme="minorHAnsi"/>
          <w:lang w:eastAsia="en-AU"/>
        </w:rPr>
        <w:t>if the petroleum interest is not on Aboriginal land and there is no registered native title claim or native title determination –</w:t>
      </w:r>
      <w:r w:rsidR="002123F7">
        <w:rPr>
          <w:rFonts w:asciiTheme="minorHAnsi" w:hAnsiTheme="minorHAnsi"/>
          <w:lang w:eastAsia="en-AU"/>
        </w:rPr>
        <w:t xml:space="preserve"> </w:t>
      </w:r>
      <w:r w:rsidRPr="002123F7">
        <w:rPr>
          <w:rFonts w:asciiTheme="minorHAnsi" w:hAnsiTheme="minorHAnsi"/>
          <w:lang w:eastAsia="en-AU"/>
        </w:rPr>
        <w:t>the relevant Land Council;</w:t>
      </w:r>
    </w:p>
    <w:p w14:paraId="4A53DB88" w14:textId="7152A69F" w:rsidR="006E73FD" w:rsidRDefault="006E73FD" w:rsidP="001513E9">
      <w:pPr>
        <w:pStyle w:val="ListParagraph"/>
        <w:numPr>
          <w:ilvl w:val="0"/>
          <w:numId w:val="23"/>
        </w:numPr>
        <w:ind w:left="1418" w:hanging="698"/>
        <w:rPr>
          <w:lang w:eastAsia="en-AU"/>
        </w:rPr>
      </w:pPr>
      <w:r>
        <w:rPr>
          <w:lang w:eastAsia="en-AU"/>
        </w:rPr>
        <w:t>a letter from the relevant Land Council confirming that an agreement has been reached</w:t>
      </w:r>
      <w:r w:rsidR="00B35144">
        <w:rPr>
          <w:lang w:eastAsia="en-AU"/>
        </w:rPr>
        <w:t>; or</w:t>
      </w:r>
    </w:p>
    <w:p w14:paraId="0E19CA79" w14:textId="240B5AEF" w:rsidR="006E73FD" w:rsidRDefault="00B35144" w:rsidP="001513E9">
      <w:pPr>
        <w:pStyle w:val="ListParagraph"/>
        <w:numPr>
          <w:ilvl w:val="0"/>
          <w:numId w:val="23"/>
        </w:numPr>
        <w:ind w:left="1418" w:hanging="698"/>
        <w:rPr>
          <w:lang w:eastAsia="en-AU"/>
        </w:rPr>
      </w:pPr>
      <w:r>
        <w:rPr>
          <w:lang w:eastAsia="en-AU"/>
        </w:rPr>
        <w:t xml:space="preserve">some other evidence that would satisfy the Minister that </w:t>
      </w:r>
      <w:r w:rsidR="00D078FF">
        <w:rPr>
          <w:lang w:eastAsia="en-AU"/>
        </w:rPr>
        <w:t>the requirements of section </w:t>
      </w:r>
      <w:r>
        <w:rPr>
          <w:lang w:eastAsia="en-AU"/>
        </w:rPr>
        <w:t>57AAA</w:t>
      </w:r>
      <w:r w:rsidR="00866929">
        <w:rPr>
          <w:lang w:eastAsia="en-AU"/>
        </w:rPr>
        <w:t>(5)(d) of the Act has been met.</w:t>
      </w:r>
    </w:p>
    <w:p w14:paraId="4352D668" w14:textId="4E72CA64" w:rsidR="00B35144" w:rsidRDefault="00B35144" w:rsidP="001513E9">
      <w:pPr>
        <w:pStyle w:val="ListParagraph"/>
        <w:ind w:left="720"/>
        <w:rPr>
          <w:lang w:eastAsia="en-AU"/>
        </w:rPr>
      </w:pPr>
      <w:r>
        <w:rPr>
          <w:lang w:eastAsia="en-AU"/>
        </w:rPr>
        <w:t>Prior to makin</w:t>
      </w:r>
      <w:r w:rsidR="00D078FF">
        <w:rPr>
          <w:lang w:eastAsia="en-AU"/>
        </w:rPr>
        <w:t>g a decision under section 57AA</w:t>
      </w:r>
      <w:r>
        <w:rPr>
          <w:lang w:eastAsia="en-AU"/>
        </w:rPr>
        <w:t>A to approve the recovery of petroleum on an appraisal basis the Minister needs to be satisfied that an agreement has been reached</w:t>
      </w:r>
      <w:r w:rsidR="00D078FF">
        <w:rPr>
          <w:lang w:eastAsia="en-AU"/>
        </w:rPr>
        <w:t xml:space="preserve"> under the Land Rights Act or the Native Title Act</w:t>
      </w:r>
      <w:r w:rsidR="00866929">
        <w:rPr>
          <w:lang w:eastAsia="en-AU"/>
        </w:rPr>
        <w:t xml:space="preserve">. </w:t>
      </w:r>
      <w:r w:rsidR="00F71A84">
        <w:rPr>
          <w:lang w:eastAsia="en-AU"/>
        </w:rPr>
        <w:t>The specific</w:t>
      </w:r>
      <w:r>
        <w:rPr>
          <w:lang w:eastAsia="en-AU"/>
        </w:rPr>
        <w:t xml:space="preserve"> terms and conditions of that agreement (including any compensation which may or may not be payable)</w:t>
      </w:r>
      <w:r w:rsidR="00F71A84">
        <w:rPr>
          <w:lang w:eastAsia="en-AU"/>
        </w:rPr>
        <w:t xml:space="preserve"> are not relevant</w:t>
      </w:r>
      <w:r>
        <w:rPr>
          <w:lang w:eastAsia="en-AU"/>
        </w:rPr>
        <w:t xml:space="preserve"> and a redacted </w:t>
      </w:r>
      <w:r>
        <w:rPr>
          <w:lang w:eastAsia="en-AU"/>
        </w:rPr>
        <w:lastRenderedPageBreak/>
        <w:t xml:space="preserve">version of any agreement </w:t>
      </w:r>
      <w:r w:rsidR="00373261">
        <w:rPr>
          <w:lang w:eastAsia="en-AU"/>
        </w:rPr>
        <w:t xml:space="preserve">can be </w:t>
      </w:r>
      <w:r w:rsidR="00AD2FA3">
        <w:rPr>
          <w:lang w:eastAsia="en-AU"/>
        </w:rPr>
        <w:t xml:space="preserve">submitted </w:t>
      </w:r>
      <w:r w:rsidR="00373261">
        <w:rPr>
          <w:lang w:eastAsia="en-AU"/>
        </w:rPr>
        <w:t>to the Minister provided</w:t>
      </w:r>
      <w:r w:rsidR="00AD2FA3">
        <w:rPr>
          <w:lang w:eastAsia="en-AU"/>
        </w:rPr>
        <w:t xml:space="preserve"> the consent, approval </w:t>
      </w:r>
      <w:r w:rsidR="004F6EFA">
        <w:rPr>
          <w:lang w:eastAsia="en-AU"/>
        </w:rPr>
        <w:t>or agreement is</w:t>
      </w:r>
      <w:r w:rsidR="00373261">
        <w:rPr>
          <w:lang w:eastAsia="en-AU"/>
        </w:rPr>
        <w:t xml:space="preserve"> clear.</w:t>
      </w:r>
    </w:p>
    <w:p w14:paraId="4607ADFA" w14:textId="05406757" w:rsidR="000676C6" w:rsidRDefault="00DF5A69" w:rsidP="001513E9">
      <w:pPr>
        <w:pStyle w:val="ListParagraph"/>
        <w:numPr>
          <w:ilvl w:val="0"/>
          <w:numId w:val="10"/>
        </w:numPr>
        <w:ind w:hanging="720"/>
        <w:rPr>
          <w:lang w:eastAsia="en-AU"/>
        </w:rPr>
      </w:pPr>
      <w:r>
        <w:rPr>
          <w:lang w:eastAsia="en-AU"/>
        </w:rPr>
        <w:t xml:space="preserve">Information </w:t>
      </w:r>
      <w:r w:rsidRPr="000676C6">
        <w:rPr>
          <w:rFonts w:asciiTheme="minorHAnsi" w:hAnsiTheme="minorHAnsi"/>
          <w:lang w:eastAsia="en-AU"/>
        </w:rPr>
        <w:t>from</w:t>
      </w:r>
      <w:r>
        <w:rPr>
          <w:lang w:eastAsia="en-AU"/>
        </w:rPr>
        <w:t xml:space="preserve"> the interest holder </w:t>
      </w:r>
      <w:r w:rsidR="004F21EF">
        <w:rPr>
          <w:lang w:eastAsia="en-AU"/>
        </w:rPr>
        <w:t>regarding</w:t>
      </w:r>
      <w:r w:rsidR="000676C6">
        <w:rPr>
          <w:lang w:eastAsia="en-AU"/>
        </w:rPr>
        <w:t xml:space="preserve"> a</w:t>
      </w:r>
      <w:r w:rsidR="004F21EF">
        <w:rPr>
          <w:lang w:eastAsia="en-AU"/>
        </w:rPr>
        <w:t>n est</w:t>
      </w:r>
      <w:r w:rsidR="009F7621">
        <w:rPr>
          <w:lang w:eastAsia="en-AU"/>
        </w:rPr>
        <w:t>imate of the anticipated reduction in greenhouse gas</w:t>
      </w:r>
      <w:r w:rsidR="004F21EF">
        <w:rPr>
          <w:lang w:eastAsia="en-AU"/>
        </w:rPr>
        <w:t xml:space="preserve"> emissions that will result from the recovery of the petroleum</w:t>
      </w:r>
      <w:r w:rsidR="008A6F6E">
        <w:rPr>
          <w:lang w:eastAsia="en-AU"/>
        </w:rPr>
        <w:t xml:space="preserve"> on an appraisal basis</w:t>
      </w:r>
      <w:r w:rsidR="009F7621">
        <w:rPr>
          <w:lang w:eastAsia="en-AU"/>
        </w:rPr>
        <w:t xml:space="preserve"> (as opposed to flaring and venting duri</w:t>
      </w:r>
      <w:r w:rsidR="00866929">
        <w:rPr>
          <w:lang w:eastAsia="en-AU"/>
        </w:rPr>
        <w:t xml:space="preserve">ng the extended well testing). </w:t>
      </w:r>
      <w:r w:rsidR="009F7621">
        <w:rPr>
          <w:lang w:eastAsia="en-AU"/>
        </w:rPr>
        <w:t>The interest holder should provide information on what greenhouse gas emissions are likely to be produced through the recovery of petroleum on an appraisal basis.</w:t>
      </w:r>
      <w:r w:rsidR="00DB2FF0">
        <w:rPr>
          <w:rStyle w:val="FootnoteReference"/>
          <w:lang w:eastAsia="en-AU"/>
        </w:rPr>
        <w:footnoteReference w:id="11"/>
      </w:r>
    </w:p>
    <w:p w14:paraId="72815770" w14:textId="27150676" w:rsidR="00DF5A69" w:rsidRDefault="000676C6" w:rsidP="001513E9">
      <w:pPr>
        <w:pStyle w:val="ListParagraph"/>
        <w:numPr>
          <w:ilvl w:val="0"/>
          <w:numId w:val="10"/>
        </w:numPr>
        <w:ind w:hanging="720"/>
        <w:rPr>
          <w:lang w:eastAsia="en-AU"/>
        </w:rPr>
      </w:pPr>
      <w:r>
        <w:rPr>
          <w:lang w:eastAsia="en-AU"/>
        </w:rPr>
        <w:t>Information from the interest holder regarding t</w:t>
      </w:r>
      <w:r w:rsidR="004F21EF">
        <w:rPr>
          <w:lang w:eastAsia="en-AU"/>
        </w:rPr>
        <w:t>he</w:t>
      </w:r>
      <w:r w:rsidR="00DF5A69">
        <w:rPr>
          <w:lang w:eastAsia="en-AU"/>
        </w:rPr>
        <w:t xml:space="preserve"> proposed destination</w:t>
      </w:r>
      <w:r w:rsidR="008A6F6E">
        <w:rPr>
          <w:lang w:eastAsia="en-AU"/>
        </w:rPr>
        <w:t xml:space="preserve"> </w:t>
      </w:r>
      <w:r w:rsidR="00A34D81">
        <w:rPr>
          <w:lang w:eastAsia="en-AU"/>
        </w:rPr>
        <w:t>and use of the petroleum including an outline of any agreement reached with a third party regarding the s</w:t>
      </w:r>
      <w:r w:rsidR="00866929">
        <w:rPr>
          <w:lang w:eastAsia="en-AU"/>
        </w:rPr>
        <w:t>ale (or gift) of the petroleum.</w:t>
      </w:r>
      <w:r w:rsidR="00A34D81">
        <w:rPr>
          <w:lang w:eastAsia="en-AU"/>
        </w:rPr>
        <w:t xml:space="preserve"> The specific terms and conditions of any agreement are not relevant but the Minister needs to be satisfied that the term of any agreement is </w:t>
      </w:r>
      <w:r w:rsidR="00B40262">
        <w:rPr>
          <w:lang w:eastAsia="en-AU"/>
        </w:rPr>
        <w:t>consistent with the application.</w:t>
      </w:r>
    </w:p>
    <w:p w14:paraId="2AC73E33" w14:textId="0DF682FA" w:rsidR="00084191" w:rsidRPr="00943908" w:rsidRDefault="00084191" w:rsidP="001513E9">
      <w:pPr>
        <w:pStyle w:val="ListParagraph"/>
        <w:numPr>
          <w:ilvl w:val="0"/>
          <w:numId w:val="10"/>
        </w:numPr>
        <w:ind w:hanging="720"/>
        <w:rPr>
          <w:lang w:eastAsia="en-AU"/>
        </w:rPr>
      </w:pPr>
      <w:r w:rsidRPr="00943908">
        <w:rPr>
          <w:lang w:eastAsia="en-AU"/>
        </w:rPr>
        <w:t>Confirmation from the interest holder that:</w:t>
      </w:r>
    </w:p>
    <w:p w14:paraId="38A9F89A" w14:textId="194F9E31" w:rsidR="00084191" w:rsidRPr="00943908" w:rsidRDefault="00943908" w:rsidP="001513E9">
      <w:pPr>
        <w:pStyle w:val="ListParagraph"/>
        <w:numPr>
          <w:ilvl w:val="0"/>
          <w:numId w:val="16"/>
        </w:numPr>
        <w:ind w:left="1418" w:hanging="698"/>
        <w:rPr>
          <w:lang w:eastAsia="en-AU"/>
        </w:rPr>
      </w:pPr>
      <w:r w:rsidRPr="00943908">
        <w:rPr>
          <w:lang w:eastAsia="en-AU"/>
        </w:rPr>
        <w:t>T</w:t>
      </w:r>
      <w:r w:rsidR="00084191" w:rsidRPr="00943908">
        <w:rPr>
          <w:lang w:eastAsia="en-AU"/>
        </w:rPr>
        <w:t>his application is co</w:t>
      </w:r>
      <w:r w:rsidR="000B27F0" w:rsidRPr="00943908">
        <w:rPr>
          <w:lang w:eastAsia="en-AU"/>
        </w:rPr>
        <w:t>nsistent with the approved WOMP</w:t>
      </w:r>
      <w:r w:rsidR="00084191" w:rsidRPr="00943908">
        <w:rPr>
          <w:lang w:eastAsia="en-AU"/>
        </w:rPr>
        <w:t xml:space="preserve"> for the relevant wells or, if not, what changes must be </w:t>
      </w:r>
      <w:r w:rsidR="000B27F0" w:rsidRPr="00943908">
        <w:rPr>
          <w:lang w:eastAsia="en-AU"/>
        </w:rPr>
        <w:t>made (and approved) to the WOMP</w:t>
      </w:r>
      <w:r w:rsidR="00084191" w:rsidRPr="00943908">
        <w:rPr>
          <w:lang w:eastAsia="en-AU"/>
        </w:rPr>
        <w:t xml:space="preserve"> to allow for the recovery of petroleum on an appraisal basis and </w:t>
      </w:r>
      <w:r w:rsidR="009F7621" w:rsidRPr="00943908">
        <w:rPr>
          <w:lang w:eastAsia="en-AU"/>
        </w:rPr>
        <w:t xml:space="preserve">the approximate </w:t>
      </w:r>
      <w:r w:rsidR="00084191" w:rsidRPr="00943908">
        <w:rPr>
          <w:lang w:eastAsia="en-AU"/>
        </w:rPr>
        <w:t>timeline</w:t>
      </w:r>
      <w:r w:rsidR="009F7621" w:rsidRPr="00943908">
        <w:rPr>
          <w:lang w:eastAsia="en-AU"/>
        </w:rPr>
        <w:t xml:space="preserve"> to revise the WOMP (if necessary)</w:t>
      </w:r>
      <w:r w:rsidR="00875CC6" w:rsidRPr="00943908">
        <w:rPr>
          <w:lang w:eastAsia="en-AU"/>
        </w:rPr>
        <w:t xml:space="preserve">. </w:t>
      </w:r>
    </w:p>
    <w:p w14:paraId="6BB3101F" w14:textId="006E2835" w:rsidR="00084191" w:rsidRPr="00943908" w:rsidRDefault="00943908" w:rsidP="001513E9">
      <w:pPr>
        <w:pStyle w:val="ListParagraph"/>
        <w:numPr>
          <w:ilvl w:val="0"/>
          <w:numId w:val="16"/>
        </w:numPr>
        <w:ind w:left="1418" w:hanging="698"/>
        <w:rPr>
          <w:lang w:eastAsia="en-AU"/>
        </w:rPr>
      </w:pPr>
      <w:r w:rsidRPr="00943908">
        <w:rPr>
          <w:lang w:eastAsia="en-AU"/>
        </w:rPr>
        <w:t>T</w:t>
      </w:r>
      <w:r w:rsidR="00084191" w:rsidRPr="00943908">
        <w:rPr>
          <w:lang w:eastAsia="en-AU"/>
        </w:rPr>
        <w:t>his application is c</w:t>
      </w:r>
      <w:r w:rsidR="000B27F0" w:rsidRPr="00943908">
        <w:rPr>
          <w:lang w:eastAsia="en-AU"/>
        </w:rPr>
        <w:t>onsistent with the approved EMP</w:t>
      </w:r>
      <w:r w:rsidR="00084191" w:rsidRPr="00943908">
        <w:rPr>
          <w:lang w:eastAsia="en-AU"/>
        </w:rPr>
        <w:t xml:space="preserve"> for the petroleum interest or, if not, what changes must be</w:t>
      </w:r>
      <w:r w:rsidR="000B27F0" w:rsidRPr="00943908">
        <w:rPr>
          <w:lang w:eastAsia="en-AU"/>
        </w:rPr>
        <w:t xml:space="preserve"> made (and approved) to the EMP</w:t>
      </w:r>
      <w:r w:rsidR="00084191" w:rsidRPr="00943908">
        <w:rPr>
          <w:lang w:eastAsia="en-AU"/>
        </w:rPr>
        <w:t xml:space="preserve"> to allow for the recovery of petroleum on an appraisal basis and </w:t>
      </w:r>
      <w:r w:rsidR="009F7621" w:rsidRPr="00943908">
        <w:rPr>
          <w:lang w:eastAsia="en-AU"/>
        </w:rPr>
        <w:t xml:space="preserve">the approximate </w:t>
      </w:r>
      <w:r w:rsidR="00084191" w:rsidRPr="00943908">
        <w:rPr>
          <w:lang w:eastAsia="en-AU"/>
        </w:rPr>
        <w:t>timeline</w:t>
      </w:r>
      <w:r w:rsidR="009F7621" w:rsidRPr="00943908">
        <w:rPr>
          <w:lang w:eastAsia="en-AU"/>
        </w:rPr>
        <w:t xml:space="preserve"> to revise the EMP (if necessary)</w:t>
      </w:r>
      <w:r w:rsidR="004F6EFA">
        <w:rPr>
          <w:lang w:eastAsia="en-AU"/>
        </w:rPr>
        <w:t>.</w:t>
      </w:r>
    </w:p>
    <w:p w14:paraId="182FA984" w14:textId="4F3E243B" w:rsidR="009F7621" w:rsidRDefault="00943908" w:rsidP="001513E9">
      <w:pPr>
        <w:pStyle w:val="ListParagraph"/>
        <w:numPr>
          <w:ilvl w:val="0"/>
          <w:numId w:val="16"/>
        </w:numPr>
        <w:ind w:left="1418" w:hanging="698"/>
        <w:rPr>
          <w:lang w:eastAsia="en-AU"/>
        </w:rPr>
      </w:pPr>
      <w:r w:rsidRPr="00943908">
        <w:rPr>
          <w:lang w:eastAsia="en-AU"/>
        </w:rPr>
        <w:t>If relevant - th</w:t>
      </w:r>
      <w:r w:rsidR="009F7621" w:rsidRPr="00943908">
        <w:rPr>
          <w:lang w:eastAsia="en-AU"/>
        </w:rPr>
        <w:t xml:space="preserve">is application is consistent with the approved access agreement for the </w:t>
      </w:r>
      <w:r w:rsidRPr="00943908">
        <w:rPr>
          <w:lang w:eastAsia="en-AU"/>
        </w:rPr>
        <w:t>regulated operations</w:t>
      </w:r>
      <w:r w:rsidR="009F7621" w:rsidRPr="00943908">
        <w:rPr>
          <w:lang w:eastAsia="en-AU"/>
        </w:rPr>
        <w:t xml:space="preserve"> or, if not, what changes must be </w:t>
      </w:r>
      <w:r w:rsidRPr="00943908">
        <w:rPr>
          <w:lang w:eastAsia="en-AU"/>
        </w:rPr>
        <w:t>made (and approved) to the approved access agreement</w:t>
      </w:r>
      <w:r w:rsidR="009F7621" w:rsidRPr="00943908">
        <w:rPr>
          <w:lang w:eastAsia="en-AU"/>
        </w:rPr>
        <w:t xml:space="preserve"> to allow for the recovery of petroleum on an appraisal basis and the </w:t>
      </w:r>
      <w:r w:rsidR="009F7621" w:rsidRPr="00FF1569">
        <w:rPr>
          <w:lang w:eastAsia="en-AU"/>
        </w:rPr>
        <w:t xml:space="preserve">approximate timeline to </w:t>
      </w:r>
      <w:r w:rsidRPr="00FF1569">
        <w:rPr>
          <w:lang w:eastAsia="en-AU"/>
        </w:rPr>
        <w:t xml:space="preserve">vary the agreement </w:t>
      </w:r>
      <w:r w:rsidR="009F7621" w:rsidRPr="00FF1569">
        <w:rPr>
          <w:lang w:eastAsia="en-AU"/>
        </w:rPr>
        <w:t>(if necessary).</w:t>
      </w:r>
      <w:r w:rsidRPr="00FF1569">
        <w:rPr>
          <w:rStyle w:val="FootnoteReference"/>
          <w:lang w:eastAsia="en-AU"/>
        </w:rPr>
        <w:footnoteReference w:id="12"/>
      </w:r>
      <w:r w:rsidR="009F7621" w:rsidRPr="00FF1569">
        <w:rPr>
          <w:lang w:eastAsia="en-AU"/>
        </w:rPr>
        <w:t xml:space="preserve"> </w:t>
      </w:r>
    </w:p>
    <w:p w14:paraId="5C855075" w14:textId="44485F6B" w:rsidR="00343E75" w:rsidRDefault="00343E75" w:rsidP="001513E9">
      <w:pPr>
        <w:pStyle w:val="Heading2"/>
        <w:rPr>
          <w:lang w:eastAsia="en-AU"/>
        </w:rPr>
      </w:pPr>
      <w:bookmarkStart w:id="8" w:name="_Toc190869118"/>
      <w:r>
        <w:rPr>
          <w:lang w:eastAsia="en-AU"/>
        </w:rPr>
        <w:t>True and correct information</w:t>
      </w:r>
      <w:bookmarkEnd w:id="8"/>
    </w:p>
    <w:p w14:paraId="068890B2" w14:textId="52AD231E" w:rsidR="00343E75" w:rsidRDefault="00343E75" w:rsidP="001513E9">
      <w:pPr>
        <w:rPr>
          <w:lang w:eastAsia="en-AU"/>
        </w:rPr>
      </w:pPr>
      <w:r>
        <w:rPr>
          <w:lang w:eastAsia="en-AU"/>
        </w:rPr>
        <w:t xml:space="preserve">The application for approval for the recovery of petroleum on an appraisal basis </w:t>
      </w:r>
      <w:r w:rsidR="008E3893">
        <w:rPr>
          <w:lang w:eastAsia="en-AU"/>
        </w:rPr>
        <w:t>must</w:t>
      </w:r>
      <w:r>
        <w:rPr>
          <w:lang w:eastAsia="en-AU"/>
        </w:rPr>
        <w:t xml:space="preserve"> only include information which is true and correct</w:t>
      </w:r>
      <w:r w:rsidR="00B63FAF">
        <w:rPr>
          <w:lang w:eastAsia="en-AU"/>
        </w:rPr>
        <w:t xml:space="preserve"> and not misleading</w:t>
      </w:r>
      <w:r>
        <w:rPr>
          <w:lang w:eastAsia="en-AU"/>
        </w:rPr>
        <w:t>. The provision of false or misleading information would undermine the ability for the Minister to appropriately consider the application and potentially impacts on the ability for the Government to administer its legislation.</w:t>
      </w:r>
    </w:p>
    <w:p w14:paraId="2781663D" w14:textId="43974980" w:rsidR="00343E75" w:rsidRDefault="00343E75" w:rsidP="001513E9">
      <w:pPr>
        <w:rPr>
          <w:lang w:eastAsia="en-AU"/>
        </w:rPr>
      </w:pPr>
      <w:r>
        <w:rPr>
          <w:lang w:eastAsia="en-AU"/>
        </w:rPr>
        <w:t xml:space="preserve">There are offences under the Act where an interest holder provides misleading information (see section 107) or makes false representations (see section 108). </w:t>
      </w:r>
    </w:p>
    <w:p w14:paraId="1DEB86F9" w14:textId="64667E18" w:rsidR="00BC11BB" w:rsidRDefault="00BC11BB" w:rsidP="001513E9">
      <w:pPr>
        <w:rPr>
          <w:lang w:eastAsia="en-AU"/>
        </w:rPr>
      </w:pPr>
      <w:r>
        <w:rPr>
          <w:lang w:eastAsia="en-AU"/>
        </w:rPr>
        <w:br w:type="page"/>
      </w:r>
    </w:p>
    <w:p w14:paraId="4095919A" w14:textId="38783C48" w:rsidR="00DF5A69" w:rsidRPr="00FF1569" w:rsidRDefault="00CD1358" w:rsidP="001513E9">
      <w:pPr>
        <w:pStyle w:val="Heading1"/>
        <w:rPr>
          <w:lang w:eastAsia="en-AU"/>
        </w:rPr>
      </w:pPr>
      <w:bookmarkStart w:id="9" w:name="_Toc190869119"/>
      <w:r w:rsidRPr="00FF1569">
        <w:rPr>
          <w:lang w:eastAsia="en-AU"/>
        </w:rPr>
        <w:lastRenderedPageBreak/>
        <w:t xml:space="preserve">Appraisal production infrastructure: </w:t>
      </w:r>
      <w:r w:rsidR="00DF5A69" w:rsidRPr="00FF1569">
        <w:rPr>
          <w:lang w:eastAsia="en-AU"/>
        </w:rPr>
        <w:t>decommissioning</w:t>
      </w:r>
      <w:r w:rsidR="00D078FF" w:rsidRPr="00FF1569">
        <w:rPr>
          <w:lang w:eastAsia="en-AU"/>
        </w:rPr>
        <w:t xml:space="preserve"> and the decommissioning</w:t>
      </w:r>
      <w:r w:rsidR="00DF5A69" w:rsidRPr="00FF1569">
        <w:rPr>
          <w:lang w:eastAsia="en-AU"/>
        </w:rPr>
        <w:t xml:space="preserve"> security</w:t>
      </w:r>
      <w:bookmarkEnd w:id="9"/>
    </w:p>
    <w:p w14:paraId="54121418" w14:textId="77149B3A" w:rsidR="00D078FF" w:rsidRPr="00FF1569" w:rsidRDefault="00D078FF" w:rsidP="001513E9">
      <w:pPr>
        <w:pStyle w:val="Heading2"/>
        <w:rPr>
          <w:lang w:eastAsia="en-AU"/>
        </w:rPr>
      </w:pPr>
      <w:bookmarkStart w:id="10" w:name="_Toc190869120"/>
      <w:r w:rsidRPr="00FF1569">
        <w:rPr>
          <w:lang w:eastAsia="en-AU"/>
        </w:rPr>
        <w:t>Decommissioning</w:t>
      </w:r>
      <w:bookmarkEnd w:id="10"/>
    </w:p>
    <w:p w14:paraId="0AAD26DF" w14:textId="3DFB43DA" w:rsidR="00D078FF" w:rsidRPr="00FF1569" w:rsidRDefault="00D078FF" w:rsidP="001513E9">
      <w:pPr>
        <w:rPr>
          <w:lang w:eastAsia="en-AU"/>
        </w:rPr>
      </w:pPr>
      <w:r w:rsidRPr="00FF1569">
        <w:rPr>
          <w:lang w:eastAsia="en-AU"/>
        </w:rPr>
        <w:t>Decommissioning of appraisal production infrastructure will include:</w:t>
      </w:r>
    </w:p>
    <w:p w14:paraId="2FB8EA2A" w14:textId="77777777" w:rsidR="00D078FF" w:rsidRPr="00FF1569" w:rsidRDefault="00D078FF" w:rsidP="001513E9">
      <w:pPr>
        <w:pStyle w:val="ListParagraph"/>
        <w:numPr>
          <w:ilvl w:val="0"/>
          <w:numId w:val="28"/>
        </w:numPr>
        <w:ind w:left="709" w:hanging="709"/>
        <w:rPr>
          <w:lang w:eastAsia="en-AU"/>
        </w:rPr>
      </w:pPr>
      <w:r w:rsidRPr="00FF1569">
        <w:rPr>
          <w:lang w:eastAsia="en-AU"/>
        </w:rPr>
        <w:t>de-energising and isolating mechanical and electrical equipment;</w:t>
      </w:r>
    </w:p>
    <w:p w14:paraId="63FC2D17" w14:textId="77777777" w:rsidR="00D078FF" w:rsidRPr="00FF1569" w:rsidRDefault="00D078FF" w:rsidP="001513E9">
      <w:pPr>
        <w:pStyle w:val="ListParagraph"/>
        <w:numPr>
          <w:ilvl w:val="0"/>
          <w:numId w:val="28"/>
        </w:numPr>
        <w:ind w:left="709" w:hanging="709"/>
        <w:rPr>
          <w:lang w:eastAsia="en-AU"/>
        </w:rPr>
      </w:pPr>
      <w:r w:rsidRPr="00FF1569">
        <w:rPr>
          <w:lang w:eastAsia="en-AU"/>
        </w:rPr>
        <w:t>venting and purging pipelines and equipment of any residual hydrocarbon (or chemical) contents;</w:t>
      </w:r>
    </w:p>
    <w:p w14:paraId="5C5AB168" w14:textId="0FDF1BFA" w:rsidR="00D078FF" w:rsidRPr="00FF1569" w:rsidRDefault="00D078FF" w:rsidP="001513E9">
      <w:pPr>
        <w:pStyle w:val="ListParagraph"/>
        <w:numPr>
          <w:ilvl w:val="0"/>
          <w:numId w:val="28"/>
        </w:numPr>
        <w:ind w:left="709" w:hanging="709"/>
        <w:rPr>
          <w:lang w:eastAsia="en-AU"/>
        </w:rPr>
      </w:pPr>
      <w:r w:rsidRPr="00FF1569">
        <w:rPr>
          <w:lang w:eastAsia="en-AU"/>
        </w:rPr>
        <w:t xml:space="preserve">dismantling and removal from the area any </w:t>
      </w:r>
      <w:r w:rsidR="00BA4916">
        <w:rPr>
          <w:lang w:eastAsia="en-AU"/>
        </w:rPr>
        <w:t xml:space="preserve">above-ground </w:t>
      </w:r>
      <w:r w:rsidRPr="00FF1569">
        <w:rPr>
          <w:lang w:eastAsia="en-AU"/>
        </w:rPr>
        <w:t>equipment, pipelines, supports, gathering network, electrical equipment and supporting infrastructure;</w:t>
      </w:r>
    </w:p>
    <w:p w14:paraId="1E54CBC2" w14:textId="2A192E91" w:rsidR="00D078FF" w:rsidRPr="00FF1569" w:rsidRDefault="00D078FF" w:rsidP="001513E9">
      <w:pPr>
        <w:pStyle w:val="ListParagraph"/>
        <w:numPr>
          <w:ilvl w:val="0"/>
          <w:numId w:val="28"/>
        </w:numPr>
        <w:ind w:left="709" w:hanging="709"/>
        <w:rPr>
          <w:lang w:eastAsia="en-AU"/>
        </w:rPr>
      </w:pPr>
      <w:r w:rsidRPr="00FF1569">
        <w:rPr>
          <w:lang w:eastAsia="en-AU"/>
        </w:rPr>
        <w:t>dismantling any civil foundations associated with</w:t>
      </w:r>
      <w:r w:rsidR="00BA4916">
        <w:rPr>
          <w:lang w:eastAsia="en-AU"/>
        </w:rPr>
        <w:t xml:space="preserve"> above-ground</w:t>
      </w:r>
      <w:r w:rsidRPr="00FF1569">
        <w:rPr>
          <w:lang w:eastAsia="en-AU"/>
        </w:rPr>
        <w:t xml:space="preserve"> equipment, pipelines, supports, gathering network, electrical equipment;</w:t>
      </w:r>
    </w:p>
    <w:p w14:paraId="36199750" w14:textId="14A94053" w:rsidR="00D078FF" w:rsidRPr="00FF1569" w:rsidRDefault="00BA4916" w:rsidP="001513E9">
      <w:pPr>
        <w:pStyle w:val="ListParagraph"/>
        <w:numPr>
          <w:ilvl w:val="0"/>
          <w:numId w:val="28"/>
        </w:numPr>
        <w:ind w:left="709" w:hanging="709"/>
        <w:rPr>
          <w:lang w:eastAsia="en-AU"/>
        </w:rPr>
      </w:pPr>
      <w:r>
        <w:rPr>
          <w:lang w:eastAsia="en-AU"/>
        </w:rPr>
        <w:t>decommissioning</w:t>
      </w:r>
      <w:r w:rsidR="00D078FF" w:rsidRPr="00FF1569">
        <w:rPr>
          <w:lang w:eastAsia="en-AU"/>
        </w:rPr>
        <w:t xml:space="preserve"> any underground pipelines</w:t>
      </w:r>
      <w:r>
        <w:rPr>
          <w:lang w:eastAsia="en-AU"/>
        </w:rPr>
        <w:t>, gathering networks</w:t>
      </w:r>
      <w:r w:rsidR="00D078FF" w:rsidRPr="00FF1569">
        <w:rPr>
          <w:lang w:eastAsia="en-AU"/>
        </w:rPr>
        <w:t xml:space="preserve"> or utilities</w:t>
      </w:r>
      <w:r>
        <w:rPr>
          <w:lang w:eastAsia="en-AU"/>
        </w:rPr>
        <w:t xml:space="preserve"> in accordance with regulatory requirements</w:t>
      </w:r>
      <w:r w:rsidR="002123F7">
        <w:rPr>
          <w:lang w:eastAsia="en-AU"/>
        </w:rPr>
        <w:t xml:space="preserve"> and applicable technical standards</w:t>
      </w:r>
      <w:r w:rsidR="00D078FF" w:rsidRPr="00FF1569">
        <w:rPr>
          <w:lang w:eastAsia="en-AU"/>
        </w:rPr>
        <w:t>; and</w:t>
      </w:r>
    </w:p>
    <w:p w14:paraId="0ECE96A2" w14:textId="689157F9" w:rsidR="00D078FF" w:rsidRPr="00FF1569" w:rsidRDefault="00D078FF" w:rsidP="001513E9">
      <w:pPr>
        <w:pStyle w:val="ListParagraph"/>
        <w:numPr>
          <w:ilvl w:val="0"/>
          <w:numId w:val="28"/>
        </w:numPr>
        <w:ind w:left="709" w:hanging="709"/>
        <w:rPr>
          <w:lang w:eastAsia="en-AU"/>
        </w:rPr>
      </w:pPr>
      <w:r w:rsidRPr="00FF1569">
        <w:rPr>
          <w:lang w:eastAsia="en-AU"/>
        </w:rPr>
        <w:t>removal of any supporting infrastructure.</w:t>
      </w:r>
    </w:p>
    <w:p w14:paraId="01B0360C" w14:textId="6B63CB4C" w:rsidR="00D078FF" w:rsidRPr="00FF1569" w:rsidRDefault="00D078FF" w:rsidP="001513E9">
      <w:pPr>
        <w:rPr>
          <w:lang w:eastAsia="en-AU"/>
        </w:rPr>
      </w:pPr>
      <w:r w:rsidRPr="00FF1569">
        <w:rPr>
          <w:lang w:eastAsia="en-AU"/>
        </w:rPr>
        <w:t xml:space="preserve">Decommissioning does not include </w:t>
      </w:r>
      <w:r w:rsidR="00114024" w:rsidRPr="00FF1569">
        <w:rPr>
          <w:lang w:eastAsia="en-AU"/>
        </w:rPr>
        <w:t>environmental</w:t>
      </w:r>
      <w:r w:rsidRPr="00FF1569">
        <w:rPr>
          <w:lang w:eastAsia="en-AU"/>
        </w:rPr>
        <w:t xml:space="preserve"> rehabilitation of the disturbed areas</w:t>
      </w:r>
      <w:r w:rsidR="00114024" w:rsidRPr="00FF1569">
        <w:rPr>
          <w:lang w:eastAsia="en-AU"/>
        </w:rPr>
        <w:t>; which are regulated through an EMP and the PER 2016</w:t>
      </w:r>
      <w:r w:rsidRPr="00FF1569">
        <w:rPr>
          <w:lang w:eastAsia="en-AU"/>
        </w:rPr>
        <w:t>.</w:t>
      </w:r>
    </w:p>
    <w:p w14:paraId="703D1195" w14:textId="0BA9B35F" w:rsidR="00090D5C" w:rsidRPr="00FF1569" w:rsidRDefault="00090D5C" w:rsidP="001513E9">
      <w:pPr>
        <w:pStyle w:val="Heading2"/>
        <w:rPr>
          <w:lang w:eastAsia="en-AU"/>
        </w:rPr>
      </w:pPr>
      <w:bookmarkStart w:id="11" w:name="_Toc190869121"/>
      <w:r w:rsidRPr="00FF1569">
        <w:rPr>
          <w:lang w:eastAsia="en-AU"/>
        </w:rPr>
        <w:t>Requirement for security</w:t>
      </w:r>
      <w:bookmarkEnd w:id="11"/>
    </w:p>
    <w:p w14:paraId="44FF9C82" w14:textId="00950C0F" w:rsidR="00DF5A69" w:rsidRPr="00FF1569" w:rsidRDefault="00DF5A69" w:rsidP="001513E9">
      <w:pPr>
        <w:rPr>
          <w:lang w:eastAsia="en-AU"/>
        </w:rPr>
      </w:pPr>
      <w:r w:rsidRPr="00FF1569">
        <w:rPr>
          <w:lang w:eastAsia="en-AU"/>
        </w:rPr>
        <w:t xml:space="preserve">An application must be accompanied by a proposal for the </w:t>
      </w:r>
      <w:r w:rsidR="003C0999">
        <w:rPr>
          <w:lang w:eastAsia="en-AU"/>
        </w:rPr>
        <w:t xml:space="preserve">calculation and </w:t>
      </w:r>
      <w:r w:rsidRPr="00FF1569">
        <w:rPr>
          <w:lang w:eastAsia="en-AU"/>
        </w:rPr>
        <w:t>payment of a petroleum infrastructure decommissioning security relating to the appraisal production infrastructure proposed to be used in connection with the recovery of petroleum on an appraisal basis</w:t>
      </w:r>
      <w:r w:rsidR="00CD1358" w:rsidRPr="00FF1569">
        <w:rPr>
          <w:lang w:eastAsia="en-AU"/>
        </w:rPr>
        <w:t>.</w:t>
      </w:r>
      <w:r w:rsidR="00CD1358" w:rsidRPr="00FF1569">
        <w:rPr>
          <w:rStyle w:val="FootnoteReference"/>
          <w:lang w:eastAsia="en-AU"/>
        </w:rPr>
        <w:footnoteReference w:id="13"/>
      </w:r>
      <w:r w:rsidR="009B4F56" w:rsidRPr="00FF1569">
        <w:rPr>
          <w:lang w:eastAsia="en-AU"/>
        </w:rPr>
        <w:t xml:space="preserve"> The security is required so that, in the event that an interest holder fails to decommission the appraisal production infrastructure in accordance with relevant approvals, the Minister has funds available to do so.</w:t>
      </w:r>
    </w:p>
    <w:p w14:paraId="47EF2F88" w14:textId="7492C3BC" w:rsidR="00090D5C" w:rsidRPr="00FF1569" w:rsidRDefault="00A773AE" w:rsidP="001513E9">
      <w:pPr>
        <w:rPr>
          <w:lang w:eastAsia="en-AU"/>
        </w:rPr>
      </w:pPr>
      <w:r w:rsidRPr="00FF1569">
        <w:rPr>
          <w:lang w:eastAsia="en-AU"/>
        </w:rPr>
        <w:t xml:space="preserve">Part VC, Division 3 of the Act </w:t>
      </w:r>
      <w:r w:rsidR="000B27F0" w:rsidRPr="00FF1569">
        <w:rPr>
          <w:lang w:eastAsia="en-AU"/>
        </w:rPr>
        <w:t>provides for the</w:t>
      </w:r>
      <w:r w:rsidR="00DE5B66" w:rsidRPr="00FF1569">
        <w:rPr>
          <w:lang w:eastAsia="en-AU"/>
        </w:rPr>
        <w:t xml:space="preserve"> </w:t>
      </w:r>
      <w:r w:rsidR="000B27F0" w:rsidRPr="00FF1569">
        <w:rPr>
          <w:lang w:eastAsia="en-AU"/>
        </w:rPr>
        <w:t xml:space="preserve">payment of </w:t>
      </w:r>
      <w:r w:rsidR="00DE5B66" w:rsidRPr="00FF1569">
        <w:rPr>
          <w:lang w:eastAsia="en-AU"/>
        </w:rPr>
        <w:t xml:space="preserve">petroleum infrastructure decommissioning securities – including </w:t>
      </w:r>
      <w:r w:rsidR="000B27F0" w:rsidRPr="00FF1569">
        <w:rPr>
          <w:lang w:eastAsia="en-AU"/>
        </w:rPr>
        <w:t>the</w:t>
      </w:r>
      <w:r w:rsidR="00DE5B66" w:rsidRPr="00FF1569">
        <w:rPr>
          <w:lang w:eastAsia="en-AU"/>
        </w:rPr>
        <w:t xml:space="preserve"> decommissioning</w:t>
      </w:r>
      <w:r w:rsidR="000B27F0" w:rsidRPr="00FF1569">
        <w:rPr>
          <w:lang w:eastAsia="en-AU"/>
        </w:rPr>
        <w:t xml:space="preserve"> of</w:t>
      </w:r>
      <w:r w:rsidR="00DE5B66" w:rsidRPr="00FF1569">
        <w:rPr>
          <w:lang w:eastAsia="en-AU"/>
        </w:rPr>
        <w:t xml:space="preserve"> appraisal production infrastructure.</w:t>
      </w:r>
    </w:p>
    <w:p w14:paraId="75ADF0C1" w14:textId="5BB2A6AD" w:rsidR="00AA5549" w:rsidRPr="00FF1569" w:rsidRDefault="009B4F56" w:rsidP="001513E9">
      <w:pPr>
        <w:rPr>
          <w:lang w:eastAsia="en-AU"/>
        </w:rPr>
      </w:pPr>
      <w:r w:rsidRPr="00FF1569">
        <w:rPr>
          <w:lang w:eastAsia="en-AU"/>
        </w:rPr>
        <w:t xml:space="preserve">The Minister has determined </w:t>
      </w:r>
      <w:r w:rsidR="00DB28DC">
        <w:rPr>
          <w:lang w:eastAsia="en-AU"/>
        </w:rPr>
        <w:t xml:space="preserve">under section 117AV of the Act </w:t>
      </w:r>
      <w:r w:rsidR="00B50152">
        <w:rPr>
          <w:lang w:eastAsia="en-AU"/>
        </w:rPr>
        <w:t>that</w:t>
      </w:r>
      <w:r w:rsidR="003E319B" w:rsidRPr="00FF1569">
        <w:rPr>
          <w:lang w:eastAsia="en-AU"/>
        </w:rPr>
        <w:t xml:space="preserve"> </w:t>
      </w:r>
      <w:r w:rsidR="00B65DDD" w:rsidRPr="00FF1569">
        <w:rPr>
          <w:lang w:eastAsia="en-AU"/>
        </w:rPr>
        <w:t xml:space="preserve">the </w:t>
      </w:r>
      <w:r w:rsidR="00B50152">
        <w:rPr>
          <w:lang w:eastAsia="en-AU"/>
        </w:rPr>
        <w:t xml:space="preserve">appropriate approach is for </w:t>
      </w:r>
      <w:r w:rsidR="00A537A1">
        <w:rPr>
          <w:lang w:eastAsia="en-AU"/>
        </w:rPr>
        <w:t>the</w:t>
      </w:r>
      <w:r w:rsidR="00B50152">
        <w:rPr>
          <w:lang w:eastAsia="en-AU"/>
        </w:rPr>
        <w:t xml:space="preserve"> </w:t>
      </w:r>
      <w:r w:rsidR="00B65DDD" w:rsidRPr="00FF1569">
        <w:rPr>
          <w:lang w:eastAsia="en-AU"/>
        </w:rPr>
        <w:t xml:space="preserve">security </w:t>
      </w:r>
      <w:r w:rsidR="00B50152">
        <w:rPr>
          <w:lang w:eastAsia="en-AU"/>
        </w:rPr>
        <w:t xml:space="preserve">to be based on the estimated ordinary and expected costs of decommissioning the appraisal production infrastructure. This approach recognises that, in relation to approved </w:t>
      </w:r>
      <w:r w:rsidR="00AA5549" w:rsidRPr="00FF1569">
        <w:rPr>
          <w:lang w:eastAsia="en-AU"/>
        </w:rPr>
        <w:t>appraisal production infrastructure:</w:t>
      </w:r>
    </w:p>
    <w:p w14:paraId="67C4DD00" w14:textId="1AD0692D" w:rsidR="00AA5549" w:rsidRPr="00FF1569" w:rsidRDefault="001346BB" w:rsidP="001513E9">
      <w:pPr>
        <w:pStyle w:val="ListParagraph"/>
        <w:numPr>
          <w:ilvl w:val="0"/>
          <w:numId w:val="35"/>
        </w:numPr>
        <w:ind w:left="709" w:hanging="709"/>
        <w:rPr>
          <w:lang w:eastAsia="en-AU"/>
        </w:rPr>
      </w:pPr>
      <w:r w:rsidRPr="00FF1569">
        <w:rPr>
          <w:lang w:eastAsia="en-AU"/>
        </w:rPr>
        <w:t>t</w:t>
      </w:r>
      <w:r w:rsidR="00AA5549" w:rsidRPr="00FF1569">
        <w:rPr>
          <w:lang w:eastAsia="en-AU"/>
        </w:rPr>
        <w:t>he infrastructure is only temporary or semi-permanent;</w:t>
      </w:r>
      <w:r w:rsidR="00B65DDD" w:rsidRPr="00FF1569">
        <w:rPr>
          <w:lang w:eastAsia="en-AU"/>
        </w:rPr>
        <w:t xml:space="preserve"> and</w:t>
      </w:r>
    </w:p>
    <w:p w14:paraId="69DF27CD" w14:textId="1E346863" w:rsidR="00AA5549" w:rsidRPr="00FF1569" w:rsidRDefault="00B50152" w:rsidP="001513E9">
      <w:pPr>
        <w:pStyle w:val="ListParagraph"/>
        <w:numPr>
          <w:ilvl w:val="0"/>
          <w:numId w:val="35"/>
        </w:numPr>
        <w:ind w:left="709" w:hanging="709"/>
        <w:rPr>
          <w:lang w:eastAsia="en-AU"/>
        </w:rPr>
      </w:pPr>
      <w:r>
        <w:rPr>
          <w:lang w:eastAsia="en-AU"/>
        </w:rPr>
        <w:t xml:space="preserve">the </w:t>
      </w:r>
      <w:r w:rsidR="001346BB" w:rsidRPr="00FF1569">
        <w:rPr>
          <w:lang w:eastAsia="en-AU"/>
        </w:rPr>
        <w:t>r</w:t>
      </w:r>
      <w:r w:rsidR="00AA5549" w:rsidRPr="00FF1569">
        <w:rPr>
          <w:lang w:eastAsia="en-AU"/>
        </w:rPr>
        <w:t>ecovery of petroleum on an appraisal</w:t>
      </w:r>
      <w:r w:rsidR="001346BB" w:rsidRPr="00FF1569">
        <w:rPr>
          <w:lang w:eastAsia="en-AU"/>
        </w:rPr>
        <w:t xml:space="preserve"> basis is not production and less infrastructure </w:t>
      </w:r>
      <w:r w:rsidR="00C6264D" w:rsidRPr="00FF1569">
        <w:rPr>
          <w:lang w:eastAsia="en-AU"/>
        </w:rPr>
        <w:t xml:space="preserve">is </w:t>
      </w:r>
      <w:r w:rsidR="001346BB" w:rsidRPr="00FF1569">
        <w:rPr>
          <w:lang w:eastAsia="en-AU"/>
        </w:rPr>
        <w:t>required;</w:t>
      </w:r>
      <w:r>
        <w:rPr>
          <w:lang w:eastAsia="en-AU"/>
        </w:rPr>
        <w:t> </w:t>
      </w:r>
      <w:r w:rsidR="00B65DDD" w:rsidRPr="00FF1569">
        <w:rPr>
          <w:lang w:eastAsia="en-AU"/>
        </w:rPr>
        <w:t>and</w:t>
      </w:r>
    </w:p>
    <w:p w14:paraId="6340743B" w14:textId="5BA32C53" w:rsidR="001346BB" w:rsidRPr="00FF1569" w:rsidRDefault="001346BB" w:rsidP="001513E9">
      <w:pPr>
        <w:pStyle w:val="ListParagraph"/>
        <w:numPr>
          <w:ilvl w:val="0"/>
          <w:numId w:val="35"/>
        </w:numPr>
        <w:ind w:left="709" w:hanging="709"/>
        <w:rPr>
          <w:lang w:eastAsia="en-AU"/>
        </w:rPr>
      </w:pPr>
      <w:r w:rsidRPr="00FF1569">
        <w:rPr>
          <w:lang w:eastAsia="en-AU"/>
        </w:rPr>
        <w:t>the duration of the approval is based on meeting the objective of the extended well testing</w:t>
      </w:r>
      <w:r w:rsidR="00C6264D" w:rsidRPr="00FF1569">
        <w:rPr>
          <w:lang w:eastAsia="en-AU"/>
        </w:rPr>
        <w:t xml:space="preserve"> and will be for a shorter period of time then production</w:t>
      </w:r>
      <w:r w:rsidRPr="00FF1569">
        <w:rPr>
          <w:lang w:eastAsia="en-AU"/>
        </w:rPr>
        <w:t>;</w:t>
      </w:r>
      <w:r w:rsidR="00B65DDD" w:rsidRPr="00FF1569">
        <w:rPr>
          <w:lang w:eastAsia="en-AU"/>
        </w:rPr>
        <w:t xml:space="preserve"> and</w:t>
      </w:r>
    </w:p>
    <w:p w14:paraId="6D16828E" w14:textId="22DBE862" w:rsidR="001346BB" w:rsidRDefault="00DB28DC" w:rsidP="001513E9">
      <w:pPr>
        <w:pStyle w:val="ListParagraph"/>
        <w:numPr>
          <w:ilvl w:val="0"/>
          <w:numId w:val="35"/>
        </w:numPr>
        <w:ind w:left="709" w:hanging="709"/>
        <w:rPr>
          <w:lang w:eastAsia="en-AU"/>
        </w:rPr>
      </w:pPr>
      <w:r>
        <w:rPr>
          <w:lang w:eastAsia="en-AU"/>
        </w:rPr>
        <w:t>there are</w:t>
      </w:r>
      <w:r w:rsidR="00C6264D" w:rsidRPr="00FF1569">
        <w:rPr>
          <w:lang w:eastAsia="en-AU"/>
        </w:rPr>
        <w:t xml:space="preserve"> higher uncertainti</w:t>
      </w:r>
      <w:r>
        <w:rPr>
          <w:lang w:eastAsia="en-AU"/>
        </w:rPr>
        <w:t xml:space="preserve">es associated with exploration </w:t>
      </w:r>
      <w:r w:rsidR="00C6264D" w:rsidRPr="00FF1569">
        <w:rPr>
          <w:lang w:eastAsia="en-AU"/>
        </w:rPr>
        <w:t>and appraisal</w:t>
      </w:r>
      <w:r>
        <w:rPr>
          <w:lang w:eastAsia="en-AU"/>
        </w:rPr>
        <w:t xml:space="preserve"> (including extended well testing</w:t>
      </w:r>
      <w:r w:rsidR="00C6264D" w:rsidRPr="00FF1569">
        <w:rPr>
          <w:lang w:eastAsia="en-AU"/>
        </w:rPr>
        <w:t>)</w:t>
      </w:r>
      <w:r w:rsidR="00B50152">
        <w:rPr>
          <w:lang w:eastAsia="en-AU"/>
        </w:rPr>
        <w:t xml:space="preserve"> </w:t>
      </w:r>
      <w:r w:rsidR="00866929">
        <w:rPr>
          <w:lang w:eastAsia="en-AU"/>
        </w:rPr>
        <w:t>compared with production.</w:t>
      </w:r>
    </w:p>
    <w:p w14:paraId="72815B02" w14:textId="263565B8" w:rsidR="00CD1F8B" w:rsidRPr="00FF1569" w:rsidRDefault="00CD1F8B" w:rsidP="001513E9">
      <w:pPr>
        <w:rPr>
          <w:lang w:eastAsia="en-AU"/>
        </w:rPr>
      </w:pPr>
      <w:r>
        <w:rPr>
          <w:lang w:eastAsia="en-AU"/>
        </w:rPr>
        <w:lastRenderedPageBreak/>
        <w:t xml:space="preserve">Additionally the recovery of petroleum on an appraisal basis is not mandatory (but is discretionary on the part of each </w:t>
      </w:r>
      <w:r w:rsidR="001F5368">
        <w:rPr>
          <w:lang w:eastAsia="en-AU"/>
        </w:rPr>
        <w:t>interest holder</w:t>
      </w:r>
      <w:r>
        <w:rPr>
          <w:lang w:eastAsia="en-AU"/>
        </w:rPr>
        <w:t>) and will be based on indivi</w:t>
      </w:r>
      <w:r w:rsidR="004C1E01">
        <w:rPr>
          <w:lang w:eastAsia="en-AU"/>
        </w:rPr>
        <w:t>dual circumstances at each site;</w:t>
      </w:r>
      <w:r>
        <w:rPr>
          <w:lang w:eastAsia="en-AU"/>
        </w:rPr>
        <w:t xml:space="preserve"> </w:t>
      </w:r>
      <w:r w:rsidR="001F5368">
        <w:rPr>
          <w:lang w:eastAsia="en-AU"/>
        </w:rPr>
        <w:t xml:space="preserve">therefore it </w:t>
      </w:r>
      <w:r>
        <w:rPr>
          <w:lang w:eastAsia="en-AU"/>
        </w:rPr>
        <w:t>is not</w:t>
      </w:r>
      <w:r w:rsidR="001F5368">
        <w:rPr>
          <w:lang w:eastAsia="en-AU"/>
        </w:rPr>
        <w:t xml:space="preserve"> considered</w:t>
      </w:r>
      <w:r>
        <w:rPr>
          <w:lang w:eastAsia="en-AU"/>
        </w:rPr>
        <w:t xml:space="preserve"> appropriate</w:t>
      </w:r>
      <w:r w:rsidR="001F5368">
        <w:rPr>
          <w:lang w:eastAsia="en-AU"/>
        </w:rPr>
        <w:t xml:space="preserve"> at this time</w:t>
      </w:r>
      <w:r>
        <w:rPr>
          <w:lang w:eastAsia="en-AU"/>
        </w:rPr>
        <w:t xml:space="preserve"> to benchmark or standardise costs associated with decommissioning</w:t>
      </w:r>
      <w:r w:rsidR="001F5368">
        <w:rPr>
          <w:lang w:eastAsia="en-AU"/>
        </w:rPr>
        <w:t xml:space="preserve"> appraisal production</w:t>
      </w:r>
      <w:r w:rsidR="00A537A1">
        <w:rPr>
          <w:lang w:eastAsia="en-AU"/>
        </w:rPr>
        <w:t xml:space="preserve"> infrastructure</w:t>
      </w:r>
      <w:r>
        <w:rPr>
          <w:lang w:eastAsia="en-AU"/>
        </w:rPr>
        <w:t>.</w:t>
      </w:r>
    </w:p>
    <w:p w14:paraId="145BE04E" w14:textId="1CEBEDE7" w:rsidR="00090D5C" w:rsidRDefault="00090D5C" w:rsidP="001513E9">
      <w:pPr>
        <w:pStyle w:val="Heading2"/>
        <w:rPr>
          <w:lang w:eastAsia="en-AU"/>
        </w:rPr>
      </w:pPr>
      <w:bookmarkStart w:id="12" w:name="_Toc190869122"/>
      <w:r w:rsidRPr="00FF1569">
        <w:rPr>
          <w:lang w:eastAsia="en-AU"/>
        </w:rPr>
        <w:t>Calculation of security</w:t>
      </w:r>
      <w:bookmarkEnd w:id="12"/>
    </w:p>
    <w:p w14:paraId="03FBD18D" w14:textId="77777777" w:rsidR="004C1E01" w:rsidRDefault="004C1E01" w:rsidP="001513E9">
      <w:pPr>
        <w:pStyle w:val="Heading3"/>
        <w:rPr>
          <w:lang w:eastAsia="en-AU"/>
        </w:rPr>
      </w:pPr>
      <w:bookmarkStart w:id="13" w:name="_Toc190869123"/>
      <w:r>
        <w:rPr>
          <w:lang w:eastAsia="en-AU"/>
        </w:rPr>
        <w:t>Formula</w:t>
      </w:r>
      <w:bookmarkEnd w:id="13"/>
    </w:p>
    <w:p w14:paraId="6EA2C8E4" w14:textId="77777777" w:rsidR="004C1E01" w:rsidRPr="004C1E01" w:rsidRDefault="004C1E01" w:rsidP="001513E9">
      <w:pPr>
        <w:rPr>
          <w:lang w:eastAsia="en-AU"/>
        </w:rPr>
      </w:pPr>
      <w:r w:rsidRPr="004C1E01">
        <w:rPr>
          <w:lang w:eastAsia="en-AU"/>
        </w:rPr>
        <w:t>The below formula has been determined by the Minister:</w:t>
      </w:r>
    </w:p>
    <w:p w14:paraId="7601B548" w14:textId="77777777" w:rsidR="004C1E01" w:rsidRPr="00E42664" w:rsidRDefault="004C1E01" w:rsidP="00E46FF2">
      <w:pPr>
        <w:pStyle w:val="ListParagraph"/>
        <w:rPr>
          <w:rFonts w:asciiTheme="majorHAnsi" w:eastAsiaTheme="majorEastAsia" w:hAnsiTheme="majorHAnsi" w:cstheme="majorBidi"/>
          <w:lang w:eastAsia="en-AU"/>
        </w:rPr>
      </w:pPr>
      <m:oMathPara>
        <m:oMathParaPr>
          <m:jc m:val="center"/>
        </m:oMathParaPr>
        <m:oMath>
          <m:r>
            <w:rPr>
              <w:rFonts w:ascii="Cambria Math" w:hAnsi="Cambria Math"/>
              <w:lang w:eastAsia="en-AU"/>
            </w:rPr>
            <m:t>Security value=estimated decomissioning cost x 133%</m:t>
          </m:r>
        </m:oMath>
      </m:oMathPara>
    </w:p>
    <w:p w14:paraId="3A947F12" w14:textId="57291E90" w:rsidR="004C1E01" w:rsidRPr="005D71A3" w:rsidRDefault="004C1E01" w:rsidP="00E42664">
      <w:pPr>
        <w:pStyle w:val="ListParagraph"/>
        <w:rPr>
          <w:rFonts w:asciiTheme="majorHAnsi" w:eastAsiaTheme="majorEastAsia" w:hAnsiTheme="majorHAnsi" w:cstheme="majorBidi"/>
          <w:lang w:eastAsia="en-AU"/>
        </w:rPr>
      </w:pPr>
      <w:r>
        <w:rPr>
          <w:rFonts w:asciiTheme="majorHAnsi" w:eastAsiaTheme="majorEastAsia" w:hAnsiTheme="majorHAnsi" w:cstheme="majorBidi"/>
          <w:lang w:eastAsia="en-AU"/>
        </w:rPr>
        <w:t xml:space="preserve">Where the </w:t>
      </w:r>
      <w:r w:rsidRPr="00AD3E91">
        <w:rPr>
          <w:rFonts w:asciiTheme="majorHAnsi" w:eastAsiaTheme="majorEastAsia" w:hAnsiTheme="majorHAnsi" w:cstheme="majorBidi"/>
          <w:i/>
          <w:lang w:eastAsia="en-AU"/>
        </w:rPr>
        <w:t>estimated decommissioning cost</w:t>
      </w:r>
      <w:r>
        <w:rPr>
          <w:rFonts w:asciiTheme="majorHAnsi" w:eastAsiaTheme="majorEastAsia" w:hAnsiTheme="majorHAnsi" w:cstheme="majorBidi"/>
          <w:lang w:eastAsia="en-AU"/>
        </w:rPr>
        <w:t xml:space="preserve"> is provided, assessed and agreed </w:t>
      </w:r>
      <w:r w:rsidR="002123F7">
        <w:rPr>
          <w:rFonts w:asciiTheme="majorHAnsi" w:eastAsiaTheme="majorEastAsia" w:hAnsiTheme="majorHAnsi" w:cstheme="majorBidi"/>
          <w:lang w:eastAsia="en-AU"/>
        </w:rPr>
        <w:t>by</w:t>
      </w:r>
      <w:r>
        <w:rPr>
          <w:rFonts w:asciiTheme="majorHAnsi" w:eastAsiaTheme="majorEastAsia" w:hAnsiTheme="majorHAnsi" w:cstheme="majorBidi"/>
          <w:lang w:eastAsia="en-AU"/>
        </w:rPr>
        <w:t xml:space="preserve"> </w:t>
      </w:r>
      <w:r w:rsidR="00E46FF2">
        <w:rPr>
          <w:rFonts w:asciiTheme="majorHAnsi" w:eastAsiaTheme="majorEastAsia" w:hAnsiTheme="majorHAnsi" w:cstheme="majorBidi"/>
          <w:lang w:eastAsia="en-AU"/>
        </w:rPr>
        <w:t xml:space="preserve">DME </w:t>
      </w:r>
      <w:r>
        <w:rPr>
          <w:rFonts w:asciiTheme="majorHAnsi" w:eastAsiaTheme="majorEastAsia" w:hAnsiTheme="majorHAnsi" w:cstheme="majorBidi"/>
          <w:lang w:eastAsia="en-AU"/>
        </w:rPr>
        <w:t>based on the process at 4.3.2</w:t>
      </w:r>
    </w:p>
    <w:p w14:paraId="6DDBAF60" w14:textId="41D2BCD7" w:rsidR="004C1E01" w:rsidRDefault="004C1E01" w:rsidP="001513E9">
      <w:pPr>
        <w:rPr>
          <w:lang w:eastAsia="en-AU"/>
        </w:rPr>
      </w:pPr>
      <w:r>
        <w:rPr>
          <w:lang w:eastAsia="en-AU"/>
        </w:rPr>
        <w:t>Given the uncertainty associated with exploration and appraisal activities</w:t>
      </w:r>
      <w:r w:rsidR="008505C5">
        <w:rPr>
          <w:lang w:eastAsia="en-AU"/>
        </w:rPr>
        <w:t xml:space="preserve"> (and extended well testing)</w:t>
      </w:r>
      <w:r>
        <w:rPr>
          <w:lang w:eastAsia="en-AU"/>
        </w:rPr>
        <w:t xml:space="preserve">, the Minister has determined that it is appropriate to impose a contingency factor in calculating the value of the security to be paid to the Minister. </w:t>
      </w:r>
      <w:r w:rsidR="008505C5">
        <w:rPr>
          <w:lang w:eastAsia="en-AU"/>
        </w:rPr>
        <w:t>The Minister has determined that the contingency factor should be 33% of the e</w:t>
      </w:r>
      <w:r w:rsidR="00866929">
        <w:rPr>
          <w:lang w:eastAsia="en-AU"/>
        </w:rPr>
        <w:t>stimated decommissioning costs.</w:t>
      </w:r>
    </w:p>
    <w:p w14:paraId="2C1E9990" w14:textId="3FFD5DA4" w:rsidR="00BE7209" w:rsidRDefault="00BE7209" w:rsidP="001513E9">
      <w:pPr>
        <w:pStyle w:val="Heading3"/>
        <w:rPr>
          <w:lang w:eastAsia="en-AU"/>
        </w:rPr>
      </w:pPr>
      <w:bookmarkStart w:id="14" w:name="_Toc190869124"/>
      <w:r>
        <w:rPr>
          <w:lang w:eastAsia="en-AU"/>
        </w:rPr>
        <w:t>Estimated decommissioning cost</w:t>
      </w:r>
      <w:bookmarkEnd w:id="14"/>
    </w:p>
    <w:p w14:paraId="3B406778" w14:textId="754C2380" w:rsidR="008A4499" w:rsidRDefault="003C0999" w:rsidP="001513E9">
      <w:pPr>
        <w:rPr>
          <w:lang w:eastAsia="en-AU"/>
        </w:rPr>
      </w:pPr>
      <w:r>
        <w:rPr>
          <w:lang w:eastAsia="en-AU"/>
        </w:rPr>
        <w:t>The interest holder must provide to the Minister an estimate of the costs associated with decommissioning the apprai</w:t>
      </w:r>
      <w:r w:rsidR="00866929">
        <w:rPr>
          <w:lang w:eastAsia="en-AU"/>
        </w:rPr>
        <w:t xml:space="preserve">sal production infrastructure. </w:t>
      </w:r>
      <w:r>
        <w:rPr>
          <w:lang w:eastAsia="en-AU"/>
        </w:rPr>
        <w:t xml:space="preserve">The estimate must include and address each of the following </w:t>
      </w:r>
      <w:r w:rsidR="00F43193">
        <w:rPr>
          <w:lang w:eastAsia="en-AU"/>
        </w:rPr>
        <w:t>categories of activity</w:t>
      </w:r>
      <w:r>
        <w:rPr>
          <w:lang w:eastAsia="en-AU"/>
        </w:rPr>
        <w:t>:</w:t>
      </w:r>
    </w:p>
    <w:p w14:paraId="1DBE4573" w14:textId="4EFA9F8D" w:rsidR="008A4499" w:rsidRDefault="008A4499" w:rsidP="001513E9">
      <w:pPr>
        <w:pStyle w:val="ListParagraph"/>
        <w:numPr>
          <w:ilvl w:val="0"/>
          <w:numId w:val="31"/>
        </w:numPr>
        <w:ind w:hanging="720"/>
      </w:pPr>
      <w:r>
        <w:t xml:space="preserve">Preparing for the decommissioning of all </w:t>
      </w:r>
      <w:r w:rsidR="00B214AE">
        <w:t>appraisal production infrastructure</w:t>
      </w:r>
      <w:r>
        <w:t xml:space="preserve"> including:</w:t>
      </w:r>
    </w:p>
    <w:p w14:paraId="277B080C" w14:textId="0BB3438B" w:rsidR="008A4499" w:rsidRPr="00114024" w:rsidRDefault="008A4499" w:rsidP="001513E9">
      <w:pPr>
        <w:pStyle w:val="ListParagraph"/>
        <w:numPr>
          <w:ilvl w:val="0"/>
          <w:numId w:val="38"/>
        </w:numPr>
        <w:ind w:left="1418" w:hanging="709"/>
        <w:rPr>
          <w:lang w:eastAsia="en-AU"/>
        </w:rPr>
      </w:pPr>
      <w:r w:rsidRPr="00114024">
        <w:rPr>
          <w:lang w:eastAsia="en-AU"/>
        </w:rPr>
        <w:t>de-energising and isolating mech</w:t>
      </w:r>
      <w:r>
        <w:rPr>
          <w:lang w:eastAsia="en-AU"/>
        </w:rPr>
        <w:t>anical and electrical equipment</w:t>
      </w:r>
      <w:r w:rsidR="00B214AE">
        <w:rPr>
          <w:lang w:eastAsia="en-AU"/>
        </w:rPr>
        <w:t>; and</w:t>
      </w:r>
    </w:p>
    <w:p w14:paraId="35F081D6" w14:textId="77777777" w:rsidR="008A4499" w:rsidRPr="00114024" w:rsidRDefault="008A4499" w:rsidP="001513E9">
      <w:pPr>
        <w:pStyle w:val="ListParagraph"/>
        <w:numPr>
          <w:ilvl w:val="0"/>
          <w:numId w:val="38"/>
        </w:numPr>
        <w:ind w:left="1418" w:hanging="698"/>
        <w:rPr>
          <w:lang w:eastAsia="en-AU"/>
        </w:rPr>
      </w:pPr>
      <w:r w:rsidRPr="00114024">
        <w:rPr>
          <w:lang w:eastAsia="en-AU"/>
        </w:rPr>
        <w:t>venting and purging pipelines and equipment of any residual hyd</w:t>
      </w:r>
      <w:r>
        <w:rPr>
          <w:lang w:eastAsia="en-AU"/>
        </w:rPr>
        <w:t>rocarbon (or chemical) contents.</w:t>
      </w:r>
    </w:p>
    <w:p w14:paraId="66B1C189" w14:textId="7572952C" w:rsidR="008A4499" w:rsidRDefault="008A4499" w:rsidP="001513E9">
      <w:pPr>
        <w:pStyle w:val="ListParagraph"/>
        <w:numPr>
          <w:ilvl w:val="0"/>
          <w:numId w:val="31"/>
        </w:numPr>
        <w:ind w:hanging="720"/>
        <w:rPr>
          <w:lang w:eastAsia="en-AU"/>
        </w:rPr>
      </w:pPr>
      <w:r>
        <w:rPr>
          <w:lang w:eastAsia="en-AU"/>
        </w:rPr>
        <w:t>Dismantling</w:t>
      </w:r>
      <w:r w:rsidR="002123F7">
        <w:rPr>
          <w:lang w:eastAsia="en-AU"/>
        </w:rPr>
        <w:t xml:space="preserve"> or decommissioning</w:t>
      </w:r>
      <w:r>
        <w:rPr>
          <w:lang w:eastAsia="en-AU"/>
        </w:rPr>
        <w:t xml:space="preserve"> of all</w:t>
      </w:r>
      <w:r w:rsidR="00B214AE">
        <w:rPr>
          <w:lang w:eastAsia="en-AU"/>
        </w:rPr>
        <w:t xml:space="preserve"> appraisal production infrastructure</w:t>
      </w:r>
      <w:r>
        <w:rPr>
          <w:lang w:eastAsia="en-AU"/>
        </w:rPr>
        <w:t xml:space="preserve"> including</w:t>
      </w:r>
      <w:r w:rsidR="00B214AE">
        <w:rPr>
          <w:lang w:eastAsia="en-AU"/>
        </w:rPr>
        <w:t xml:space="preserve"> any</w:t>
      </w:r>
      <w:r>
        <w:rPr>
          <w:lang w:eastAsia="en-AU"/>
        </w:rPr>
        <w:t>:</w:t>
      </w:r>
    </w:p>
    <w:p w14:paraId="4C5A99F5" w14:textId="7418D457" w:rsidR="008A4499" w:rsidRDefault="008A4499" w:rsidP="001513E9">
      <w:pPr>
        <w:pStyle w:val="ListParagraph"/>
        <w:numPr>
          <w:ilvl w:val="0"/>
          <w:numId w:val="39"/>
        </w:numPr>
        <w:ind w:left="1418" w:hanging="698"/>
        <w:rPr>
          <w:lang w:eastAsia="en-AU"/>
        </w:rPr>
      </w:pPr>
      <w:r>
        <w:rPr>
          <w:lang w:eastAsia="en-AU"/>
        </w:rPr>
        <w:t>p</w:t>
      </w:r>
      <w:r w:rsidRPr="00114024">
        <w:rPr>
          <w:lang w:eastAsia="en-AU"/>
        </w:rPr>
        <w:t>ipelines</w:t>
      </w:r>
      <w:r>
        <w:rPr>
          <w:lang w:eastAsia="en-AU"/>
        </w:rPr>
        <w:t xml:space="preserve"> and gathering networ</w:t>
      </w:r>
      <w:r w:rsidR="00B214AE">
        <w:rPr>
          <w:lang w:eastAsia="en-AU"/>
        </w:rPr>
        <w:t>ks, both above and below ground; and</w:t>
      </w:r>
    </w:p>
    <w:p w14:paraId="4AD12924" w14:textId="5C696E62" w:rsidR="008A4499" w:rsidRDefault="008A4499" w:rsidP="001513E9">
      <w:pPr>
        <w:pStyle w:val="ListParagraph"/>
        <w:numPr>
          <w:ilvl w:val="0"/>
          <w:numId w:val="39"/>
        </w:numPr>
        <w:ind w:left="1418" w:hanging="698"/>
        <w:rPr>
          <w:lang w:eastAsia="en-AU"/>
        </w:rPr>
      </w:pPr>
      <w:r>
        <w:rPr>
          <w:lang w:eastAsia="en-AU"/>
        </w:rPr>
        <w:t>storage</w:t>
      </w:r>
      <w:r w:rsidRPr="00114024">
        <w:rPr>
          <w:lang w:eastAsia="en-AU"/>
        </w:rPr>
        <w:t>,</w:t>
      </w:r>
      <w:r>
        <w:rPr>
          <w:lang w:eastAsia="en-AU"/>
        </w:rPr>
        <w:t xml:space="preserve"> processing, containment </w:t>
      </w:r>
      <w:r w:rsidR="00B214AE">
        <w:rPr>
          <w:lang w:eastAsia="en-AU"/>
        </w:rPr>
        <w:t xml:space="preserve">or </w:t>
      </w:r>
      <w:r w:rsidRPr="00114024">
        <w:rPr>
          <w:lang w:eastAsia="en-AU"/>
        </w:rPr>
        <w:t>electrical equipmen</w:t>
      </w:r>
      <w:r>
        <w:rPr>
          <w:lang w:eastAsia="en-AU"/>
        </w:rPr>
        <w:t>t</w:t>
      </w:r>
      <w:r w:rsidR="00B214AE">
        <w:rPr>
          <w:lang w:eastAsia="en-AU"/>
        </w:rPr>
        <w:t>.</w:t>
      </w:r>
    </w:p>
    <w:p w14:paraId="13F981BE" w14:textId="5690B9CF" w:rsidR="008A4499" w:rsidRPr="00114024" w:rsidRDefault="008A4499" w:rsidP="001513E9">
      <w:pPr>
        <w:pStyle w:val="ListParagraph"/>
        <w:numPr>
          <w:ilvl w:val="0"/>
          <w:numId w:val="31"/>
        </w:numPr>
        <w:ind w:hanging="720"/>
        <w:rPr>
          <w:lang w:eastAsia="en-AU"/>
        </w:rPr>
      </w:pPr>
      <w:r>
        <w:rPr>
          <w:lang w:eastAsia="en-AU"/>
        </w:rPr>
        <w:t xml:space="preserve">Dismantling of the civil foundations of the </w:t>
      </w:r>
      <w:r w:rsidR="00B214AE">
        <w:rPr>
          <w:lang w:eastAsia="en-AU"/>
        </w:rPr>
        <w:t xml:space="preserve">appraisal </w:t>
      </w:r>
      <w:r>
        <w:rPr>
          <w:lang w:eastAsia="en-AU"/>
        </w:rPr>
        <w:t>production infrastructure</w:t>
      </w:r>
      <w:r w:rsidR="00B214AE">
        <w:rPr>
          <w:lang w:eastAsia="en-AU"/>
        </w:rPr>
        <w:t xml:space="preserve"> including any supporting infrastructure</w:t>
      </w:r>
      <w:r>
        <w:rPr>
          <w:lang w:eastAsia="en-AU"/>
        </w:rPr>
        <w:t>.</w:t>
      </w:r>
    </w:p>
    <w:p w14:paraId="65F32046" w14:textId="5204BE69" w:rsidR="008A4499" w:rsidRDefault="008A4499" w:rsidP="001513E9">
      <w:pPr>
        <w:pStyle w:val="ListParagraph"/>
        <w:numPr>
          <w:ilvl w:val="0"/>
          <w:numId w:val="31"/>
        </w:numPr>
        <w:ind w:hanging="720"/>
        <w:rPr>
          <w:lang w:eastAsia="en-AU"/>
        </w:rPr>
      </w:pPr>
      <w:r>
        <w:rPr>
          <w:lang w:eastAsia="en-AU"/>
        </w:rPr>
        <w:t>Removal from site of all dismantled equipment and materials.</w:t>
      </w:r>
    </w:p>
    <w:p w14:paraId="3B2A1DDB" w14:textId="4B5EBFE7" w:rsidR="008A4499" w:rsidRDefault="008A4499" w:rsidP="001513E9">
      <w:pPr>
        <w:pStyle w:val="ListParagraph"/>
        <w:numPr>
          <w:ilvl w:val="0"/>
          <w:numId w:val="31"/>
        </w:numPr>
        <w:ind w:hanging="720"/>
        <w:rPr>
          <w:lang w:eastAsia="en-AU"/>
        </w:rPr>
      </w:pPr>
      <w:r>
        <w:rPr>
          <w:lang w:eastAsia="en-AU"/>
        </w:rPr>
        <w:t xml:space="preserve">Transport of all equipment and materials from site to a </w:t>
      </w:r>
      <w:r w:rsidR="00B214AE">
        <w:rPr>
          <w:lang w:eastAsia="en-AU"/>
        </w:rPr>
        <w:t>nominated disposal facility including any fees associated with any disposal.</w:t>
      </w:r>
    </w:p>
    <w:p w14:paraId="7277A8BD" w14:textId="6233E8BC" w:rsidR="008A4499" w:rsidRDefault="008A4499" w:rsidP="001513E9">
      <w:pPr>
        <w:pStyle w:val="ListParagraph"/>
        <w:numPr>
          <w:ilvl w:val="0"/>
          <w:numId w:val="31"/>
        </w:numPr>
        <w:ind w:hanging="720"/>
        <w:rPr>
          <w:lang w:eastAsia="en-AU"/>
        </w:rPr>
      </w:pPr>
      <w:r>
        <w:rPr>
          <w:lang w:eastAsia="en-AU"/>
        </w:rPr>
        <w:t xml:space="preserve">Project management </w:t>
      </w:r>
      <w:r w:rsidR="00B214AE">
        <w:rPr>
          <w:lang w:eastAsia="en-AU"/>
        </w:rPr>
        <w:t xml:space="preserve">associated with the </w:t>
      </w:r>
      <w:r>
        <w:rPr>
          <w:lang w:eastAsia="en-AU"/>
        </w:rPr>
        <w:t>planning and execution of the decommissioning process</w:t>
      </w:r>
      <w:r w:rsidR="00B214AE">
        <w:rPr>
          <w:lang w:eastAsia="en-AU"/>
        </w:rPr>
        <w:t xml:space="preserve"> (including any additional approvals required)</w:t>
      </w:r>
      <w:r>
        <w:rPr>
          <w:lang w:eastAsia="en-AU"/>
        </w:rPr>
        <w:t>.</w:t>
      </w:r>
    </w:p>
    <w:p w14:paraId="7391505F" w14:textId="429BCE9D" w:rsidR="008A4499" w:rsidRDefault="008A4499" w:rsidP="001513E9">
      <w:pPr>
        <w:pStyle w:val="ListParagraph"/>
        <w:numPr>
          <w:ilvl w:val="0"/>
          <w:numId w:val="31"/>
        </w:numPr>
        <w:ind w:hanging="720"/>
      </w:pPr>
      <w:r>
        <w:rPr>
          <w:lang w:eastAsia="en-AU"/>
        </w:rPr>
        <w:t>Mobilisation and demobilisation of resources to site to decommission the</w:t>
      </w:r>
      <w:r w:rsidR="00B214AE">
        <w:rPr>
          <w:lang w:eastAsia="en-AU"/>
        </w:rPr>
        <w:t xml:space="preserve"> appraisal production</w:t>
      </w:r>
      <w:r>
        <w:rPr>
          <w:lang w:eastAsia="en-AU"/>
        </w:rPr>
        <w:t xml:space="preserve"> infrastructure</w:t>
      </w:r>
      <w:r w:rsidR="00B214AE">
        <w:t xml:space="preserve"> (including rotation of personal if required).</w:t>
      </w:r>
    </w:p>
    <w:p w14:paraId="28C53424" w14:textId="72B7C09C" w:rsidR="008A4499" w:rsidRDefault="008A4499" w:rsidP="001513E9">
      <w:pPr>
        <w:pStyle w:val="ListParagraph"/>
        <w:numPr>
          <w:ilvl w:val="0"/>
          <w:numId w:val="31"/>
        </w:numPr>
        <w:ind w:hanging="720"/>
      </w:pPr>
      <w:r>
        <w:t xml:space="preserve">Personnel </w:t>
      </w:r>
      <w:r>
        <w:rPr>
          <w:lang w:eastAsia="en-AU"/>
        </w:rPr>
        <w:t>support</w:t>
      </w:r>
      <w:r>
        <w:t xml:space="preserve"> services and equipment to enable the decommissioning </w:t>
      </w:r>
      <w:r w:rsidR="00E92FCD">
        <w:t xml:space="preserve">of the production appraisal infrastructure </w:t>
      </w:r>
      <w:r>
        <w:t>to occur including:</w:t>
      </w:r>
    </w:p>
    <w:p w14:paraId="07B5174B" w14:textId="0CD79ACB" w:rsidR="008A4499" w:rsidRDefault="008A4499" w:rsidP="001513E9">
      <w:pPr>
        <w:pStyle w:val="ListParagraph"/>
        <w:numPr>
          <w:ilvl w:val="0"/>
          <w:numId w:val="40"/>
        </w:numPr>
        <w:ind w:left="1418" w:hanging="698"/>
        <w:rPr>
          <w:lang w:eastAsia="en-AU"/>
        </w:rPr>
      </w:pPr>
      <w:r>
        <w:rPr>
          <w:lang w:eastAsia="en-AU"/>
        </w:rPr>
        <w:t>living facilities</w:t>
      </w:r>
      <w:r w:rsidR="00E92FCD">
        <w:rPr>
          <w:lang w:eastAsia="en-AU"/>
        </w:rPr>
        <w:t>; and</w:t>
      </w:r>
    </w:p>
    <w:p w14:paraId="6ADDF045" w14:textId="77777777" w:rsidR="008A4499" w:rsidRDefault="008A4499" w:rsidP="001513E9">
      <w:pPr>
        <w:pStyle w:val="ListParagraph"/>
        <w:numPr>
          <w:ilvl w:val="0"/>
          <w:numId w:val="40"/>
        </w:numPr>
        <w:ind w:left="1418" w:hanging="698"/>
      </w:pPr>
      <w:r>
        <w:rPr>
          <w:lang w:eastAsia="en-AU"/>
        </w:rPr>
        <w:lastRenderedPageBreak/>
        <w:t>transport</w:t>
      </w:r>
      <w:r>
        <w:t>.</w:t>
      </w:r>
    </w:p>
    <w:p w14:paraId="54A80061" w14:textId="415F766F" w:rsidR="003B64FE" w:rsidRDefault="00114024" w:rsidP="001513E9">
      <w:pPr>
        <w:rPr>
          <w:lang w:eastAsia="en-AU"/>
        </w:rPr>
      </w:pPr>
      <w:r w:rsidRPr="00FF1569">
        <w:rPr>
          <w:lang w:eastAsia="en-AU"/>
        </w:rPr>
        <w:t>The cost estimate must have a high degree of certainty based on the information available at the time of submission of the application.</w:t>
      </w:r>
      <w:r w:rsidR="00767C4B">
        <w:rPr>
          <w:rStyle w:val="FootnoteReference"/>
          <w:lang w:eastAsia="en-AU"/>
        </w:rPr>
        <w:footnoteReference w:id="14"/>
      </w:r>
      <w:r w:rsidRPr="00FF1569">
        <w:rPr>
          <w:lang w:eastAsia="en-AU"/>
        </w:rPr>
        <w:t xml:space="preserve"> </w:t>
      </w:r>
      <w:r w:rsidR="00090D5C" w:rsidRPr="00FF1569">
        <w:rPr>
          <w:lang w:eastAsia="en-AU"/>
        </w:rPr>
        <w:t>In the application</w:t>
      </w:r>
      <w:r w:rsidR="00F13467">
        <w:rPr>
          <w:lang w:eastAsia="en-AU"/>
        </w:rPr>
        <w:t>,</w:t>
      </w:r>
      <w:r w:rsidR="00090D5C" w:rsidRPr="00FF1569">
        <w:rPr>
          <w:lang w:eastAsia="en-AU"/>
        </w:rPr>
        <w:t xml:space="preserve"> the interest holder must </w:t>
      </w:r>
      <w:r w:rsidR="009B4F56" w:rsidRPr="00FF1569">
        <w:rPr>
          <w:lang w:eastAsia="en-AU"/>
        </w:rPr>
        <w:t xml:space="preserve">provide </w:t>
      </w:r>
      <w:r w:rsidR="00767C4B">
        <w:rPr>
          <w:lang w:eastAsia="en-AU"/>
        </w:rPr>
        <w:t xml:space="preserve">satisfactory </w:t>
      </w:r>
      <w:r w:rsidR="009B4F56" w:rsidRPr="00FF1569">
        <w:rPr>
          <w:lang w:eastAsia="en-AU"/>
        </w:rPr>
        <w:t>evidence of the estimated cost of</w:t>
      </w:r>
      <w:r w:rsidR="001346BB" w:rsidRPr="00FF1569">
        <w:rPr>
          <w:lang w:eastAsia="en-AU"/>
        </w:rPr>
        <w:t xml:space="preserve"> the </w:t>
      </w:r>
      <w:r w:rsidR="00767C4B">
        <w:rPr>
          <w:lang w:eastAsia="en-AU"/>
        </w:rPr>
        <w:t>decommissioning of the</w:t>
      </w:r>
      <w:r w:rsidR="009B4F56" w:rsidRPr="00FF1569">
        <w:rPr>
          <w:lang w:eastAsia="en-AU"/>
        </w:rPr>
        <w:t xml:space="preserve"> appraisal production infrastructure.</w:t>
      </w:r>
      <w:r w:rsidRPr="00FF1569">
        <w:rPr>
          <w:rStyle w:val="FootnoteReference"/>
          <w:lang w:eastAsia="en-AU"/>
        </w:rPr>
        <w:footnoteReference w:id="15"/>
      </w:r>
      <w:r w:rsidR="009B4F56" w:rsidRPr="00FF1569">
        <w:rPr>
          <w:lang w:eastAsia="en-AU"/>
        </w:rPr>
        <w:t xml:space="preserve"> </w:t>
      </w:r>
      <w:r w:rsidR="006421A8" w:rsidRPr="00FF1569">
        <w:rPr>
          <w:lang w:eastAsia="en-AU"/>
        </w:rPr>
        <w:t>The Minister may request further information to test and validate the interest holder’s estimates.</w:t>
      </w:r>
    </w:p>
    <w:p w14:paraId="0143912B" w14:textId="337BA03D" w:rsidR="009B4F56" w:rsidRPr="00FF1569" w:rsidRDefault="009B4F56" w:rsidP="001513E9">
      <w:pPr>
        <w:rPr>
          <w:lang w:eastAsia="en-AU"/>
        </w:rPr>
      </w:pPr>
      <w:r w:rsidRPr="00FF1569">
        <w:rPr>
          <w:lang w:eastAsia="en-AU"/>
        </w:rPr>
        <w:t>F</w:t>
      </w:r>
      <w:r w:rsidR="006421A8" w:rsidRPr="00FF1569">
        <w:rPr>
          <w:lang w:eastAsia="en-AU"/>
        </w:rPr>
        <w:t>or the avoidance of doubt</w:t>
      </w:r>
      <w:r w:rsidR="001F5368">
        <w:rPr>
          <w:lang w:eastAsia="en-AU"/>
        </w:rPr>
        <w:t xml:space="preserve">, the calculation of the security for decommissioning </w:t>
      </w:r>
      <w:r w:rsidR="006421A8" w:rsidRPr="00FF1569">
        <w:rPr>
          <w:lang w:eastAsia="en-AU"/>
        </w:rPr>
        <w:t>appraisal production infrastructure</w:t>
      </w:r>
      <w:r w:rsidRPr="00FF1569">
        <w:rPr>
          <w:lang w:eastAsia="en-AU"/>
        </w:rPr>
        <w:t xml:space="preserve"> does not include:</w:t>
      </w:r>
    </w:p>
    <w:p w14:paraId="4EE062DB" w14:textId="64047BCB" w:rsidR="009B4F56" w:rsidRPr="00FF1569" w:rsidRDefault="009B4F56" w:rsidP="001513E9">
      <w:pPr>
        <w:pStyle w:val="ListParagraph"/>
        <w:numPr>
          <w:ilvl w:val="0"/>
          <w:numId w:val="41"/>
        </w:numPr>
        <w:ind w:hanging="720"/>
        <w:rPr>
          <w:lang w:eastAsia="en-AU"/>
        </w:rPr>
      </w:pPr>
      <w:r w:rsidRPr="00FF1569">
        <w:rPr>
          <w:lang w:eastAsia="en-AU"/>
        </w:rPr>
        <w:t xml:space="preserve">Any wells associated with the application to recover petroleum on an appraisal basis; a security associated with well decommissioning is regulated under the </w:t>
      </w:r>
      <w:r w:rsidR="00D62503">
        <w:rPr>
          <w:lang w:eastAsia="en-AU"/>
        </w:rPr>
        <w:t>Act and PR 2020 through a WOMP; </w:t>
      </w:r>
      <w:r w:rsidR="001F5368">
        <w:rPr>
          <w:lang w:eastAsia="en-AU"/>
        </w:rPr>
        <w:t>and</w:t>
      </w:r>
    </w:p>
    <w:p w14:paraId="38EAD5BB" w14:textId="6D75EC32" w:rsidR="009B4F56" w:rsidRPr="00FF1569" w:rsidRDefault="009B4F56" w:rsidP="001513E9">
      <w:pPr>
        <w:pStyle w:val="ListParagraph"/>
        <w:numPr>
          <w:ilvl w:val="0"/>
          <w:numId w:val="41"/>
        </w:numPr>
        <w:ind w:hanging="720"/>
        <w:rPr>
          <w:lang w:eastAsia="en-AU"/>
        </w:rPr>
      </w:pPr>
      <w:r w:rsidRPr="00FF1569">
        <w:rPr>
          <w:lang w:eastAsia="en-AU"/>
        </w:rPr>
        <w:t xml:space="preserve">Any environmental security; a security associated with the remediation and rehabilitation of </w:t>
      </w:r>
      <w:r w:rsidR="00114024" w:rsidRPr="00FF1569">
        <w:rPr>
          <w:lang w:eastAsia="en-AU"/>
        </w:rPr>
        <w:t xml:space="preserve">the </w:t>
      </w:r>
      <w:r w:rsidRPr="00FF1569">
        <w:rPr>
          <w:lang w:eastAsia="en-AU"/>
        </w:rPr>
        <w:t xml:space="preserve">environmental impacts </w:t>
      </w:r>
      <w:r w:rsidR="00114024" w:rsidRPr="00FF1569">
        <w:rPr>
          <w:lang w:eastAsia="en-AU"/>
        </w:rPr>
        <w:t xml:space="preserve">of the regulated activity </w:t>
      </w:r>
      <w:r w:rsidRPr="00FF1569">
        <w:rPr>
          <w:lang w:eastAsia="en-AU"/>
        </w:rPr>
        <w:t xml:space="preserve">is regulated under the Act and </w:t>
      </w:r>
      <w:r w:rsidR="00114024" w:rsidRPr="00FF1569">
        <w:rPr>
          <w:lang w:eastAsia="en-AU"/>
        </w:rPr>
        <w:t xml:space="preserve">PER 2016 </w:t>
      </w:r>
      <w:r w:rsidRPr="00FF1569">
        <w:rPr>
          <w:lang w:eastAsia="en-AU"/>
        </w:rPr>
        <w:t>through an EMP;</w:t>
      </w:r>
      <w:r w:rsidR="001F5368">
        <w:rPr>
          <w:lang w:eastAsia="en-AU"/>
        </w:rPr>
        <w:t xml:space="preserve"> and</w:t>
      </w:r>
    </w:p>
    <w:p w14:paraId="6B3CD940" w14:textId="3AFC8D9E" w:rsidR="009B4F56" w:rsidRPr="00FF1569" w:rsidRDefault="009B4F56" w:rsidP="001513E9">
      <w:pPr>
        <w:pStyle w:val="ListParagraph"/>
        <w:numPr>
          <w:ilvl w:val="0"/>
          <w:numId w:val="41"/>
        </w:numPr>
        <w:ind w:hanging="720"/>
        <w:rPr>
          <w:lang w:eastAsia="en-AU"/>
        </w:rPr>
      </w:pPr>
      <w:r w:rsidRPr="00FF1569">
        <w:rPr>
          <w:lang w:eastAsia="en-AU"/>
        </w:rPr>
        <w:t xml:space="preserve">Any pipeline constructed outside the petroleum interest boundaries under the </w:t>
      </w:r>
      <w:r w:rsidRPr="001F5368">
        <w:rPr>
          <w:i/>
          <w:lang w:eastAsia="en-AU"/>
        </w:rPr>
        <w:t>Energy Pipelines A</w:t>
      </w:r>
      <w:r w:rsidR="001346BB" w:rsidRPr="001F5368">
        <w:rPr>
          <w:i/>
          <w:lang w:eastAsia="en-AU"/>
        </w:rPr>
        <w:t>ct </w:t>
      </w:r>
      <w:r w:rsidRPr="001F5368">
        <w:rPr>
          <w:i/>
          <w:lang w:eastAsia="en-AU"/>
        </w:rPr>
        <w:t>1981</w:t>
      </w:r>
      <w:r w:rsidRPr="00FF1569">
        <w:rPr>
          <w:i/>
          <w:lang w:eastAsia="en-AU"/>
        </w:rPr>
        <w:t>.</w:t>
      </w:r>
    </w:p>
    <w:p w14:paraId="59759802" w14:textId="30C1BB84" w:rsidR="00090D5C" w:rsidRPr="00FF1569" w:rsidRDefault="00090D5C" w:rsidP="001513E9">
      <w:pPr>
        <w:pStyle w:val="Heading2"/>
        <w:rPr>
          <w:lang w:eastAsia="en-AU"/>
        </w:rPr>
      </w:pPr>
      <w:bookmarkStart w:id="15" w:name="_Toc190869125"/>
      <w:r w:rsidRPr="00FF1569">
        <w:rPr>
          <w:lang w:eastAsia="en-AU"/>
        </w:rPr>
        <w:t>Payment of security</w:t>
      </w:r>
      <w:bookmarkEnd w:id="15"/>
    </w:p>
    <w:p w14:paraId="0915FD2E" w14:textId="064F48B5" w:rsidR="00DF5A69" w:rsidRPr="00FF1569" w:rsidRDefault="00DE5B66" w:rsidP="001513E9">
      <w:pPr>
        <w:rPr>
          <w:lang w:eastAsia="en-AU"/>
        </w:rPr>
      </w:pPr>
      <w:r w:rsidRPr="00FF1569">
        <w:rPr>
          <w:lang w:eastAsia="en-AU"/>
        </w:rPr>
        <w:t xml:space="preserve">The interest holder must pay the security, determined by the Minister, prior to commencing </w:t>
      </w:r>
      <w:r w:rsidR="00693098" w:rsidRPr="00FF1569">
        <w:rPr>
          <w:lang w:eastAsia="en-AU"/>
        </w:rPr>
        <w:t xml:space="preserve">any </w:t>
      </w:r>
      <w:r w:rsidRPr="00FF1569">
        <w:rPr>
          <w:lang w:eastAsia="en-AU"/>
        </w:rPr>
        <w:t xml:space="preserve">activities </w:t>
      </w:r>
      <w:r w:rsidR="001F5368">
        <w:rPr>
          <w:lang w:eastAsia="en-AU"/>
        </w:rPr>
        <w:t xml:space="preserve">- </w:t>
      </w:r>
      <w:r w:rsidR="00607AF0" w:rsidRPr="00FF1569">
        <w:rPr>
          <w:lang w:eastAsia="en-AU"/>
        </w:rPr>
        <w:t xml:space="preserve">including </w:t>
      </w:r>
      <w:r w:rsidR="00693098" w:rsidRPr="00FF1569">
        <w:rPr>
          <w:lang w:eastAsia="en-AU"/>
        </w:rPr>
        <w:t>construction</w:t>
      </w:r>
      <w:r w:rsidR="000B27F0" w:rsidRPr="00FF1569">
        <w:rPr>
          <w:lang w:eastAsia="en-AU"/>
        </w:rPr>
        <w:t>.</w:t>
      </w:r>
      <w:r w:rsidR="00114024" w:rsidRPr="00FF1569">
        <w:rPr>
          <w:rStyle w:val="FootnoteReference"/>
          <w:lang w:eastAsia="en-AU"/>
        </w:rPr>
        <w:footnoteReference w:id="16"/>
      </w:r>
      <w:r w:rsidR="003E319B" w:rsidRPr="00FF1569">
        <w:rPr>
          <w:lang w:eastAsia="en-AU"/>
        </w:rPr>
        <w:t xml:space="preserve"> In accordance with section 117AP of the Act, and taking into account the Treasurer’s direction on these matters, the Minister has determined the form of the security to be:</w:t>
      </w:r>
    </w:p>
    <w:p w14:paraId="0F44C6E4" w14:textId="2AA50D10" w:rsidR="003E319B" w:rsidRPr="00FF1569" w:rsidRDefault="003E319B" w:rsidP="001513E9">
      <w:pPr>
        <w:pStyle w:val="ListParagraph"/>
        <w:numPr>
          <w:ilvl w:val="0"/>
          <w:numId w:val="29"/>
        </w:numPr>
        <w:ind w:left="709" w:hanging="709"/>
        <w:rPr>
          <w:lang w:eastAsia="en-AU"/>
        </w:rPr>
      </w:pPr>
      <w:r w:rsidRPr="00FF1569">
        <w:rPr>
          <w:lang w:eastAsia="en-AU"/>
        </w:rPr>
        <w:t xml:space="preserve">a cash bond paid to </w:t>
      </w:r>
      <w:r w:rsidR="00E46FF2">
        <w:rPr>
          <w:lang w:eastAsia="en-AU"/>
        </w:rPr>
        <w:t>DME</w:t>
      </w:r>
      <w:r w:rsidR="00E46FF2" w:rsidRPr="00FF1569">
        <w:rPr>
          <w:lang w:eastAsia="en-AU"/>
        </w:rPr>
        <w:t xml:space="preserve"> </w:t>
      </w:r>
      <w:r w:rsidRPr="00FF1569">
        <w:rPr>
          <w:lang w:eastAsia="en-AU"/>
        </w:rPr>
        <w:t>and held in trust; or</w:t>
      </w:r>
    </w:p>
    <w:p w14:paraId="5A84EC72" w14:textId="18F2F954" w:rsidR="003E319B" w:rsidRDefault="003E319B" w:rsidP="001513E9">
      <w:pPr>
        <w:pStyle w:val="ListParagraph"/>
        <w:numPr>
          <w:ilvl w:val="0"/>
          <w:numId w:val="29"/>
        </w:numPr>
        <w:ind w:left="709" w:hanging="709"/>
        <w:rPr>
          <w:lang w:eastAsia="en-AU"/>
        </w:rPr>
      </w:pPr>
      <w:r w:rsidRPr="00FF1569">
        <w:rPr>
          <w:lang w:eastAsia="en-AU"/>
        </w:rPr>
        <w:t>a bank guarante</w:t>
      </w:r>
      <w:r w:rsidR="0097409B">
        <w:rPr>
          <w:lang w:eastAsia="en-AU"/>
        </w:rPr>
        <w:t xml:space="preserve">e in the form approved by </w:t>
      </w:r>
      <w:r w:rsidR="00E46FF2">
        <w:rPr>
          <w:lang w:eastAsia="en-AU"/>
        </w:rPr>
        <w:t>DME</w:t>
      </w:r>
      <w:r w:rsidR="0097409B">
        <w:rPr>
          <w:lang w:eastAsia="en-AU"/>
        </w:rPr>
        <w:t>.</w:t>
      </w:r>
    </w:p>
    <w:p w14:paraId="4704DF13" w14:textId="7BD23435" w:rsidR="00C422E3" w:rsidRPr="00FF1569" w:rsidRDefault="00C422E3" w:rsidP="001513E9">
      <w:pPr>
        <w:pStyle w:val="Heading2"/>
        <w:rPr>
          <w:lang w:eastAsia="en-AU"/>
        </w:rPr>
      </w:pPr>
      <w:bookmarkStart w:id="16" w:name="_Toc190869126"/>
      <w:r>
        <w:rPr>
          <w:lang w:eastAsia="en-AU"/>
        </w:rPr>
        <w:t>Release</w:t>
      </w:r>
      <w:r w:rsidRPr="00FF1569">
        <w:rPr>
          <w:lang w:eastAsia="en-AU"/>
        </w:rPr>
        <w:t xml:space="preserve"> of security</w:t>
      </w:r>
      <w:bookmarkEnd w:id="16"/>
    </w:p>
    <w:p w14:paraId="27D1E0A8" w14:textId="5B630269" w:rsidR="00C422E3" w:rsidRDefault="00B63FAF" w:rsidP="001513E9">
      <w:pPr>
        <w:rPr>
          <w:lang w:eastAsia="en-AU"/>
        </w:rPr>
      </w:pPr>
      <w:r>
        <w:rPr>
          <w:lang w:eastAsia="en-AU"/>
        </w:rPr>
        <w:t>The Minister may release a security when satisfied that all obligations to which the security relates are satisfied and that the relevant decommissioning has satisfied all relevant regulatory requirements.</w:t>
      </w:r>
      <w:r>
        <w:rPr>
          <w:rStyle w:val="FootnoteReference"/>
          <w:lang w:eastAsia="en-AU"/>
        </w:rPr>
        <w:footnoteReference w:id="17"/>
      </w:r>
      <w:r w:rsidR="0097409B">
        <w:rPr>
          <w:lang w:eastAsia="en-AU"/>
        </w:rPr>
        <w:t xml:space="preserve"> </w:t>
      </w:r>
      <w:r>
        <w:rPr>
          <w:lang w:eastAsia="en-AU"/>
        </w:rPr>
        <w:t xml:space="preserve">An interest holder may decide not to decommission the appraisal production infrastructure at the end of the approval </w:t>
      </w:r>
      <w:r w:rsidR="002123F7">
        <w:rPr>
          <w:lang w:eastAsia="en-AU"/>
        </w:rPr>
        <w:t>to</w:t>
      </w:r>
      <w:r>
        <w:rPr>
          <w:lang w:eastAsia="en-AU"/>
        </w:rPr>
        <w:t xml:space="preserve"> recover pe</w:t>
      </w:r>
      <w:r w:rsidR="0097409B">
        <w:rPr>
          <w:lang w:eastAsia="en-AU"/>
        </w:rPr>
        <w:t xml:space="preserve">troleum on an appraisal basis. </w:t>
      </w:r>
      <w:r>
        <w:rPr>
          <w:lang w:eastAsia="en-AU"/>
        </w:rPr>
        <w:t>In that situation the Minister will retain the security until the appraisal production infrastructure is decommissioned</w:t>
      </w:r>
      <w:r w:rsidR="0097409B">
        <w:rPr>
          <w:lang w:eastAsia="en-AU"/>
        </w:rPr>
        <w:t>.</w:t>
      </w:r>
    </w:p>
    <w:p w14:paraId="76A204E0" w14:textId="3D76366F" w:rsidR="0097409B" w:rsidRDefault="0097409B" w:rsidP="001513E9">
      <w:pPr>
        <w:rPr>
          <w:lang w:eastAsia="en-AU"/>
        </w:rPr>
      </w:pPr>
      <w:r>
        <w:rPr>
          <w:lang w:eastAsia="en-AU"/>
        </w:rPr>
        <w:br w:type="page"/>
      </w:r>
    </w:p>
    <w:p w14:paraId="2B9E7E31" w14:textId="6EDFD9C2" w:rsidR="005823ED" w:rsidRDefault="007E282D" w:rsidP="001513E9">
      <w:pPr>
        <w:pStyle w:val="Heading1"/>
        <w:rPr>
          <w:lang w:eastAsia="en-AU"/>
        </w:rPr>
      </w:pPr>
      <w:bookmarkStart w:id="17" w:name="_Toc190869127"/>
      <w:r>
        <w:rPr>
          <w:lang w:eastAsia="en-AU"/>
        </w:rPr>
        <w:lastRenderedPageBreak/>
        <w:t>Assessment</w:t>
      </w:r>
      <w:r w:rsidR="007C23B8">
        <w:rPr>
          <w:lang w:eastAsia="en-AU"/>
        </w:rPr>
        <w:t xml:space="preserve"> of the application</w:t>
      </w:r>
      <w:bookmarkEnd w:id="17"/>
    </w:p>
    <w:p w14:paraId="7A5BE547" w14:textId="77777777" w:rsidR="007E282D" w:rsidRDefault="00D51799" w:rsidP="001513E9">
      <w:pPr>
        <w:pStyle w:val="Heading2"/>
        <w:rPr>
          <w:lang w:eastAsia="en-AU"/>
        </w:rPr>
      </w:pPr>
      <w:bookmarkStart w:id="18" w:name="_Toc190869128"/>
      <w:r>
        <w:rPr>
          <w:lang w:eastAsia="en-AU"/>
        </w:rPr>
        <w:t>Matters for consideration</w:t>
      </w:r>
      <w:bookmarkEnd w:id="18"/>
    </w:p>
    <w:p w14:paraId="3277DFF0" w14:textId="1BDAE489" w:rsidR="001134DB" w:rsidRDefault="003044BE" w:rsidP="001513E9">
      <w:pPr>
        <w:rPr>
          <w:lang w:eastAsia="en-AU"/>
        </w:rPr>
      </w:pPr>
      <w:r>
        <w:rPr>
          <w:lang w:eastAsia="en-AU"/>
        </w:rPr>
        <w:t>The Minister must not approve an application to recover petroleum on an appraisal basis unless the Minister is satisfied of matters</w:t>
      </w:r>
      <w:r w:rsidR="0097409B">
        <w:rPr>
          <w:lang w:eastAsia="en-AU"/>
        </w:rPr>
        <w:t xml:space="preserve"> specified at section 57AAA(5).</w:t>
      </w:r>
    </w:p>
    <w:p w14:paraId="3BD6B981" w14:textId="2C6442D3" w:rsidR="002D7994" w:rsidRDefault="005561D6" w:rsidP="001513E9">
      <w:pPr>
        <w:rPr>
          <w:lang w:eastAsia="en-AU"/>
        </w:rPr>
      </w:pPr>
      <w:r>
        <w:rPr>
          <w:lang w:eastAsia="en-AU"/>
        </w:rPr>
        <w:t>In addition to those</w:t>
      </w:r>
      <w:r w:rsidR="003044BE">
        <w:rPr>
          <w:lang w:eastAsia="en-AU"/>
        </w:rPr>
        <w:t xml:space="preserve"> matters </w:t>
      </w:r>
      <w:r>
        <w:rPr>
          <w:lang w:eastAsia="en-AU"/>
        </w:rPr>
        <w:t xml:space="preserve">at section 57AAA of the Act </w:t>
      </w:r>
      <w:r w:rsidR="003044BE">
        <w:rPr>
          <w:lang w:eastAsia="en-AU"/>
        </w:rPr>
        <w:t>the Minister must</w:t>
      </w:r>
      <w:r w:rsidR="002D7994">
        <w:rPr>
          <w:lang w:eastAsia="en-AU"/>
        </w:rPr>
        <w:t>, pursuant to section 6A and Schedule 1 of the Act,</w:t>
      </w:r>
      <w:r w:rsidR="003044BE">
        <w:rPr>
          <w:lang w:eastAsia="en-AU"/>
        </w:rPr>
        <w:t xml:space="preserve"> consider</w:t>
      </w:r>
      <w:r w:rsidR="002D7994">
        <w:rPr>
          <w:lang w:eastAsia="en-AU"/>
        </w:rPr>
        <w:t xml:space="preserve"> the principles of ecolog</w:t>
      </w:r>
      <w:r w:rsidR="0097409B">
        <w:rPr>
          <w:lang w:eastAsia="en-AU"/>
        </w:rPr>
        <w:t>ically sustainable development.</w:t>
      </w:r>
      <w:r w:rsidR="002D7994">
        <w:rPr>
          <w:lang w:eastAsia="en-AU"/>
        </w:rPr>
        <w:t xml:space="preserve"> The principles of ecologically sustainable development are defined by reference to the EP Act 2019 are:</w:t>
      </w:r>
    </w:p>
    <w:p w14:paraId="37974FFF" w14:textId="77777777" w:rsidR="002D7994" w:rsidRDefault="002D7994" w:rsidP="001513E9">
      <w:pPr>
        <w:pStyle w:val="ListParagraph"/>
        <w:numPr>
          <w:ilvl w:val="0"/>
          <w:numId w:val="14"/>
        </w:numPr>
        <w:ind w:hanging="720"/>
        <w:rPr>
          <w:lang w:eastAsia="en-AU"/>
        </w:rPr>
      </w:pPr>
      <w:r>
        <w:rPr>
          <w:lang w:eastAsia="en-AU"/>
        </w:rPr>
        <w:t>Decision-making principles (see section 18 of the EP Act 2019)</w:t>
      </w:r>
    </w:p>
    <w:p w14:paraId="42E4C413" w14:textId="77777777" w:rsidR="002D7994" w:rsidRDefault="002D7994" w:rsidP="001513E9">
      <w:pPr>
        <w:pStyle w:val="ListParagraph"/>
        <w:numPr>
          <w:ilvl w:val="0"/>
          <w:numId w:val="14"/>
        </w:numPr>
        <w:ind w:hanging="720"/>
        <w:rPr>
          <w:lang w:eastAsia="en-AU"/>
        </w:rPr>
      </w:pPr>
      <w:r>
        <w:rPr>
          <w:lang w:eastAsia="en-AU"/>
        </w:rPr>
        <w:t>The precautionary principle (see section 19 of the EP Act 2019)</w:t>
      </w:r>
    </w:p>
    <w:p w14:paraId="5D42EFF5" w14:textId="77777777" w:rsidR="002D7994" w:rsidRPr="004A4930" w:rsidRDefault="002D7994" w:rsidP="001513E9">
      <w:pPr>
        <w:pStyle w:val="ListParagraph"/>
        <w:numPr>
          <w:ilvl w:val="0"/>
          <w:numId w:val="14"/>
        </w:numPr>
        <w:ind w:hanging="720"/>
      </w:pPr>
      <w:bookmarkStart w:id="19" w:name="_Toc20122044"/>
      <w:r w:rsidRPr="004A4930">
        <w:t>Principle of evidence-</w:t>
      </w:r>
      <w:r w:rsidRPr="004A4930">
        <w:rPr>
          <w:lang w:eastAsia="en-AU"/>
        </w:rPr>
        <w:t>based</w:t>
      </w:r>
      <w:r w:rsidRPr="004A4930">
        <w:t xml:space="preserve"> decision-making</w:t>
      </w:r>
      <w:bookmarkEnd w:id="19"/>
      <w:r>
        <w:t xml:space="preserve"> (see section 20 of the EP Act 2019)</w:t>
      </w:r>
    </w:p>
    <w:p w14:paraId="6BFC68C9" w14:textId="77777777" w:rsidR="002D7994" w:rsidRPr="004A4930" w:rsidRDefault="002D7994" w:rsidP="001513E9">
      <w:pPr>
        <w:pStyle w:val="ListParagraph"/>
        <w:numPr>
          <w:ilvl w:val="0"/>
          <w:numId w:val="14"/>
        </w:numPr>
        <w:ind w:hanging="720"/>
      </w:pPr>
      <w:bookmarkStart w:id="20" w:name="_Toc20122045"/>
      <w:bookmarkStart w:id="21" w:name="_Hlk8551430"/>
      <w:r w:rsidRPr="004A4930">
        <w:t>Principle of intergenerational and intragenerational equity</w:t>
      </w:r>
      <w:bookmarkEnd w:id="20"/>
      <w:r>
        <w:t xml:space="preserve"> (see section 21 of the EP Act 2019)</w:t>
      </w:r>
    </w:p>
    <w:p w14:paraId="4D4CDE9B" w14:textId="77777777" w:rsidR="002D7994" w:rsidRPr="004A4930" w:rsidRDefault="002D7994" w:rsidP="001513E9">
      <w:pPr>
        <w:pStyle w:val="ListParagraph"/>
        <w:numPr>
          <w:ilvl w:val="0"/>
          <w:numId w:val="14"/>
        </w:numPr>
        <w:ind w:hanging="720"/>
      </w:pPr>
      <w:bookmarkStart w:id="22" w:name="_Toc20122046"/>
      <w:bookmarkEnd w:id="21"/>
      <w:r w:rsidRPr="004A4930">
        <w:t>Principle of sustainable use</w:t>
      </w:r>
      <w:bookmarkEnd w:id="22"/>
      <w:r>
        <w:t xml:space="preserve"> (see section 22 of the EP Act 2019)</w:t>
      </w:r>
    </w:p>
    <w:p w14:paraId="1904B641" w14:textId="77777777" w:rsidR="002D7994" w:rsidRPr="004A4930" w:rsidRDefault="002D7994" w:rsidP="001513E9">
      <w:pPr>
        <w:pStyle w:val="ListParagraph"/>
        <w:numPr>
          <w:ilvl w:val="0"/>
          <w:numId w:val="14"/>
        </w:numPr>
        <w:ind w:hanging="720"/>
      </w:pPr>
      <w:bookmarkStart w:id="23" w:name="_Toc20122047"/>
      <w:r w:rsidRPr="004A4930">
        <w:t xml:space="preserve">Principle </w:t>
      </w:r>
      <w:r w:rsidRPr="004A4930">
        <w:rPr>
          <w:lang w:eastAsia="en-AU"/>
        </w:rPr>
        <w:t>of</w:t>
      </w:r>
      <w:r w:rsidRPr="004A4930">
        <w:t xml:space="preserve"> conservation of biological diversity and ecological integrity</w:t>
      </w:r>
      <w:bookmarkEnd w:id="23"/>
      <w:r>
        <w:t xml:space="preserve"> (see section 23 of the EP Act 2019)</w:t>
      </w:r>
    </w:p>
    <w:p w14:paraId="64D09C33" w14:textId="77777777" w:rsidR="002D7994" w:rsidRPr="004A4930" w:rsidRDefault="002D7994" w:rsidP="001513E9">
      <w:pPr>
        <w:pStyle w:val="ListParagraph"/>
        <w:numPr>
          <w:ilvl w:val="0"/>
          <w:numId w:val="14"/>
        </w:numPr>
        <w:ind w:hanging="720"/>
      </w:pPr>
      <w:bookmarkStart w:id="24" w:name="_Toc20122048"/>
      <w:r w:rsidRPr="004A4930">
        <w:t xml:space="preserve">Principle </w:t>
      </w:r>
      <w:r w:rsidRPr="004A4930">
        <w:rPr>
          <w:lang w:eastAsia="en-AU"/>
        </w:rPr>
        <w:t>of</w:t>
      </w:r>
      <w:r w:rsidRPr="004A4930">
        <w:t xml:space="preserve"> improved valuation, pricing and incentive mechanisms</w:t>
      </w:r>
      <w:bookmarkEnd w:id="24"/>
      <w:r>
        <w:t xml:space="preserve"> (see section 24 of the EP Act 2019)</w:t>
      </w:r>
    </w:p>
    <w:p w14:paraId="32054065" w14:textId="3C38C0A0" w:rsidR="003044BE" w:rsidRDefault="0061345E" w:rsidP="001513E9">
      <w:pPr>
        <w:rPr>
          <w:lang w:eastAsia="en-AU"/>
        </w:rPr>
      </w:pPr>
      <w:r>
        <w:t>An interest holder must clearly demonstrate</w:t>
      </w:r>
      <w:r w:rsidR="005561D6">
        <w:t xml:space="preserve"> </w:t>
      </w:r>
      <w:r>
        <w:t>how</w:t>
      </w:r>
      <w:r w:rsidR="005561D6">
        <w:t xml:space="preserve"> </w:t>
      </w:r>
      <w:r>
        <w:t xml:space="preserve">the </w:t>
      </w:r>
      <w:r w:rsidR="005561D6">
        <w:t xml:space="preserve">activities </w:t>
      </w:r>
      <w:r>
        <w:t>specified in the application will be</w:t>
      </w:r>
      <w:r w:rsidR="005561D6">
        <w:t xml:space="preserve"> </w:t>
      </w:r>
      <w:r w:rsidR="006E26E3">
        <w:t xml:space="preserve">carried </w:t>
      </w:r>
      <w:r w:rsidR="005561D6">
        <w:t>out in a manner consi</w:t>
      </w:r>
      <w:r>
        <w:t>stent with the principles of ecologi</w:t>
      </w:r>
      <w:r w:rsidR="0097409B">
        <w:t>cally sustainable development.</w:t>
      </w:r>
    </w:p>
    <w:p w14:paraId="0E8443CD" w14:textId="77777777" w:rsidR="00240983" w:rsidRDefault="00240983" w:rsidP="001513E9">
      <w:pPr>
        <w:pStyle w:val="Heading2"/>
        <w:rPr>
          <w:lang w:eastAsia="en-AU"/>
        </w:rPr>
      </w:pPr>
      <w:bookmarkStart w:id="25" w:name="_Toc190869129"/>
      <w:r>
        <w:rPr>
          <w:lang w:eastAsia="en-AU"/>
        </w:rPr>
        <w:t>Potential conditions</w:t>
      </w:r>
      <w:bookmarkEnd w:id="25"/>
      <w:r>
        <w:rPr>
          <w:lang w:eastAsia="en-AU"/>
        </w:rPr>
        <w:t xml:space="preserve"> </w:t>
      </w:r>
    </w:p>
    <w:p w14:paraId="603B3FE5" w14:textId="5134E263" w:rsidR="005B56A7" w:rsidRDefault="00240983" w:rsidP="001513E9">
      <w:pPr>
        <w:rPr>
          <w:lang w:eastAsia="en-AU"/>
        </w:rPr>
      </w:pPr>
      <w:r>
        <w:rPr>
          <w:lang w:eastAsia="en-AU"/>
        </w:rPr>
        <w:t>The Minister is entitled to approve an application to recover petroleum on an appraisal basis subject to condi</w:t>
      </w:r>
      <w:r w:rsidR="0097409B">
        <w:rPr>
          <w:lang w:eastAsia="en-AU"/>
        </w:rPr>
        <w:t xml:space="preserve">tions imposed by the Minister. </w:t>
      </w:r>
      <w:r>
        <w:rPr>
          <w:lang w:eastAsia="en-AU"/>
        </w:rPr>
        <w:t>The Minister will consider each application on a case-by-case basis including what conditions are appropriate in indivi</w:t>
      </w:r>
      <w:r w:rsidR="0097409B">
        <w:rPr>
          <w:lang w:eastAsia="en-AU"/>
        </w:rPr>
        <w:t>dual circumstances.</w:t>
      </w:r>
    </w:p>
    <w:p w14:paraId="0329D28A" w14:textId="3668741D" w:rsidR="00240983" w:rsidRPr="00F90E94" w:rsidRDefault="00240983" w:rsidP="001513E9">
      <w:pPr>
        <w:rPr>
          <w:lang w:eastAsia="en-AU"/>
        </w:rPr>
      </w:pPr>
      <w:r w:rsidRPr="00F90E94">
        <w:rPr>
          <w:lang w:eastAsia="en-AU"/>
        </w:rPr>
        <w:t>Some matters which the Minister may consider imposing a condition in relation to are as follows:</w:t>
      </w:r>
    </w:p>
    <w:p w14:paraId="6585DABD" w14:textId="77777777" w:rsidR="00FC123C" w:rsidRPr="00F90E94" w:rsidRDefault="00240983" w:rsidP="001513E9">
      <w:pPr>
        <w:pStyle w:val="ListParagraph"/>
        <w:numPr>
          <w:ilvl w:val="0"/>
          <w:numId w:val="11"/>
        </w:numPr>
        <w:ind w:hanging="720"/>
        <w:rPr>
          <w:lang w:eastAsia="en-AU"/>
        </w:rPr>
      </w:pPr>
      <w:r w:rsidRPr="00F90E94">
        <w:rPr>
          <w:lang w:eastAsia="en-AU"/>
        </w:rPr>
        <w:t>Obligations for the interest holder to report to the Minister</w:t>
      </w:r>
      <w:r w:rsidR="00FC123C" w:rsidRPr="00F90E94">
        <w:rPr>
          <w:lang w:eastAsia="en-AU"/>
        </w:rPr>
        <w:t>:</w:t>
      </w:r>
    </w:p>
    <w:p w14:paraId="3BE41CD0" w14:textId="04EAA68A" w:rsidR="00240983" w:rsidRPr="00F90E94" w:rsidRDefault="00FC123C" w:rsidP="001513E9">
      <w:pPr>
        <w:pStyle w:val="ListParagraph"/>
        <w:numPr>
          <w:ilvl w:val="0"/>
          <w:numId w:val="32"/>
        </w:numPr>
        <w:ind w:left="1276" w:hanging="556"/>
        <w:rPr>
          <w:lang w:eastAsia="en-AU"/>
        </w:rPr>
      </w:pPr>
      <w:r w:rsidRPr="00F90E94">
        <w:rPr>
          <w:lang w:eastAsia="en-AU"/>
        </w:rPr>
        <w:t xml:space="preserve">on a monthly basis, </w:t>
      </w:r>
      <w:r w:rsidR="00240983" w:rsidRPr="00F90E94">
        <w:rPr>
          <w:lang w:eastAsia="en-AU"/>
        </w:rPr>
        <w:t>any petroleum that is flared or vented</w:t>
      </w:r>
      <w:r w:rsidRPr="00F90E94">
        <w:rPr>
          <w:lang w:eastAsia="en-AU"/>
        </w:rPr>
        <w:t>;</w:t>
      </w:r>
    </w:p>
    <w:p w14:paraId="3903BAA0" w14:textId="520BA143" w:rsidR="00FC123C" w:rsidRDefault="00FC123C" w:rsidP="001513E9">
      <w:pPr>
        <w:pStyle w:val="ListParagraph"/>
        <w:numPr>
          <w:ilvl w:val="0"/>
          <w:numId w:val="32"/>
        </w:numPr>
        <w:ind w:left="1276" w:hanging="567"/>
        <w:rPr>
          <w:lang w:eastAsia="en-AU"/>
        </w:rPr>
      </w:pPr>
      <w:r w:rsidRPr="00F90E94">
        <w:rPr>
          <w:lang w:eastAsia="en-AU"/>
        </w:rPr>
        <w:t>on a monthly basis, updated analysis of whether the objective for the extended w</w:t>
      </w:r>
      <w:r w:rsidR="00F9164D">
        <w:rPr>
          <w:lang w:eastAsia="en-AU"/>
        </w:rPr>
        <w:t>ell testing has been achieved;</w:t>
      </w:r>
    </w:p>
    <w:p w14:paraId="233666F3" w14:textId="0E7D145C" w:rsidR="00F9164D" w:rsidRPr="0057102C" w:rsidRDefault="00F9164D" w:rsidP="001513E9">
      <w:pPr>
        <w:pStyle w:val="ListParagraph"/>
        <w:numPr>
          <w:ilvl w:val="0"/>
          <w:numId w:val="32"/>
        </w:numPr>
        <w:ind w:left="1276" w:hanging="567"/>
        <w:rPr>
          <w:lang w:eastAsia="en-AU"/>
        </w:rPr>
      </w:pPr>
      <w:r w:rsidRPr="0057102C">
        <w:rPr>
          <w:lang w:eastAsia="en-AU"/>
        </w:rPr>
        <w:t>within 20 business days, if the interest holder stops carrying out extended well testing for a continuous period of 14 days or more.</w:t>
      </w:r>
    </w:p>
    <w:p w14:paraId="39323A3E" w14:textId="385D5089" w:rsidR="00240983" w:rsidRPr="00F90E94" w:rsidRDefault="00240983" w:rsidP="001513E9">
      <w:pPr>
        <w:pStyle w:val="ListParagraph"/>
        <w:numPr>
          <w:ilvl w:val="0"/>
          <w:numId w:val="11"/>
        </w:numPr>
        <w:ind w:hanging="720"/>
        <w:rPr>
          <w:lang w:eastAsia="en-AU"/>
        </w:rPr>
      </w:pPr>
      <w:r w:rsidRPr="00F90E94">
        <w:rPr>
          <w:lang w:eastAsia="en-AU"/>
        </w:rPr>
        <w:t xml:space="preserve">A requirement for the interest holder </w:t>
      </w:r>
      <w:r w:rsidR="00FC123C" w:rsidRPr="00F90E94">
        <w:rPr>
          <w:lang w:eastAsia="en-AU"/>
        </w:rPr>
        <w:t xml:space="preserve">to make reports under the </w:t>
      </w:r>
      <w:hyperlink r:id="rId20" w:history="1">
        <w:r w:rsidR="00FC123C" w:rsidRPr="00F90E94">
          <w:rPr>
            <w:rStyle w:val="Hyperlink"/>
            <w:lang w:eastAsia="en-AU"/>
          </w:rPr>
          <w:t>Local Benefit Report Guide</w:t>
        </w:r>
      </w:hyperlink>
      <w:r w:rsidR="001F0C00">
        <w:rPr>
          <w:rStyle w:val="Hyperlink"/>
          <w:lang w:eastAsia="en-AU"/>
        </w:rPr>
        <w:t>.</w:t>
      </w:r>
    </w:p>
    <w:p w14:paraId="789CBF51" w14:textId="71A0F9A8" w:rsidR="001F0C00" w:rsidRDefault="007C23B8" w:rsidP="001513E9">
      <w:pPr>
        <w:rPr>
          <w:lang w:eastAsia="en-AU"/>
        </w:rPr>
      </w:pPr>
      <w:r>
        <w:rPr>
          <w:lang w:eastAsia="en-AU"/>
        </w:rPr>
        <w:t>The period for which the approval is granted is a mandatory condition.</w:t>
      </w:r>
      <w:r>
        <w:rPr>
          <w:rStyle w:val="FootnoteReference"/>
          <w:lang w:eastAsia="en-AU"/>
        </w:rPr>
        <w:footnoteReference w:id="18"/>
      </w:r>
      <w:r w:rsidR="00866929">
        <w:rPr>
          <w:lang w:eastAsia="en-AU"/>
        </w:rPr>
        <w:t xml:space="preserve"> </w:t>
      </w:r>
      <w:r>
        <w:rPr>
          <w:lang w:eastAsia="en-AU"/>
        </w:rPr>
        <w:t xml:space="preserve">The approval to recover petroleum on </w:t>
      </w:r>
      <w:r w:rsidR="00FC123C">
        <w:rPr>
          <w:lang w:eastAsia="en-AU"/>
        </w:rPr>
        <w:t xml:space="preserve">an appraisal basis is not quasi or </w:t>
      </w:r>
      <w:r>
        <w:rPr>
          <w:lang w:eastAsia="en-AU"/>
        </w:rPr>
        <w:t xml:space="preserve">de-facto production </w:t>
      </w:r>
      <w:r w:rsidR="00FC123C">
        <w:rPr>
          <w:lang w:eastAsia="en-AU"/>
        </w:rPr>
        <w:t>and t</w:t>
      </w:r>
      <w:r>
        <w:rPr>
          <w:lang w:eastAsia="en-AU"/>
        </w:rPr>
        <w:t>he period approved cannot be longer then the term of the petroleum interest f</w:t>
      </w:r>
      <w:r w:rsidR="0097409B">
        <w:rPr>
          <w:lang w:eastAsia="en-AU"/>
        </w:rPr>
        <w:t>or which it is approved under.</w:t>
      </w:r>
    </w:p>
    <w:p w14:paraId="35918F98" w14:textId="06C970FE" w:rsidR="00C004AF" w:rsidRDefault="005F5899" w:rsidP="001513E9">
      <w:pPr>
        <w:pStyle w:val="Heading2"/>
        <w:rPr>
          <w:lang w:eastAsia="en-AU"/>
        </w:rPr>
      </w:pPr>
      <w:bookmarkStart w:id="26" w:name="_Toc190869130"/>
      <w:r>
        <w:rPr>
          <w:lang w:eastAsia="en-AU"/>
        </w:rPr>
        <w:lastRenderedPageBreak/>
        <w:t>D</w:t>
      </w:r>
      <w:r w:rsidR="00C004AF">
        <w:rPr>
          <w:lang w:eastAsia="en-AU"/>
        </w:rPr>
        <w:t>ecision-making</w:t>
      </w:r>
      <w:bookmarkEnd w:id="26"/>
    </w:p>
    <w:p w14:paraId="51B99B8A" w14:textId="7F61D533" w:rsidR="00E96A38" w:rsidRPr="00210D12" w:rsidRDefault="003177BC" w:rsidP="001513E9">
      <w:pPr>
        <w:rPr>
          <w:lang w:eastAsia="en-AU"/>
        </w:rPr>
      </w:pPr>
      <w:r w:rsidRPr="00210D12">
        <w:rPr>
          <w:lang w:eastAsia="en-AU"/>
        </w:rPr>
        <w:t>The Minister will endeavour to det</w:t>
      </w:r>
      <w:r w:rsidR="00210D12" w:rsidRPr="00210D12">
        <w:rPr>
          <w:lang w:eastAsia="en-AU"/>
        </w:rPr>
        <w:t xml:space="preserve">ermine an application within </w:t>
      </w:r>
      <w:r w:rsidR="00A93B0D">
        <w:rPr>
          <w:lang w:eastAsia="en-AU"/>
        </w:rPr>
        <w:t>45</w:t>
      </w:r>
      <w:r w:rsidR="00A93B0D" w:rsidRPr="00210D12">
        <w:rPr>
          <w:lang w:eastAsia="en-AU"/>
        </w:rPr>
        <w:t> </w:t>
      </w:r>
      <w:r w:rsidRPr="00210D12">
        <w:rPr>
          <w:lang w:eastAsia="en-AU"/>
        </w:rPr>
        <w:t>days however this is dependent on a range of matters including whether the Minister</w:t>
      </w:r>
      <w:r w:rsidR="0097409B">
        <w:rPr>
          <w:lang w:eastAsia="en-AU"/>
        </w:rPr>
        <w:t xml:space="preserve"> requires further information.</w:t>
      </w:r>
    </w:p>
    <w:p w14:paraId="394D2C4F" w14:textId="6B4A4DF4" w:rsidR="0049351F" w:rsidRDefault="00B61E4F" w:rsidP="001513E9">
      <w:pPr>
        <w:rPr>
          <w:lang w:eastAsia="en-AU"/>
        </w:rPr>
      </w:pPr>
      <w:r>
        <w:rPr>
          <w:lang w:eastAsia="en-AU"/>
        </w:rPr>
        <w:t>After making a decision, t</w:t>
      </w:r>
      <w:r w:rsidR="0049351F" w:rsidRPr="00210D12">
        <w:rPr>
          <w:lang w:eastAsia="en-AU"/>
        </w:rPr>
        <w:t>he Minister</w:t>
      </w:r>
      <w:r>
        <w:rPr>
          <w:lang w:eastAsia="en-AU"/>
        </w:rPr>
        <w:t xml:space="preserve"> will issue reasons for the decision to the interest holder</w:t>
      </w:r>
      <w:r w:rsidR="0049351F" w:rsidRPr="00210D12">
        <w:rPr>
          <w:lang w:eastAsia="en-AU"/>
        </w:rPr>
        <w:t xml:space="preserve">, </w:t>
      </w:r>
      <w:r>
        <w:rPr>
          <w:lang w:eastAsia="en-AU"/>
        </w:rPr>
        <w:t>whether</w:t>
      </w:r>
      <w:r w:rsidR="0049351F" w:rsidRPr="00210D12">
        <w:rPr>
          <w:lang w:eastAsia="en-AU"/>
        </w:rPr>
        <w:t xml:space="preserve"> granting the approval (with or without conditions) or refusing the interest holder’s application to recover petr</w:t>
      </w:r>
      <w:r w:rsidR="00D62503">
        <w:rPr>
          <w:lang w:eastAsia="en-AU"/>
        </w:rPr>
        <w:t>oleum on an appraisal basis</w:t>
      </w:r>
      <w:r>
        <w:rPr>
          <w:lang w:eastAsia="en-AU"/>
        </w:rPr>
        <w:t>.</w:t>
      </w:r>
    </w:p>
    <w:p w14:paraId="0BECF10B" w14:textId="77777777" w:rsidR="00111D55" w:rsidRDefault="00111D55" w:rsidP="001513E9">
      <w:pPr>
        <w:pStyle w:val="Heading2"/>
        <w:rPr>
          <w:lang w:eastAsia="en-AU"/>
        </w:rPr>
      </w:pPr>
      <w:bookmarkStart w:id="27" w:name="_Toc190869131"/>
      <w:r>
        <w:rPr>
          <w:lang w:eastAsia="en-AU"/>
        </w:rPr>
        <w:t>Non-compliance with conditions of approval</w:t>
      </w:r>
      <w:bookmarkEnd w:id="27"/>
    </w:p>
    <w:p w14:paraId="1BE7E8DF" w14:textId="77777777" w:rsidR="00111D55" w:rsidRDefault="00111D55" w:rsidP="001513E9">
      <w:pPr>
        <w:rPr>
          <w:lang w:eastAsia="en-AU"/>
        </w:rPr>
      </w:pPr>
      <w:r>
        <w:rPr>
          <w:lang w:eastAsia="en-AU"/>
        </w:rPr>
        <w:t>In the event of non-compliance with a condition of approval to recovery petroleum on an appraisal basis:</w:t>
      </w:r>
    </w:p>
    <w:p w14:paraId="2ADD7D7E" w14:textId="77777777" w:rsidR="00111D55" w:rsidRDefault="00111D55" w:rsidP="001513E9">
      <w:pPr>
        <w:pStyle w:val="ListParagraph"/>
        <w:numPr>
          <w:ilvl w:val="0"/>
          <w:numId w:val="44"/>
        </w:numPr>
        <w:ind w:hanging="720"/>
        <w:rPr>
          <w:lang w:eastAsia="en-AU"/>
        </w:rPr>
      </w:pPr>
      <w:r>
        <w:rPr>
          <w:lang w:eastAsia="en-AU"/>
        </w:rPr>
        <w:t>the CEO may issue a compliance direction to an interest holder (see 89N of the Act); and</w:t>
      </w:r>
    </w:p>
    <w:p w14:paraId="0E241362" w14:textId="204BDB0B" w:rsidR="00111D55" w:rsidRDefault="00111D55" w:rsidP="001513E9">
      <w:pPr>
        <w:pStyle w:val="ListParagraph"/>
        <w:numPr>
          <w:ilvl w:val="0"/>
          <w:numId w:val="44"/>
        </w:numPr>
        <w:ind w:hanging="720"/>
        <w:rPr>
          <w:lang w:eastAsia="en-AU"/>
        </w:rPr>
      </w:pPr>
      <w:r>
        <w:rPr>
          <w:lang w:eastAsia="en-AU"/>
        </w:rPr>
        <w:t>the Minister has a range of powers, subject to requirements to give notice, including to cancel an approval (see</w:t>
      </w:r>
      <w:r w:rsidR="0097409B">
        <w:rPr>
          <w:lang w:eastAsia="en-AU"/>
        </w:rPr>
        <w:t xml:space="preserve"> section 57AAA(11) of the Act).</w:t>
      </w:r>
    </w:p>
    <w:p w14:paraId="3BD2A28A" w14:textId="77777777" w:rsidR="008F6A17" w:rsidRDefault="005F5899" w:rsidP="001513E9">
      <w:pPr>
        <w:pStyle w:val="Heading1"/>
        <w:rPr>
          <w:lang w:eastAsia="en-AU"/>
        </w:rPr>
      </w:pPr>
      <w:bookmarkStart w:id="28" w:name="_Toc190869132"/>
      <w:r>
        <w:rPr>
          <w:lang w:eastAsia="en-AU"/>
        </w:rPr>
        <w:t>O</w:t>
      </w:r>
      <w:r w:rsidR="008F6A17">
        <w:rPr>
          <w:lang w:eastAsia="en-AU"/>
        </w:rPr>
        <w:t>ther ap</w:t>
      </w:r>
      <w:r w:rsidR="001F0C00">
        <w:rPr>
          <w:lang w:eastAsia="en-AU"/>
        </w:rPr>
        <w:t>p</w:t>
      </w:r>
      <w:r w:rsidR="008F6A17">
        <w:rPr>
          <w:lang w:eastAsia="en-AU"/>
        </w:rPr>
        <w:t>rovals</w:t>
      </w:r>
      <w:r w:rsidR="003F2A9A">
        <w:rPr>
          <w:lang w:eastAsia="en-AU"/>
        </w:rPr>
        <w:t xml:space="preserve"> </w:t>
      </w:r>
      <w:r>
        <w:rPr>
          <w:lang w:eastAsia="en-AU"/>
        </w:rPr>
        <w:t xml:space="preserve">and obligations </w:t>
      </w:r>
      <w:r w:rsidR="003F2A9A">
        <w:rPr>
          <w:lang w:eastAsia="en-AU"/>
        </w:rPr>
        <w:t xml:space="preserve">under the </w:t>
      </w:r>
      <w:r>
        <w:rPr>
          <w:lang w:eastAsia="en-AU"/>
        </w:rPr>
        <w:t>Act</w:t>
      </w:r>
      <w:bookmarkEnd w:id="28"/>
    </w:p>
    <w:p w14:paraId="0643EC1B" w14:textId="6296B0C0" w:rsidR="005F5899" w:rsidRDefault="005F5899" w:rsidP="001513E9">
      <w:pPr>
        <w:pStyle w:val="Heading2"/>
        <w:rPr>
          <w:lang w:eastAsia="en-AU"/>
        </w:rPr>
      </w:pPr>
      <w:bookmarkStart w:id="29" w:name="_Toc190869133"/>
      <w:r>
        <w:rPr>
          <w:lang w:eastAsia="en-AU"/>
        </w:rPr>
        <w:t xml:space="preserve">Interaction with other approvals under the </w:t>
      </w:r>
      <w:r>
        <w:rPr>
          <w:i/>
          <w:lang w:eastAsia="en-AU"/>
        </w:rPr>
        <w:t>Petroleum Act 1984</w:t>
      </w:r>
      <w:bookmarkEnd w:id="29"/>
    </w:p>
    <w:p w14:paraId="3D328F7C" w14:textId="69CAEC1A" w:rsidR="00226C6F" w:rsidRDefault="003F2A9A" w:rsidP="001513E9">
      <w:pPr>
        <w:rPr>
          <w:lang w:eastAsia="en-AU"/>
        </w:rPr>
      </w:pPr>
      <w:r>
        <w:rPr>
          <w:lang w:eastAsia="en-AU"/>
        </w:rPr>
        <w:t>The approval to recover petroleum on an appraisal basis is not a stand-alone approval</w:t>
      </w:r>
      <w:r w:rsidR="00226C6F">
        <w:rPr>
          <w:lang w:eastAsia="en-AU"/>
        </w:rPr>
        <w:t xml:space="preserve"> but part of the suite of approvals that ensure that the onshore petroleum indus</w:t>
      </w:r>
      <w:r w:rsidR="0097409B">
        <w:rPr>
          <w:lang w:eastAsia="en-AU"/>
        </w:rPr>
        <w:t>try is appropriately regulated.</w:t>
      </w:r>
    </w:p>
    <w:p w14:paraId="1AB25A55" w14:textId="01AAE861" w:rsidR="003F2A9A" w:rsidRDefault="00226C6F" w:rsidP="001513E9">
      <w:pPr>
        <w:rPr>
          <w:lang w:eastAsia="en-AU"/>
        </w:rPr>
      </w:pPr>
      <w:r>
        <w:rPr>
          <w:lang w:eastAsia="en-AU"/>
        </w:rPr>
        <w:t xml:space="preserve">An approval to recover petroleum on an appraisal basis </w:t>
      </w:r>
      <w:r w:rsidR="003F2A9A">
        <w:rPr>
          <w:lang w:eastAsia="en-AU"/>
        </w:rPr>
        <w:t>is int</w:t>
      </w:r>
      <w:r>
        <w:rPr>
          <w:lang w:eastAsia="en-AU"/>
        </w:rPr>
        <w:t>ended under the Act to intersect</w:t>
      </w:r>
      <w:r w:rsidR="003F2A9A">
        <w:rPr>
          <w:lang w:eastAsia="en-AU"/>
        </w:rPr>
        <w:t xml:space="preserve"> with other </w:t>
      </w:r>
      <w:r w:rsidR="003854F6">
        <w:rPr>
          <w:lang w:eastAsia="en-AU"/>
        </w:rPr>
        <w:t xml:space="preserve">key </w:t>
      </w:r>
      <w:r w:rsidR="003F2A9A">
        <w:rPr>
          <w:lang w:eastAsia="en-AU"/>
        </w:rPr>
        <w:t>approvals necessary to undertake activities on a petroleum interest including:</w:t>
      </w:r>
    </w:p>
    <w:p w14:paraId="47403A2F" w14:textId="4D752F25" w:rsidR="003F2A9A" w:rsidRDefault="00226C6F" w:rsidP="001513E9">
      <w:pPr>
        <w:pStyle w:val="ListParagraph"/>
        <w:numPr>
          <w:ilvl w:val="0"/>
          <w:numId w:val="17"/>
        </w:numPr>
        <w:ind w:hanging="720"/>
        <w:rPr>
          <w:lang w:eastAsia="en-AU"/>
        </w:rPr>
      </w:pPr>
      <w:r>
        <w:rPr>
          <w:lang w:eastAsia="en-AU"/>
        </w:rPr>
        <w:t>An</w:t>
      </w:r>
      <w:r w:rsidR="003F2A9A">
        <w:rPr>
          <w:lang w:eastAsia="en-AU"/>
        </w:rPr>
        <w:t xml:space="preserve"> </w:t>
      </w:r>
      <w:r>
        <w:rPr>
          <w:lang w:eastAsia="en-AU"/>
        </w:rPr>
        <w:t xml:space="preserve">approved </w:t>
      </w:r>
      <w:r w:rsidR="003F2A9A">
        <w:rPr>
          <w:lang w:eastAsia="en-AU"/>
        </w:rPr>
        <w:t>well operations management plan (WOMP): which must provide for the recovery of petroleum on an appraisal basis or be revised to provide for the same</w:t>
      </w:r>
      <w:r>
        <w:rPr>
          <w:lang w:eastAsia="en-AU"/>
        </w:rPr>
        <w:t>.</w:t>
      </w:r>
    </w:p>
    <w:p w14:paraId="0604E59C" w14:textId="7071609A" w:rsidR="008F6A17" w:rsidRDefault="00226C6F" w:rsidP="001513E9">
      <w:pPr>
        <w:pStyle w:val="ListParagraph"/>
        <w:numPr>
          <w:ilvl w:val="0"/>
          <w:numId w:val="17"/>
        </w:numPr>
        <w:ind w:hanging="720"/>
        <w:rPr>
          <w:lang w:eastAsia="en-AU"/>
        </w:rPr>
      </w:pPr>
      <w:r>
        <w:rPr>
          <w:lang w:eastAsia="en-AU"/>
        </w:rPr>
        <w:t>An approved</w:t>
      </w:r>
      <w:r w:rsidR="003F2A9A">
        <w:rPr>
          <w:lang w:eastAsia="en-AU"/>
        </w:rPr>
        <w:t xml:space="preserve"> environment management plan</w:t>
      </w:r>
      <w:r>
        <w:rPr>
          <w:lang w:eastAsia="en-AU"/>
        </w:rPr>
        <w:t xml:space="preserve"> (EMP)</w:t>
      </w:r>
      <w:r w:rsidR="003F2A9A">
        <w:rPr>
          <w:lang w:eastAsia="en-AU"/>
        </w:rPr>
        <w:t>: which must provide for the recovery of petroleum on an appraisal basis or be revised to provide for the same</w:t>
      </w:r>
      <w:r w:rsidR="0097409B">
        <w:rPr>
          <w:lang w:eastAsia="en-AU"/>
        </w:rPr>
        <w:t>.</w:t>
      </w:r>
    </w:p>
    <w:p w14:paraId="04E93E8F" w14:textId="1068EFC1" w:rsidR="006F3C0F" w:rsidRDefault="00FC17DE" w:rsidP="001513E9">
      <w:pPr>
        <w:pStyle w:val="ListParagraph"/>
        <w:numPr>
          <w:ilvl w:val="0"/>
          <w:numId w:val="17"/>
        </w:numPr>
        <w:ind w:hanging="720"/>
        <w:rPr>
          <w:lang w:eastAsia="en-AU"/>
        </w:rPr>
      </w:pPr>
      <w:r>
        <w:rPr>
          <w:lang w:eastAsia="en-AU"/>
        </w:rPr>
        <w:t>If relevant - a</w:t>
      </w:r>
      <w:r w:rsidR="00226C6F">
        <w:rPr>
          <w:lang w:eastAsia="en-AU"/>
        </w:rPr>
        <w:t xml:space="preserve">n approved </w:t>
      </w:r>
      <w:r w:rsidR="006F3C0F">
        <w:rPr>
          <w:lang w:eastAsia="en-AU"/>
        </w:rPr>
        <w:t>access agreement: which must provide for the recovery of petroleum on an appraisal basis or be varied (by agreement or</w:t>
      </w:r>
      <w:r w:rsidR="00226C6F">
        <w:rPr>
          <w:lang w:eastAsia="en-AU"/>
        </w:rPr>
        <w:t xml:space="preserve"> otherwise determined</w:t>
      </w:r>
      <w:r w:rsidR="006F3C0F">
        <w:rPr>
          <w:lang w:eastAsia="en-AU"/>
        </w:rPr>
        <w:t xml:space="preserve"> in accordance with the PR 2020) to provide for the same.</w:t>
      </w:r>
      <w:r>
        <w:rPr>
          <w:rStyle w:val="FootnoteReference"/>
          <w:lang w:eastAsia="en-AU"/>
        </w:rPr>
        <w:footnoteReference w:id="19"/>
      </w:r>
    </w:p>
    <w:p w14:paraId="24C28A7E" w14:textId="16B787C5" w:rsidR="00344975" w:rsidRDefault="00344975" w:rsidP="001513E9">
      <w:pPr>
        <w:pStyle w:val="ListParagraph"/>
        <w:numPr>
          <w:ilvl w:val="0"/>
          <w:numId w:val="17"/>
        </w:numPr>
        <w:ind w:hanging="720"/>
        <w:rPr>
          <w:lang w:eastAsia="en-AU"/>
        </w:rPr>
      </w:pPr>
      <w:r>
        <w:rPr>
          <w:lang w:eastAsia="en-AU"/>
        </w:rPr>
        <w:t xml:space="preserve">If relevant – a water extraction licence under the </w:t>
      </w:r>
      <w:r>
        <w:rPr>
          <w:i/>
          <w:lang w:eastAsia="en-AU"/>
        </w:rPr>
        <w:t>Water Act 1992</w:t>
      </w:r>
      <w:r>
        <w:rPr>
          <w:lang w:eastAsia="en-AU"/>
        </w:rPr>
        <w:t xml:space="preserve"> which permits groundwater to be taken for hydraulic fracturing activities or be </w:t>
      </w:r>
      <w:r w:rsidR="00C434C6">
        <w:rPr>
          <w:lang w:eastAsia="en-AU"/>
        </w:rPr>
        <w:t>amended to provide for the same;</w:t>
      </w:r>
    </w:p>
    <w:p w14:paraId="6FB0F163" w14:textId="2F8A74B4" w:rsidR="00344975" w:rsidRDefault="00344975" w:rsidP="001513E9">
      <w:pPr>
        <w:pStyle w:val="ListParagraph"/>
        <w:numPr>
          <w:ilvl w:val="0"/>
          <w:numId w:val="17"/>
        </w:numPr>
        <w:ind w:hanging="720"/>
        <w:rPr>
          <w:lang w:eastAsia="en-AU"/>
        </w:rPr>
      </w:pPr>
      <w:r>
        <w:rPr>
          <w:lang w:eastAsia="en-AU"/>
        </w:rPr>
        <w:t xml:space="preserve">If relevant – a water bore permit under the </w:t>
      </w:r>
      <w:r>
        <w:rPr>
          <w:i/>
          <w:lang w:eastAsia="en-AU"/>
        </w:rPr>
        <w:t>Water Act 1992</w:t>
      </w:r>
      <w:r>
        <w:rPr>
          <w:lang w:eastAsia="en-AU"/>
        </w:rPr>
        <w:t xml:space="preserve"> which allows a bore to be drilled for petroleum activities </w:t>
      </w:r>
      <w:r w:rsidR="00C434C6">
        <w:rPr>
          <w:lang w:eastAsia="en-AU"/>
        </w:rPr>
        <w:t>or be amended to provide for the same.</w:t>
      </w:r>
    </w:p>
    <w:p w14:paraId="23916FEB" w14:textId="4E8AE1FD" w:rsidR="0097409B" w:rsidRDefault="00226C6F" w:rsidP="001513E9">
      <w:pPr>
        <w:rPr>
          <w:lang w:eastAsia="en-AU"/>
        </w:rPr>
      </w:pPr>
      <w:r>
        <w:rPr>
          <w:lang w:eastAsia="en-AU"/>
        </w:rPr>
        <w:t>If any one of the suite of above approvals does not allow for the recovery of petroleum on an appraisal basis then a</w:t>
      </w:r>
      <w:r w:rsidR="0097409B">
        <w:rPr>
          <w:lang w:eastAsia="en-AU"/>
        </w:rPr>
        <w:t>n interest holder cannot do so.</w:t>
      </w:r>
    </w:p>
    <w:p w14:paraId="31087A3E" w14:textId="636EDABD" w:rsidR="005F5899" w:rsidRDefault="005F5899" w:rsidP="001513E9">
      <w:pPr>
        <w:pStyle w:val="Heading2"/>
        <w:rPr>
          <w:lang w:eastAsia="en-AU"/>
        </w:rPr>
      </w:pPr>
      <w:bookmarkStart w:id="30" w:name="_Toc190869134"/>
      <w:r>
        <w:rPr>
          <w:lang w:eastAsia="en-AU"/>
        </w:rPr>
        <w:lastRenderedPageBreak/>
        <w:t>Approval of a measuring device</w:t>
      </w:r>
      <w:bookmarkEnd w:id="30"/>
    </w:p>
    <w:p w14:paraId="03BFA7C3" w14:textId="3B9FAB56" w:rsidR="00CF06D3" w:rsidRDefault="005F5899" w:rsidP="001513E9">
      <w:r>
        <w:t xml:space="preserve">In accordance with section 58(ga) of the Act, and at the same time as making an application under section 57AAA, the interest holder </w:t>
      </w:r>
      <w:r w:rsidR="00CF06D3">
        <w:t>must</w:t>
      </w:r>
      <w:r>
        <w:t xml:space="preserve"> apply to the CEO </w:t>
      </w:r>
      <w:r w:rsidR="00CF06D3">
        <w:t xml:space="preserve">for approval, in relation to the relevant well, a measuring device </w:t>
      </w:r>
      <w:r w:rsidR="004207B5">
        <w:t>at</w:t>
      </w:r>
      <w:r w:rsidR="00CF06D3">
        <w:t xml:space="preserve"> </w:t>
      </w:r>
      <w:r w:rsidR="004207B5">
        <w:t xml:space="preserve">a specified </w:t>
      </w:r>
      <w:r w:rsidR="00CF06D3">
        <w:t xml:space="preserve">location </w:t>
      </w:r>
      <w:r w:rsidR="004207B5">
        <w:t xml:space="preserve">on the </w:t>
      </w:r>
      <w:r w:rsidR="00585AB3">
        <w:t xml:space="preserve">exploration </w:t>
      </w:r>
      <w:r w:rsidR="004207B5">
        <w:t xml:space="preserve">permit </w:t>
      </w:r>
      <w:r w:rsidR="00585AB3">
        <w:t xml:space="preserve">area </w:t>
      </w:r>
      <w:r w:rsidR="004207B5">
        <w:t xml:space="preserve">or </w:t>
      </w:r>
      <w:r w:rsidR="00585AB3">
        <w:t xml:space="preserve">retention </w:t>
      </w:r>
      <w:r w:rsidR="004207B5">
        <w:t>licence area</w:t>
      </w:r>
      <w:r w:rsidR="00FC77DD">
        <w:t>.</w:t>
      </w:r>
    </w:p>
    <w:p w14:paraId="6780828A" w14:textId="5D1B24E5" w:rsidR="005F5899" w:rsidRPr="00B519A2" w:rsidRDefault="00CF06D3" w:rsidP="001513E9">
      <w:r>
        <w:t xml:space="preserve">These measuring devices </w:t>
      </w:r>
      <w:r w:rsidR="004207B5">
        <w:t>are used to measure the quantity and composition of petroleum and water recovered from the well</w:t>
      </w:r>
      <w:r w:rsidR="00FC77DD">
        <w:t>.</w:t>
      </w:r>
      <w:r w:rsidR="00585AB3">
        <w:t xml:space="preserve"> </w:t>
      </w:r>
      <w:r>
        <w:t xml:space="preserve">In making an application the interest holder must provide </w:t>
      </w:r>
      <w:r w:rsidR="00585AB3">
        <w:t>d</w:t>
      </w:r>
      <w:r w:rsidR="005F5899" w:rsidRPr="00B519A2">
        <w:t xml:space="preserve">etails of the equipment and procedures </w:t>
      </w:r>
      <w:r w:rsidR="00D1557B">
        <w:t xml:space="preserve">proposed to be </w:t>
      </w:r>
      <w:r w:rsidR="005F5899" w:rsidRPr="00B519A2">
        <w:t>used to determine the quantity and composition of petroleum and water</w:t>
      </w:r>
      <w:r w:rsidR="00D1557B">
        <w:t xml:space="preserve"> from the well</w:t>
      </w:r>
      <w:r w:rsidR="005F5899" w:rsidRPr="00B519A2">
        <w:t xml:space="preserve"> including the following:</w:t>
      </w:r>
    </w:p>
    <w:p w14:paraId="481CE7BC" w14:textId="7990B2DE" w:rsidR="005F5899" w:rsidRPr="00B519A2" w:rsidRDefault="005F5899" w:rsidP="001513E9">
      <w:pPr>
        <w:pStyle w:val="ListParagraph"/>
        <w:numPr>
          <w:ilvl w:val="0"/>
          <w:numId w:val="33"/>
        </w:numPr>
        <w:ind w:hanging="720"/>
      </w:pPr>
      <w:r w:rsidRPr="00B519A2">
        <w:t xml:space="preserve">the Australian or international </w:t>
      </w:r>
      <w:r w:rsidRPr="00B519A2">
        <w:rPr>
          <w:lang w:eastAsia="en-AU"/>
        </w:rPr>
        <w:t>standards</w:t>
      </w:r>
      <w:r w:rsidRPr="00B519A2">
        <w:t xml:space="preserve"> that will apply to </w:t>
      </w:r>
      <w:r w:rsidR="00D1557B">
        <w:t xml:space="preserve">the </w:t>
      </w:r>
      <w:r w:rsidRPr="00B519A2">
        <w:t>measuring devices;</w:t>
      </w:r>
    </w:p>
    <w:p w14:paraId="17F2FDF4" w14:textId="5CC30D3C" w:rsidR="005F5899" w:rsidRPr="00B519A2" w:rsidRDefault="005F5899" w:rsidP="001513E9">
      <w:pPr>
        <w:pStyle w:val="ListParagraph"/>
        <w:numPr>
          <w:ilvl w:val="0"/>
          <w:numId w:val="33"/>
        </w:numPr>
        <w:ind w:hanging="720"/>
      </w:pPr>
      <w:r w:rsidRPr="00B519A2">
        <w:t xml:space="preserve">the frequency of validation testing and certification </w:t>
      </w:r>
      <w:r w:rsidR="00D1557B">
        <w:t xml:space="preserve">of </w:t>
      </w:r>
      <w:r w:rsidRPr="00B519A2">
        <w:t xml:space="preserve">records of measuring devices </w:t>
      </w:r>
      <w:r w:rsidR="00D1557B">
        <w:t>(</w:t>
      </w:r>
      <w:r w:rsidRPr="00B519A2">
        <w:t xml:space="preserve">to verify their </w:t>
      </w:r>
      <w:r w:rsidRPr="00B519A2">
        <w:rPr>
          <w:lang w:eastAsia="en-AU"/>
        </w:rPr>
        <w:t>accuracy</w:t>
      </w:r>
      <w:r w:rsidR="00D1557B">
        <w:rPr>
          <w:lang w:eastAsia="en-AU"/>
        </w:rPr>
        <w:t>)</w:t>
      </w:r>
      <w:r w:rsidRPr="00B519A2">
        <w:t>;</w:t>
      </w:r>
      <w:r w:rsidR="00585AB3">
        <w:t xml:space="preserve"> and</w:t>
      </w:r>
    </w:p>
    <w:p w14:paraId="60052745" w14:textId="583FA3F0" w:rsidR="005F5899" w:rsidRPr="00B519A2" w:rsidRDefault="005F5899" w:rsidP="001513E9">
      <w:pPr>
        <w:pStyle w:val="ListParagraph"/>
        <w:numPr>
          <w:ilvl w:val="0"/>
          <w:numId w:val="33"/>
        </w:numPr>
        <w:ind w:hanging="720"/>
      </w:pPr>
      <w:r w:rsidRPr="00B519A2">
        <w:t xml:space="preserve">the </w:t>
      </w:r>
      <w:r w:rsidRPr="00B519A2">
        <w:rPr>
          <w:lang w:eastAsia="en-AU"/>
        </w:rPr>
        <w:t>validation</w:t>
      </w:r>
      <w:r w:rsidRPr="00B519A2">
        <w:t xml:space="preserve"> and certification records for </w:t>
      </w:r>
      <w:r w:rsidR="00D1557B">
        <w:t xml:space="preserve">the </w:t>
      </w:r>
      <w:r w:rsidR="00FC77DD">
        <w:t>measuring devices.</w:t>
      </w:r>
    </w:p>
    <w:p w14:paraId="2ECA71D5" w14:textId="76458586" w:rsidR="005F5899" w:rsidRPr="00D1557B" w:rsidRDefault="00585AB3" w:rsidP="001513E9">
      <w:pPr>
        <w:rPr>
          <w:i/>
          <w:lang w:eastAsia="en-AU"/>
        </w:rPr>
      </w:pPr>
      <w:r>
        <w:rPr>
          <w:lang w:eastAsia="en-AU"/>
        </w:rPr>
        <w:t>These devices are critical in ensuring that the petroleum recovered from a well is accurately measured</w:t>
      </w:r>
      <w:r w:rsidR="00D1557B">
        <w:rPr>
          <w:lang w:eastAsia="en-AU"/>
        </w:rPr>
        <w:t xml:space="preserve">; that monthly production reports are accurate and therefore there is an appropriate check on any returns lodged by an interest holder under the </w:t>
      </w:r>
      <w:r w:rsidR="00FC77DD">
        <w:rPr>
          <w:i/>
          <w:lang w:eastAsia="en-AU"/>
        </w:rPr>
        <w:t>Petroleum Royalty Act 2023.</w:t>
      </w:r>
    </w:p>
    <w:p w14:paraId="51C07B0D" w14:textId="4470A8CC" w:rsidR="00B86832" w:rsidRDefault="00B86832" w:rsidP="001513E9">
      <w:pPr>
        <w:pStyle w:val="Heading2"/>
        <w:rPr>
          <w:lang w:eastAsia="en-AU"/>
        </w:rPr>
      </w:pPr>
      <w:bookmarkStart w:id="31" w:name="_Toc190869135"/>
      <w:r>
        <w:rPr>
          <w:lang w:eastAsia="en-AU"/>
        </w:rPr>
        <w:t xml:space="preserve">Additional obligations under the </w:t>
      </w:r>
      <w:r w:rsidRPr="005F5899">
        <w:rPr>
          <w:i/>
          <w:lang w:eastAsia="en-AU"/>
        </w:rPr>
        <w:t>Petroleum Act 1984</w:t>
      </w:r>
      <w:bookmarkEnd w:id="31"/>
    </w:p>
    <w:p w14:paraId="603D7AE3" w14:textId="491C384D" w:rsidR="00B86832" w:rsidRDefault="00B86832" w:rsidP="001513E9">
      <w:pPr>
        <w:rPr>
          <w:lang w:eastAsia="en-AU"/>
        </w:rPr>
      </w:pPr>
      <w:r>
        <w:rPr>
          <w:lang w:eastAsia="en-AU"/>
        </w:rPr>
        <w:t xml:space="preserve">In addition to the above approvals </w:t>
      </w:r>
      <w:r w:rsidR="00FC17DE">
        <w:rPr>
          <w:lang w:eastAsia="en-AU"/>
        </w:rPr>
        <w:t>the interest holder needs </w:t>
      </w:r>
      <w:r>
        <w:rPr>
          <w:lang w:eastAsia="en-AU"/>
        </w:rPr>
        <w:t>to:</w:t>
      </w:r>
    </w:p>
    <w:p w14:paraId="6A4A27EB" w14:textId="3064004A" w:rsidR="00B86832" w:rsidRDefault="00B86832" w:rsidP="001513E9">
      <w:pPr>
        <w:pStyle w:val="ListParagraph"/>
        <w:numPr>
          <w:ilvl w:val="0"/>
          <w:numId w:val="36"/>
        </w:numPr>
        <w:ind w:hanging="720"/>
        <w:rPr>
          <w:lang w:eastAsia="en-AU"/>
        </w:rPr>
      </w:pPr>
      <w:r>
        <w:rPr>
          <w:lang w:eastAsia="en-AU"/>
        </w:rPr>
        <w:t>Provide monthly production reports in accordance with regulation 66AA</w:t>
      </w:r>
      <w:r w:rsidR="00CB7FEE">
        <w:rPr>
          <w:lang w:eastAsia="en-AU"/>
        </w:rPr>
        <w:t>T</w:t>
      </w:r>
      <w:r>
        <w:rPr>
          <w:lang w:eastAsia="en-AU"/>
        </w:rPr>
        <w:t xml:space="preserve"> and Schedule 4</w:t>
      </w:r>
      <w:r w:rsidR="00CB7FEE">
        <w:rPr>
          <w:lang w:eastAsia="en-AU"/>
        </w:rPr>
        <w:t>K</w:t>
      </w:r>
      <w:r>
        <w:rPr>
          <w:lang w:eastAsia="en-AU"/>
        </w:rPr>
        <w:t xml:space="preserve"> of the PR 2020.</w:t>
      </w:r>
    </w:p>
    <w:p w14:paraId="22FF6218" w14:textId="076BF320" w:rsidR="00B86832" w:rsidRDefault="00B86832" w:rsidP="001513E9">
      <w:pPr>
        <w:pStyle w:val="ListParagraph"/>
        <w:numPr>
          <w:ilvl w:val="0"/>
          <w:numId w:val="36"/>
        </w:numPr>
        <w:ind w:hanging="720"/>
        <w:rPr>
          <w:lang w:eastAsia="en-AU"/>
        </w:rPr>
      </w:pPr>
      <w:r>
        <w:rPr>
          <w:lang w:eastAsia="en-AU"/>
        </w:rPr>
        <w:t>Provide activity notifications in accordance with regulation 66AA</w:t>
      </w:r>
      <w:r w:rsidR="00CB7FEE">
        <w:rPr>
          <w:lang w:eastAsia="en-AU"/>
        </w:rPr>
        <w:t>J</w:t>
      </w:r>
      <w:r w:rsidR="004062E7">
        <w:rPr>
          <w:lang w:eastAsia="en-AU"/>
        </w:rPr>
        <w:t xml:space="preserve"> and associated reports under the PR 2020.</w:t>
      </w:r>
    </w:p>
    <w:p w14:paraId="7D69A42C" w14:textId="4B173930" w:rsidR="00437738" w:rsidRDefault="00437738" w:rsidP="001513E9">
      <w:pPr>
        <w:pStyle w:val="ListParagraph"/>
        <w:numPr>
          <w:ilvl w:val="0"/>
          <w:numId w:val="36"/>
        </w:numPr>
        <w:ind w:hanging="720"/>
      </w:pPr>
      <w:r>
        <w:rPr>
          <w:lang w:eastAsia="en-AU"/>
        </w:rPr>
        <w:t xml:space="preserve">In an annual report for the petroleum interest provide information on </w:t>
      </w:r>
      <w:r>
        <w:t>the recovery of petroleum on an appraisal basis undertaken on the title area during the reporting period, including an assessment of the interest holder’s compliance with an approval.</w:t>
      </w:r>
    </w:p>
    <w:p w14:paraId="6B4215C6" w14:textId="488D7F60" w:rsidR="00A40E46" w:rsidRDefault="00B86832" w:rsidP="001513E9">
      <w:pPr>
        <w:rPr>
          <w:lang w:eastAsia="en-AU"/>
        </w:rPr>
      </w:pPr>
      <w:r>
        <w:rPr>
          <w:lang w:eastAsia="en-AU"/>
        </w:rPr>
        <w:t>Finally, the recovery of petroleum on an appraisal basis is not de-</w:t>
      </w:r>
      <w:r w:rsidR="00A40E46">
        <w:rPr>
          <w:lang w:eastAsia="en-AU"/>
        </w:rPr>
        <w:t xml:space="preserve">facto production; rather it provides an opportunity to </w:t>
      </w:r>
      <w:r w:rsidR="00A40E46">
        <w:t>reduce the unnecessary waste of a natural resource (and avoidable scope 1 greenhouse gas emissions) where extended well testing is required to determine the extent of the resource</w:t>
      </w:r>
      <w:r w:rsidR="00FC77DD">
        <w:rPr>
          <w:lang w:eastAsia="en-AU"/>
        </w:rPr>
        <w:t>.</w:t>
      </w:r>
    </w:p>
    <w:p w14:paraId="3ADAD09E" w14:textId="11C8A698" w:rsidR="005A2DD6" w:rsidRDefault="00B86832" w:rsidP="001513E9">
      <w:pPr>
        <w:rPr>
          <w:lang w:eastAsia="en-AU"/>
        </w:rPr>
      </w:pPr>
      <w:r>
        <w:rPr>
          <w:lang w:eastAsia="en-AU"/>
        </w:rPr>
        <w:t xml:space="preserve">In the event that the Minister is satisfied that the commercial production of petroleum should commence in the exploration permit area or the retention licence area </w:t>
      </w:r>
      <w:r w:rsidR="00A40E46">
        <w:rPr>
          <w:lang w:eastAsia="en-AU"/>
        </w:rPr>
        <w:t xml:space="preserve">then </w:t>
      </w:r>
      <w:r>
        <w:rPr>
          <w:lang w:eastAsia="en-AU"/>
        </w:rPr>
        <w:t>the Minister retains the ability to issues a notice under the Act requiring the interest holder to show cause as to why they should not a</w:t>
      </w:r>
      <w:r w:rsidR="007A660B">
        <w:rPr>
          <w:lang w:eastAsia="en-AU"/>
        </w:rPr>
        <w:t>pply</w:t>
      </w:r>
      <w:r w:rsidR="0097409B">
        <w:rPr>
          <w:lang w:eastAsia="en-AU"/>
        </w:rPr>
        <w:t xml:space="preserve"> for a production licence.</w:t>
      </w:r>
      <w:r>
        <w:rPr>
          <w:lang w:eastAsia="en-AU"/>
        </w:rPr>
        <w:t xml:space="preserve"> </w:t>
      </w:r>
      <w:r w:rsidR="00A40E46">
        <w:rPr>
          <w:lang w:eastAsia="en-AU"/>
        </w:rPr>
        <w:t xml:space="preserve">If </w:t>
      </w:r>
      <w:r>
        <w:rPr>
          <w:lang w:eastAsia="en-AU"/>
        </w:rPr>
        <w:t>the Minister is not satisfied with the response of the interest holder the Minister may direct the interest holder to apply for a production licence (see section 30 and 43 of the Act).</w:t>
      </w:r>
      <w:r w:rsidR="00186FF4">
        <w:rPr>
          <w:rStyle w:val="FootnoteReference"/>
          <w:lang w:eastAsia="en-AU"/>
        </w:rPr>
        <w:footnoteReference w:customMarkFollows="1" w:id="20"/>
        <w:t>19</w:t>
      </w:r>
    </w:p>
    <w:p w14:paraId="41228E3C" w14:textId="72BF5F86" w:rsidR="0097409B" w:rsidRDefault="0097409B" w:rsidP="001513E9">
      <w:pPr>
        <w:rPr>
          <w:lang w:eastAsia="en-AU"/>
        </w:rPr>
      </w:pPr>
      <w:r>
        <w:rPr>
          <w:lang w:eastAsia="en-AU"/>
        </w:rPr>
        <w:br w:type="page"/>
      </w:r>
    </w:p>
    <w:p w14:paraId="7890DC95" w14:textId="57D36979" w:rsidR="006E73FD" w:rsidRDefault="008F6A17" w:rsidP="001513E9">
      <w:pPr>
        <w:pStyle w:val="Heading1"/>
        <w:rPr>
          <w:lang w:eastAsia="en-AU"/>
        </w:rPr>
      </w:pPr>
      <w:bookmarkStart w:id="32" w:name="_Toc190869136"/>
      <w:r>
        <w:rPr>
          <w:lang w:eastAsia="en-AU"/>
        </w:rPr>
        <w:lastRenderedPageBreak/>
        <w:t>Interactions with other</w:t>
      </w:r>
      <w:r w:rsidR="0082106B">
        <w:rPr>
          <w:lang w:eastAsia="en-AU"/>
        </w:rPr>
        <w:t xml:space="preserve"> Territory</w:t>
      </w:r>
      <w:r w:rsidR="00A23451">
        <w:rPr>
          <w:lang w:eastAsia="en-AU"/>
        </w:rPr>
        <w:t xml:space="preserve"> or Commonwealth</w:t>
      </w:r>
      <w:r>
        <w:rPr>
          <w:lang w:eastAsia="en-AU"/>
        </w:rPr>
        <w:t xml:space="preserve"> legislation</w:t>
      </w:r>
      <w:bookmarkEnd w:id="32"/>
    </w:p>
    <w:p w14:paraId="686B468C" w14:textId="0753A781" w:rsidR="00341AF8" w:rsidRDefault="00DB06D5" w:rsidP="001513E9">
      <w:pPr>
        <w:rPr>
          <w:lang w:eastAsia="en-AU"/>
        </w:rPr>
      </w:pPr>
      <w:r>
        <w:rPr>
          <w:lang w:eastAsia="en-AU"/>
        </w:rPr>
        <w:t>There are a range of other legislation which regulates the onshore petroleum industry and which would include the recovery of petro</w:t>
      </w:r>
      <w:r w:rsidR="0097409B">
        <w:rPr>
          <w:lang w:eastAsia="en-AU"/>
        </w:rPr>
        <w:t xml:space="preserve">leum on an appraisal basis. </w:t>
      </w:r>
      <w:r w:rsidR="00E96A38">
        <w:rPr>
          <w:lang w:eastAsia="en-AU"/>
        </w:rPr>
        <w:t>This</w:t>
      </w:r>
      <w:r>
        <w:rPr>
          <w:lang w:eastAsia="en-AU"/>
        </w:rPr>
        <w:t xml:space="preserve"> guideline is</w:t>
      </w:r>
      <w:r w:rsidR="00E96A38">
        <w:rPr>
          <w:lang w:eastAsia="en-AU"/>
        </w:rPr>
        <w:t xml:space="preserve"> not a comprehensive overview</w:t>
      </w:r>
      <w:r>
        <w:rPr>
          <w:lang w:eastAsia="en-AU"/>
        </w:rPr>
        <w:t xml:space="preserve"> of all legislation which may be relevant</w:t>
      </w:r>
      <w:r w:rsidR="00E96A38">
        <w:rPr>
          <w:lang w:eastAsia="en-AU"/>
        </w:rPr>
        <w:t xml:space="preserve"> to the application</w:t>
      </w:r>
      <w:r>
        <w:rPr>
          <w:lang w:eastAsia="en-AU"/>
        </w:rPr>
        <w:t xml:space="preserve"> but </w:t>
      </w:r>
      <w:r w:rsidR="00E96A38">
        <w:rPr>
          <w:lang w:eastAsia="en-AU"/>
        </w:rPr>
        <w:t>is a reminder that an interest holder needs to assess and consider what other approvals</w:t>
      </w:r>
      <w:r w:rsidR="00A23451">
        <w:rPr>
          <w:lang w:eastAsia="en-AU"/>
        </w:rPr>
        <w:t>, obligations or reporting</w:t>
      </w:r>
      <w:r w:rsidR="00E96A38">
        <w:rPr>
          <w:lang w:eastAsia="en-AU"/>
        </w:rPr>
        <w:t xml:space="preserve"> might be required under Territor</w:t>
      </w:r>
      <w:r w:rsidR="0097409B">
        <w:rPr>
          <w:lang w:eastAsia="en-AU"/>
        </w:rPr>
        <w:t>y or Commonwealth legislation.</w:t>
      </w:r>
    </w:p>
    <w:p w14:paraId="767E63F7" w14:textId="19B1AC7E" w:rsidR="00DB06D5" w:rsidRDefault="00E96A38" w:rsidP="001513E9">
      <w:pPr>
        <w:rPr>
          <w:lang w:eastAsia="en-AU"/>
        </w:rPr>
      </w:pPr>
      <w:r>
        <w:rPr>
          <w:lang w:eastAsia="en-AU"/>
        </w:rPr>
        <w:t xml:space="preserve">In </w:t>
      </w:r>
      <w:r w:rsidR="006527F0">
        <w:rPr>
          <w:lang w:eastAsia="en-AU"/>
        </w:rPr>
        <w:t>particular</w:t>
      </w:r>
      <w:r>
        <w:rPr>
          <w:lang w:eastAsia="en-AU"/>
        </w:rPr>
        <w:t xml:space="preserve"> an interest holder needs to consider whether t</w:t>
      </w:r>
      <w:r w:rsidR="00DB06D5">
        <w:rPr>
          <w:lang w:eastAsia="en-AU"/>
        </w:rPr>
        <w:t>he recovery of petroleum on an appraisal basis:</w:t>
      </w:r>
    </w:p>
    <w:p w14:paraId="2D1DCE01" w14:textId="7F179030" w:rsidR="006527F0" w:rsidRDefault="006527F0" w:rsidP="001513E9">
      <w:pPr>
        <w:pStyle w:val="ListParagraph"/>
        <w:numPr>
          <w:ilvl w:val="0"/>
          <w:numId w:val="18"/>
        </w:numPr>
        <w:ind w:hanging="720"/>
        <w:rPr>
          <w:lang w:eastAsia="en-AU"/>
        </w:rPr>
      </w:pPr>
      <w:r>
        <w:rPr>
          <w:lang w:eastAsia="en-AU"/>
        </w:rPr>
        <w:t>T</w:t>
      </w:r>
      <w:r w:rsidR="00DB06D5">
        <w:rPr>
          <w:lang w:eastAsia="en-AU"/>
        </w:rPr>
        <w:t xml:space="preserve">riggers an obligation on the </w:t>
      </w:r>
      <w:r w:rsidR="00E96A38">
        <w:rPr>
          <w:lang w:eastAsia="en-AU"/>
        </w:rPr>
        <w:t>interest holder</w:t>
      </w:r>
      <w:r w:rsidR="00DB06D5">
        <w:rPr>
          <w:lang w:eastAsia="en-AU"/>
        </w:rPr>
        <w:t xml:space="preserve"> to pay the Territory a royalty on petroleum produced in the project area in accordance with the </w:t>
      </w:r>
      <w:r w:rsidR="00DB06D5">
        <w:rPr>
          <w:i/>
          <w:lang w:eastAsia="en-AU"/>
        </w:rPr>
        <w:t xml:space="preserve">Petroleum Royalty Act 2023 </w:t>
      </w:r>
      <w:r w:rsidR="00DB06D5">
        <w:rPr>
          <w:lang w:eastAsia="en-AU"/>
        </w:rPr>
        <w:t>(see section 8 of that Act a</w:t>
      </w:r>
      <w:r w:rsidR="0097409B">
        <w:rPr>
          <w:lang w:eastAsia="en-AU"/>
        </w:rPr>
        <w:t>nd section 58(aa) of the Act).</w:t>
      </w:r>
    </w:p>
    <w:p w14:paraId="69CDE547" w14:textId="5ACAB20F" w:rsidR="00DB06D5" w:rsidRDefault="00DB06D5" w:rsidP="001513E9">
      <w:pPr>
        <w:pStyle w:val="ListParagraph"/>
        <w:ind w:left="720"/>
        <w:rPr>
          <w:lang w:eastAsia="en-AU"/>
        </w:rPr>
      </w:pPr>
      <w:r>
        <w:rPr>
          <w:lang w:eastAsia="en-AU"/>
        </w:rPr>
        <w:t>A royalty is not payable for:</w:t>
      </w:r>
    </w:p>
    <w:p w14:paraId="1AE1BA06" w14:textId="7F9982FD" w:rsidR="00DB06D5" w:rsidRDefault="00DB06D5" w:rsidP="001513E9">
      <w:pPr>
        <w:pStyle w:val="ListParagraph"/>
        <w:numPr>
          <w:ilvl w:val="0"/>
          <w:numId w:val="19"/>
        </w:numPr>
        <w:ind w:left="1418" w:hanging="698"/>
        <w:rPr>
          <w:lang w:eastAsia="en-AU"/>
        </w:rPr>
      </w:pPr>
      <w:r>
        <w:rPr>
          <w:lang w:eastAsia="en-AU"/>
        </w:rPr>
        <w:t>petroleum used for incidental purposes by the interest holder</w:t>
      </w:r>
      <w:r w:rsidR="006527F0">
        <w:rPr>
          <w:lang w:eastAsia="en-AU"/>
        </w:rPr>
        <w:t>; and</w:t>
      </w:r>
    </w:p>
    <w:p w14:paraId="60AA3ADD" w14:textId="1763FA8A" w:rsidR="00DB06D5" w:rsidRPr="00BE7209" w:rsidRDefault="00DB06D5" w:rsidP="001513E9">
      <w:pPr>
        <w:pStyle w:val="ListParagraph"/>
        <w:numPr>
          <w:ilvl w:val="0"/>
          <w:numId w:val="19"/>
        </w:numPr>
        <w:ind w:left="1418" w:hanging="698"/>
        <w:rPr>
          <w:rFonts w:asciiTheme="minorHAnsi" w:hAnsiTheme="minorHAnsi"/>
          <w:lang w:eastAsia="en-AU"/>
        </w:rPr>
      </w:pPr>
      <w:r w:rsidRPr="00BE7209">
        <w:rPr>
          <w:rFonts w:asciiTheme="minorHAnsi" w:hAnsiTheme="minorHAnsi"/>
          <w:lang w:eastAsia="en-AU"/>
        </w:rPr>
        <w:t xml:space="preserve">petroleum produced, on an exploration permit, that is used or lost through venting or flaring </w:t>
      </w:r>
    </w:p>
    <w:p w14:paraId="718F32EE" w14:textId="0DC032C1" w:rsidR="006527F0" w:rsidRPr="00BE7209" w:rsidRDefault="006527F0" w:rsidP="001513E9">
      <w:pPr>
        <w:ind w:left="720"/>
        <w:rPr>
          <w:rFonts w:asciiTheme="minorHAnsi" w:hAnsiTheme="minorHAnsi"/>
          <w:lang w:eastAsia="en-AU"/>
        </w:rPr>
      </w:pPr>
      <w:r w:rsidRPr="00BE7209">
        <w:rPr>
          <w:rFonts w:asciiTheme="minorHAnsi" w:hAnsiTheme="minorHAnsi"/>
          <w:lang w:eastAsia="en-AU"/>
        </w:rPr>
        <w:t xml:space="preserve">An interest holder should contact </w:t>
      </w:r>
      <w:hyperlink r:id="rId21" w:history="1">
        <w:r w:rsidR="00BE7209" w:rsidRPr="00BE7209">
          <w:rPr>
            <w:rStyle w:val="Hyperlink"/>
            <w:rFonts w:asciiTheme="minorHAnsi" w:hAnsiTheme="minorHAnsi" w:cs="Calibri"/>
          </w:rPr>
          <w:t>royaltiesandassurance.dtf@nt.gov.au</w:t>
        </w:r>
      </w:hyperlink>
      <w:r w:rsidR="00BE7209" w:rsidRPr="00BE7209">
        <w:rPr>
          <w:rFonts w:asciiTheme="minorHAnsi" w:hAnsiTheme="minorHAnsi" w:cs="Calibri"/>
          <w:color w:val="1F497D"/>
        </w:rPr>
        <w:t xml:space="preserve"> </w:t>
      </w:r>
      <w:r w:rsidR="00BE7209">
        <w:rPr>
          <w:rFonts w:asciiTheme="minorHAnsi" w:hAnsiTheme="minorHAnsi"/>
          <w:lang w:eastAsia="en-AU"/>
        </w:rPr>
        <w:t>for more information.</w:t>
      </w:r>
    </w:p>
    <w:p w14:paraId="7DA12372" w14:textId="247CBD25" w:rsidR="00DB06D5" w:rsidRDefault="00D827B4" w:rsidP="001513E9">
      <w:pPr>
        <w:pStyle w:val="ListParagraph"/>
        <w:numPr>
          <w:ilvl w:val="0"/>
          <w:numId w:val="18"/>
        </w:numPr>
        <w:ind w:hanging="720"/>
        <w:rPr>
          <w:lang w:eastAsia="en-AU"/>
        </w:rPr>
      </w:pPr>
      <w:r>
        <w:rPr>
          <w:lang w:eastAsia="en-AU"/>
        </w:rPr>
        <w:t>Requires referral by the interest holder</w:t>
      </w:r>
      <w:r w:rsidR="00DB06D5">
        <w:rPr>
          <w:lang w:eastAsia="en-AU"/>
        </w:rPr>
        <w:t xml:space="preserve"> to the NT E</w:t>
      </w:r>
      <w:r w:rsidR="00A23451">
        <w:rPr>
          <w:lang w:eastAsia="en-AU"/>
        </w:rPr>
        <w:t xml:space="preserve">nvironment </w:t>
      </w:r>
      <w:r w:rsidR="00DB06D5">
        <w:rPr>
          <w:lang w:eastAsia="en-AU"/>
        </w:rPr>
        <w:t>P</w:t>
      </w:r>
      <w:r w:rsidR="00A23451">
        <w:rPr>
          <w:lang w:eastAsia="en-AU"/>
        </w:rPr>
        <w:t xml:space="preserve">rotection </w:t>
      </w:r>
      <w:r w:rsidR="00DB06D5">
        <w:rPr>
          <w:lang w:eastAsia="en-AU"/>
        </w:rPr>
        <w:t>A</w:t>
      </w:r>
      <w:r w:rsidR="00A23451">
        <w:rPr>
          <w:lang w:eastAsia="en-AU"/>
        </w:rPr>
        <w:t>uthority (NT EPA)</w:t>
      </w:r>
      <w:r w:rsidR="00DB06D5">
        <w:rPr>
          <w:lang w:eastAsia="en-AU"/>
        </w:rPr>
        <w:t xml:space="preserve"> under the EP Act 2019</w:t>
      </w:r>
      <w:r>
        <w:rPr>
          <w:lang w:eastAsia="en-AU"/>
        </w:rPr>
        <w:t xml:space="preserve"> (depending on the scope of the application)</w:t>
      </w:r>
      <w:r w:rsidR="0097409B">
        <w:rPr>
          <w:lang w:eastAsia="en-AU"/>
        </w:rPr>
        <w:t>.</w:t>
      </w:r>
    </w:p>
    <w:p w14:paraId="3B27AF9F" w14:textId="31047F07" w:rsidR="00A23451" w:rsidRDefault="006527F0" w:rsidP="001513E9">
      <w:pPr>
        <w:pStyle w:val="ListParagraph"/>
        <w:ind w:left="720"/>
        <w:rPr>
          <w:lang w:eastAsia="en-AU"/>
        </w:rPr>
      </w:pPr>
      <w:r>
        <w:rPr>
          <w:lang w:eastAsia="en-AU"/>
        </w:rPr>
        <w:t xml:space="preserve">An interest holder should contact </w:t>
      </w:r>
      <w:hyperlink r:id="rId22" w:history="1">
        <w:r w:rsidR="00CB7FEE" w:rsidRPr="00A65EE0">
          <w:rPr>
            <w:rStyle w:val="Hyperlink"/>
            <w:lang w:eastAsia="en-AU"/>
          </w:rPr>
          <w:t>eia.ntepa@nt.gov.au</w:t>
        </w:r>
      </w:hyperlink>
      <w:r w:rsidR="00CB7FEE">
        <w:rPr>
          <w:lang w:eastAsia="en-AU"/>
        </w:rPr>
        <w:t xml:space="preserve"> </w:t>
      </w:r>
      <w:r>
        <w:rPr>
          <w:lang w:eastAsia="en-AU"/>
        </w:rPr>
        <w:t>for more information.</w:t>
      </w:r>
    </w:p>
    <w:p w14:paraId="462BD371" w14:textId="76953E83" w:rsidR="00A23451" w:rsidRDefault="00A23451" w:rsidP="001513E9">
      <w:pPr>
        <w:pStyle w:val="ListParagraph"/>
        <w:numPr>
          <w:ilvl w:val="0"/>
          <w:numId w:val="18"/>
        </w:numPr>
        <w:ind w:hanging="720"/>
        <w:rPr>
          <w:lang w:eastAsia="en-AU"/>
        </w:rPr>
      </w:pPr>
      <w:r>
        <w:rPr>
          <w:lang w:eastAsia="en-AU"/>
        </w:rPr>
        <w:t>Re</w:t>
      </w:r>
      <w:r w:rsidR="00D827B4">
        <w:rPr>
          <w:lang w:eastAsia="en-AU"/>
        </w:rPr>
        <w:t>quires re</w:t>
      </w:r>
      <w:r>
        <w:rPr>
          <w:lang w:eastAsia="en-AU"/>
        </w:rPr>
        <w:t>porting to the National Pollutant Inventory, via the NT EPA.</w:t>
      </w:r>
    </w:p>
    <w:p w14:paraId="497132A1" w14:textId="0A48507F" w:rsidR="001513E9" w:rsidRDefault="00A23451" w:rsidP="00C55B94">
      <w:pPr>
        <w:pStyle w:val="ListParagraph"/>
        <w:ind w:left="720"/>
        <w:rPr>
          <w:lang w:eastAsia="en-AU"/>
        </w:rPr>
      </w:pPr>
      <w:r>
        <w:rPr>
          <w:lang w:eastAsia="en-AU"/>
        </w:rPr>
        <w:t xml:space="preserve">An interest holder should contact </w:t>
      </w:r>
      <w:hyperlink r:id="rId23" w:history="1">
        <w:r w:rsidRPr="003E0085">
          <w:rPr>
            <w:rStyle w:val="Hyperlink"/>
            <w:lang w:eastAsia="en-AU"/>
          </w:rPr>
          <w:t>npi.officer@nt.gov.au</w:t>
        </w:r>
      </w:hyperlink>
      <w:r>
        <w:rPr>
          <w:lang w:eastAsia="en-AU"/>
        </w:rPr>
        <w:t xml:space="preserve"> for more information.</w:t>
      </w:r>
    </w:p>
    <w:sectPr w:rsidR="001513E9" w:rsidSect="00C95D30">
      <w:headerReference w:type="even" r:id="rId24"/>
      <w:headerReference w:type="default" r:id="rId25"/>
      <w:footerReference w:type="default" r:id="rId26"/>
      <w:headerReference w:type="first" r:id="rId27"/>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0CB14" w14:textId="77777777" w:rsidR="00F314E3" w:rsidRDefault="00F314E3">
      <w:r>
        <w:separator/>
      </w:r>
    </w:p>
  </w:endnote>
  <w:endnote w:type="continuationSeparator" w:id="0">
    <w:p w14:paraId="64294935" w14:textId="77777777" w:rsidR="00F314E3" w:rsidRDefault="00F314E3">
      <w:r>
        <w:continuationSeparator/>
      </w:r>
    </w:p>
  </w:endnote>
  <w:endnote w:type="continuationNotice" w:id="1">
    <w:p w14:paraId="238FFB06" w14:textId="77777777" w:rsidR="00F314E3" w:rsidRDefault="00F314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5325129"/>
      <w:docPartObj>
        <w:docPartGallery w:val="Page Numbers (Bottom of Page)"/>
        <w:docPartUnique/>
      </w:docPartObj>
    </w:sdtPr>
    <w:sdtContent>
      <w:sdt>
        <w:sdtPr>
          <w:id w:val="34003993"/>
          <w:docPartObj>
            <w:docPartGallery w:val="Page Numbers (Top of Page)"/>
            <w:docPartUnique/>
          </w:docPartObj>
        </w:sdtPr>
        <w:sdtContent>
          <w:p w14:paraId="28A1A2EF" w14:textId="77777777" w:rsidR="00641C5A" w:rsidRDefault="00641C5A" w:rsidP="004E7885">
            <w:r w:rsidRPr="004E7885">
              <w:rPr>
                <w:rStyle w:val="PageNumber"/>
              </w:rPr>
              <w:t xml:space="preserve">Page </w:t>
            </w:r>
            <w:r w:rsidRPr="004E7885">
              <w:rPr>
                <w:rStyle w:val="PageNumber"/>
              </w:rPr>
              <w:fldChar w:fldCharType="begin"/>
            </w:r>
            <w:r w:rsidRPr="004E7885">
              <w:rPr>
                <w:rStyle w:val="PageNumber"/>
              </w:rPr>
              <w:instrText xml:space="preserve"> PAGE </w:instrText>
            </w:r>
            <w:r w:rsidRPr="004E7885">
              <w:rPr>
                <w:rStyle w:val="PageNumber"/>
              </w:rPr>
              <w:fldChar w:fldCharType="separate"/>
            </w:r>
            <w:r>
              <w:rPr>
                <w:rStyle w:val="PageNumber"/>
                <w:noProof/>
              </w:rPr>
              <w:t>3</w:t>
            </w:r>
            <w:r w:rsidRPr="004E7885">
              <w:rPr>
                <w:rStyle w:val="PageNumber"/>
              </w:rPr>
              <w:fldChar w:fldCharType="end"/>
            </w:r>
            <w:r w:rsidRPr="004E7885">
              <w:rPr>
                <w:rStyle w:val="PageNumber"/>
              </w:rPr>
              <w:t xml:space="preserve"> of </w:t>
            </w:r>
            <w:r w:rsidRPr="004E7885">
              <w:rPr>
                <w:rStyle w:val="PageNumber"/>
              </w:rPr>
              <w:fldChar w:fldCharType="begin"/>
            </w:r>
            <w:r w:rsidRPr="004E7885">
              <w:rPr>
                <w:rStyle w:val="PageNumber"/>
              </w:rPr>
              <w:instrText xml:space="preserve"> NUMPAGES  </w:instrText>
            </w:r>
            <w:r w:rsidRPr="004E7885">
              <w:rPr>
                <w:rStyle w:val="PageNumber"/>
              </w:rPr>
              <w:fldChar w:fldCharType="separate"/>
            </w:r>
            <w:r>
              <w:rPr>
                <w:rStyle w:val="PageNumber"/>
                <w:noProof/>
              </w:rPr>
              <w:t>4</w:t>
            </w:r>
            <w:r w:rsidRPr="004E7885">
              <w:rPr>
                <w:rStyle w:val="PageNumber"/>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A6EC" w14:textId="77777777" w:rsidR="00641C5A" w:rsidRPr="00F538BD" w:rsidRDefault="00641C5A" w:rsidP="004E7885">
    <w:pPr>
      <w:spacing w:after="0"/>
      <w:jc w:val="right"/>
      <w:rPr>
        <w:sz w:val="6"/>
        <w:szCs w:val="6"/>
      </w:rPr>
    </w:pPr>
    <w:r w:rsidRPr="001852AF">
      <w:rPr>
        <w:noProof/>
        <w:lang w:eastAsia="en-AU"/>
      </w:rPr>
      <w:drawing>
        <wp:inline distT="0" distB="0" distL="0" distR="0" wp14:anchorId="6ADB95A0" wp14:editId="0508138A">
          <wp:extent cx="1572479" cy="561600"/>
          <wp:effectExtent l="0" t="0" r="8890" b="0"/>
          <wp:docPr id="4" name="Picture 4"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F10A" w14:textId="77777777" w:rsidR="00641C5A" w:rsidRDefault="00641C5A" w:rsidP="004E7885">
    <w:pPr>
      <w:pStyle w:val="Hidden"/>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D012" w14:textId="77777777" w:rsidR="00641C5A" w:rsidRPr="00F538BD" w:rsidRDefault="00641C5A" w:rsidP="004E7885">
    <w:pPr>
      <w:spacing w:after="0"/>
      <w:rPr>
        <w:sz w:val="6"/>
        <w:szCs w:val="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EC96" w14:textId="77777777" w:rsidR="00641C5A" w:rsidRPr="00A50829" w:rsidRDefault="00641C5A" w:rsidP="002C6C39">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641C5A" w:rsidRPr="00132658" w14:paraId="6A10357B" w14:textId="77777777" w:rsidTr="00DB06D5">
      <w:trPr>
        <w:cantSplit/>
        <w:trHeight w:hRule="exact" w:val="850"/>
        <w:tblHeader/>
      </w:trPr>
      <w:tc>
        <w:tcPr>
          <w:tcW w:w="10318" w:type="dxa"/>
          <w:vAlign w:val="bottom"/>
        </w:tcPr>
        <w:p w14:paraId="726BFEB8" w14:textId="06F25968" w:rsidR="00641C5A" w:rsidRDefault="00641C5A" w:rsidP="00A50829">
          <w:pPr>
            <w:spacing w:after="0"/>
            <w:rPr>
              <w:rStyle w:val="PageNumber"/>
              <w:b/>
            </w:rPr>
          </w:pPr>
          <w:r>
            <w:rPr>
              <w:rStyle w:val="PageNumber"/>
            </w:rPr>
            <w:t xml:space="preserve">Department of </w:t>
          </w:r>
          <w:r>
            <w:rPr>
              <w:rStyle w:val="PageNumber"/>
              <w:b/>
            </w:rPr>
            <w:t>Mining and Energy</w:t>
          </w:r>
        </w:p>
        <w:p w14:paraId="3417DCF2" w14:textId="3E2EBBC1" w:rsidR="00641C5A" w:rsidRPr="00CE6614" w:rsidRDefault="00000000" w:rsidP="00A50829">
          <w:pPr>
            <w:spacing w:after="0"/>
            <w:rPr>
              <w:rStyle w:val="PageNumber"/>
            </w:rPr>
          </w:pPr>
          <w:sdt>
            <w:sdtPr>
              <w:rPr>
                <w:rStyle w:val="PageNumber"/>
              </w:rPr>
              <w:alias w:val="Date"/>
              <w:tag w:val=""/>
              <w:id w:val="1578473972"/>
              <w:placeholder>
                <w:docPart w:val="0962FFD43730444187829135F707101A"/>
              </w:placeholder>
              <w:dataBinding w:prefixMappings="xmlns:ns0='http://schemas.microsoft.com/office/2006/coverPageProps' " w:xpath="/ns0:CoverPageProperties[1]/ns0:PublishDate[1]" w:storeItemID="{55AF091B-3C7A-41E3-B477-F2FDAA23CFDA}"/>
              <w15:color w:val="000000"/>
              <w:date w:fullDate="2025-02-20T00:00:00Z">
                <w:dateFormat w:val="d MMMM yyyy"/>
                <w:lid w:val="en-AU"/>
                <w:storeMappedDataAs w:val="dateTime"/>
                <w:calendar w:val="gregorian"/>
              </w:date>
            </w:sdtPr>
            <w:sdtContent>
              <w:r w:rsidR="008815DD">
                <w:rPr>
                  <w:rStyle w:val="PageNumber"/>
                </w:rPr>
                <w:t>20</w:t>
              </w:r>
              <w:r w:rsidR="00641C5A">
                <w:rPr>
                  <w:rStyle w:val="PageNumber"/>
                </w:rPr>
                <w:t xml:space="preserve"> February 2025</w:t>
              </w:r>
            </w:sdtContent>
          </w:sdt>
          <w:r w:rsidR="00641C5A" w:rsidRPr="00CE6614">
            <w:rPr>
              <w:rStyle w:val="PageNumber"/>
            </w:rPr>
            <w:t xml:space="preserve"> | </w:t>
          </w:r>
        </w:p>
        <w:p w14:paraId="1283EC62" w14:textId="4C7FB7CE" w:rsidR="00641C5A" w:rsidRPr="00AC4488" w:rsidRDefault="00641C5A" w:rsidP="00A50829">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A20C2F">
            <w:rPr>
              <w:rStyle w:val="PageNumber"/>
              <w:noProof/>
            </w:rPr>
            <w:t>18</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A20C2F">
            <w:rPr>
              <w:rStyle w:val="PageNumber"/>
              <w:noProof/>
            </w:rPr>
            <w:t>18</w:t>
          </w:r>
          <w:r w:rsidRPr="00AC4488">
            <w:rPr>
              <w:rStyle w:val="PageNumber"/>
            </w:rPr>
            <w:fldChar w:fldCharType="end"/>
          </w:r>
        </w:p>
      </w:tc>
    </w:tr>
  </w:tbl>
  <w:p w14:paraId="0AE08D46" w14:textId="77777777" w:rsidR="00641C5A" w:rsidRDefault="00641C5A" w:rsidP="00AD1B26">
    <w:pPr>
      <w:pStyle w:val="Hidden"/>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17921" w14:textId="77777777" w:rsidR="00F314E3" w:rsidRDefault="00F314E3">
      <w:r>
        <w:separator/>
      </w:r>
    </w:p>
  </w:footnote>
  <w:footnote w:type="continuationSeparator" w:id="0">
    <w:p w14:paraId="29B49AF9" w14:textId="77777777" w:rsidR="00F314E3" w:rsidRDefault="00F314E3">
      <w:r>
        <w:continuationSeparator/>
      </w:r>
    </w:p>
  </w:footnote>
  <w:footnote w:type="continuationNotice" w:id="1">
    <w:p w14:paraId="6762F46B" w14:textId="77777777" w:rsidR="00F314E3" w:rsidRDefault="00F314E3">
      <w:pPr>
        <w:spacing w:after="0"/>
      </w:pPr>
    </w:p>
  </w:footnote>
  <w:footnote w:id="2">
    <w:p w14:paraId="60A0F8E0" w14:textId="325DF05D" w:rsidR="00641C5A" w:rsidRDefault="00641C5A">
      <w:pPr>
        <w:pStyle w:val="FootnoteText"/>
      </w:pPr>
      <w:r>
        <w:rPr>
          <w:rStyle w:val="FootnoteReference"/>
        </w:rPr>
        <w:footnoteRef/>
      </w:r>
      <w:r>
        <w:t xml:space="preserve"> See section 3 of the Act.</w:t>
      </w:r>
    </w:p>
  </w:footnote>
  <w:footnote w:id="3">
    <w:p w14:paraId="668662E9" w14:textId="77777777" w:rsidR="00641C5A" w:rsidRPr="00001529" w:rsidRDefault="00641C5A" w:rsidP="003C2813">
      <w:pPr>
        <w:pStyle w:val="FootnoteText"/>
        <w:rPr>
          <w:i/>
        </w:rPr>
      </w:pPr>
      <w:r>
        <w:rPr>
          <w:rStyle w:val="FootnoteReference"/>
        </w:rPr>
        <w:footnoteRef/>
      </w:r>
      <w:r>
        <w:t xml:space="preserve"> Section 57AAA was inserted into the Act by the </w:t>
      </w:r>
      <w:r>
        <w:rPr>
          <w:i/>
        </w:rPr>
        <w:t xml:space="preserve">Petroleum Legislation Amendment Act 2022. </w:t>
      </w:r>
    </w:p>
  </w:footnote>
  <w:footnote w:id="4">
    <w:p w14:paraId="259556AA" w14:textId="5A5877EA" w:rsidR="00641C5A" w:rsidRDefault="00641C5A">
      <w:pPr>
        <w:pStyle w:val="FootnoteText"/>
      </w:pPr>
      <w:r>
        <w:rPr>
          <w:rStyle w:val="FootnoteReference"/>
        </w:rPr>
        <w:footnoteRef/>
      </w:r>
      <w:r>
        <w:t xml:space="preserve"> The beneficial use of petroleum on an appraisal basis, such as for electricity generation, will still create greenhouse gas emissions but importantly the emissions will be associated with the productive use of petroleum (as opposed to venting and flaring).</w:t>
      </w:r>
    </w:p>
  </w:footnote>
  <w:footnote w:id="5">
    <w:p w14:paraId="7B86748A" w14:textId="77777777" w:rsidR="00641C5A" w:rsidRPr="003C2813" w:rsidRDefault="00641C5A" w:rsidP="00D078FF">
      <w:pPr>
        <w:pStyle w:val="FootnoteText"/>
        <w:rPr>
          <w:i/>
        </w:rPr>
      </w:pPr>
      <w:r>
        <w:rPr>
          <w:rStyle w:val="FootnoteReference"/>
        </w:rPr>
        <w:footnoteRef/>
      </w:r>
      <w:r>
        <w:t xml:space="preserve"> See section 28B of the </w:t>
      </w:r>
      <w:r>
        <w:rPr>
          <w:i/>
        </w:rPr>
        <w:t xml:space="preserve">Petroleum (Onshore) Act 1991 (NSW) </w:t>
      </w:r>
      <w:r>
        <w:t xml:space="preserve">and section 72 of the </w:t>
      </w:r>
      <w:r>
        <w:rPr>
          <w:i/>
        </w:rPr>
        <w:t>Petroleum and Gas (Production and Safety) Act 2004.</w:t>
      </w:r>
    </w:p>
  </w:footnote>
  <w:footnote w:id="6">
    <w:p w14:paraId="2E463F9B" w14:textId="125EB459" w:rsidR="00641C5A" w:rsidRDefault="00641C5A" w:rsidP="00D078FF">
      <w:pPr>
        <w:pStyle w:val="FootnoteText"/>
      </w:pPr>
      <w:r>
        <w:rPr>
          <w:rStyle w:val="FootnoteReference"/>
        </w:rPr>
        <w:footnoteRef/>
      </w:r>
      <w:r>
        <w:t xml:space="preserve"> See section </w:t>
      </w:r>
      <w:r>
        <w:t>57AAA(1) of the Act.</w:t>
      </w:r>
    </w:p>
  </w:footnote>
  <w:footnote w:id="7">
    <w:p w14:paraId="60438C79" w14:textId="77777777" w:rsidR="00641C5A" w:rsidRDefault="00641C5A" w:rsidP="00D078FF">
      <w:pPr>
        <w:pStyle w:val="FootnoteText"/>
      </w:pPr>
      <w:r>
        <w:rPr>
          <w:rStyle w:val="FootnoteReference"/>
        </w:rPr>
        <w:footnoteRef/>
      </w:r>
      <w:r>
        <w:t xml:space="preserve"> As published by the Society of Petroleum Engineers from time to time.</w:t>
      </w:r>
    </w:p>
  </w:footnote>
  <w:footnote w:id="8">
    <w:p w14:paraId="10FA249E" w14:textId="75B2D3A6" w:rsidR="00641C5A" w:rsidRDefault="00641C5A">
      <w:pPr>
        <w:pStyle w:val="FootnoteText"/>
      </w:pPr>
      <w:r>
        <w:rPr>
          <w:rStyle w:val="FootnoteReference"/>
        </w:rPr>
        <w:footnoteRef/>
      </w:r>
      <w:r>
        <w:t xml:space="preserve"> </w:t>
      </w:r>
      <w:r w:rsidRPr="0057102C">
        <w:t>The Minister must determine a period when granting the approval. This will be done on a case by case basis.</w:t>
      </w:r>
    </w:p>
  </w:footnote>
  <w:footnote w:id="9">
    <w:p w14:paraId="2829BD8E" w14:textId="19BF31CF" w:rsidR="00641C5A" w:rsidRDefault="00641C5A">
      <w:pPr>
        <w:pStyle w:val="FootnoteText"/>
      </w:pPr>
      <w:r>
        <w:rPr>
          <w:rStyle w:val="FootnoteReference"/>
        </w:rPr>
        <w:footnoteRef/>
      </w:r>
      <w:r>
        <w:t xml:space="preserve"> Section 62A of the Act provides that the Ministers must not release or publish information which is a trade secret or which would reasonably be expected to adversely affect the lawful business of a person. </w:t>
      </w:r>
    </w:p>
  </w:footnote>
  <w:footnote w:id="10">
    <w:p w14:paraId="7FFE3EB1" w14:textId="77777777" w:rsidR="00641C5A" w:rsidRDefault="00641C5A" w:rsidP="00D341C5">
      <w:pPr>
        <w:pStyle w:val="FootnoteText"/>
      </w:pPr>
      <w:r>
        <w:rPr>
          <w:rStyle w:val="FootnoteReference"/>
        </w:rPr>
        <w:footnoteRef/>
      </w:r>
      <w:r>
        <w:t xml:space="preserve"> As published by the Society of Petroleum Engineers from time to time.</w:t>
      </w:r>
    </w:p>
  </w:footnote>
  <w:footnote w:id="11">
    <w:p w14:paraId="1897ABBD" w14:textId="561F1F2F" w:rsidR="00641C5A" w:rsidRDefault="00641C5A">
      <w:pPr>
        <w:pStyle w:val="FootnoteText"/>
      </w:pPr>
      <w:r>
        <w:rPr>
          <w:rStyle w:val="FootnoteReference"/>
        </w:rPr>
        <w:footnoteRef/>
      </w:r>
      <w:r>
        <w:t xml:space="preserve"> Greenhouse gas emissions from onshore petroleum operations are regulated through the PER 2016. </w:t>
      </w:r>
    </w:p>
  </w:footnote>
  <w:footnote w:id="12">
    <w:p w14:paraId="3FE872D7" w14:textId="6143650E" w:rsidR="00641C5A" w:rsidRPr="00940050" w:rsidRDefault="00641C5A">
      <w:pPr>
        <w:pStyle w:val="FootnoteText"/>
      </w:pPr>
      <w:r w:rsidRPr="00940050">
        <w:rPr>
          <w:rStyle w:val="FootnoteReference"/>
        </w:rPr>
        <w:footnoteRef/>
      </w:r>
      <w:r w:rsidRPr="00940050">
        <w:t xml:space="preserve"> An approved land access agreement is not require</w:t>
      </w:r>
      <w:r>
        <w:t>d for all petroleum operations.</w:t>
      </w:r>
      <w:r w:rsidRPr="00940050">
        <w:t xml:space="preserve"> Regulation 12 of the PR 2020 specifies that an approved access agreement is not required for regulated operations on Aboriginal land or vacant Crown land.</w:t>
      </w:r>
    </w:p>
  </w:footnote>
  <w:footnote w:id="13">
    <w:p w14:paraId="3C746F5C" w14:textId="14772827" w:rsidR="00641C5A" w:rsidRDefault="00641C5A">
      <w:pPr>
        <w:pStyle w:val="FootnoteText"/>
      </w:pPr>
      <w:r w:rsidRPr="00940050">
        <w:rPr>
          <w:rStyle w:val="FootnoteReference"/>
        </w:rPr>
        <w:footnoteRef/>
      </w:r>
      <w:r w:rsidRPr="00940050">
        <w:t xml:space="preserve"> See </w:t>
      </w:r>
      <w:r w:rsidRPr="00940050">
        <w:rPr>
          <w:lang w:eastAsia="en-AU"/>
        </w:rPr>
        <w:t xml:space="preserve">section </w:t>
      </w:r>
      <w:r w:rsidRPr="00940050">
        <w:rPr>
          <w:lang w:eastAsia="en-AU"/>
        </w:rPr>
        <w:t>57AAA(3)(c) of the Act.</w:t>
      </w:r>
    </w:p>
  </w:footnote>
  <w:footnote w:id="14">
    <w:p w14:paraId="57858659" w14:textId="686E7885" w:rsidR="00641C5A" w:rsidRDefault="00641C5A">
      <w:pPr>
        <w:pStyle w:val="FootnoteText"/>
      </w:pPr>
      <w:r>
        <w:rPr>
          <w:rStyle w:val="FootnoteReference"/>
        </w:rPr>
        <w:footnoteRef/>
      </w:r>
      <w:r>
        <w:t xml:space="preserve"> DME would expect that the estimate would be consistent with estimate class 3, as detailed in the Cost Estimate Classification System applied in engineering, procurement and construction for process industry. See International Recommended Practice No. 18R-97 published by the Association for the Advancement of Cost Engineering.</w:t>
      </w:r>
    </w:p>
  </w:footnote>
  <w:footnote w:id="15">
    <w:p w14:paraId="59F4946F" w14:textId="711271D6" w:rsidR="00641C5A" w:rsidRDefault="00641C5A">
      <w:pPr>
        <w:pStyle w:val="FootnoteText"/>
      </w:pPr>
      <w:r>
        <w:rPr>
          <w:rStyle w:val="FootnoteReference"/>
        </w:rPr>
        <w:footnoteRef/>
      </w:r>
      <w:r>
        <w:t xml:space="preserve"> This estimate includes the interest holder’s internal costs (such as project management); it is not limited to third party costs. DME would also expect to see detailed costings from the interest holder’s nominated suppliers and contractors.</w:t>
      </w:r>
    </w:p>
  </w:footnote>
  <w:footnote w:id="16">
    <w:p w14:paraId="1456D1E1" w14:textId="77777777" w:rsidR="00641C5A" w:rsidRDefault="00641C5A" w:rsidP="00114024">
      <w:pPr>
        <w:pStyle w:val="FootnoteText"/>
      </w:pPr>
      <w:r>
        <w:rPr>
          <w:rStyle w:val="FootnoteReference"/>
        </w:rPr>
        <w:footnoteRef/>
      </w:r>
      <w:r>
        <w:t xml:space="preserve"> See section 117AW of the Act.</w:t>
      </w:r>
    </w:p>
  </w:footnote>
  <w:footnote w:id="17">
    <w:p w14:paraId="05522CBC" w14:textId="77777777" w:rsidR="00641C5A" w:rsidRDefault="00641C5A" w:rsidP="00B63FAF">
      <w:pPr>
        <w:pStyle w:val="FootnoteText"/>
      </w:pPr>
      <w:r>
        <w:rPr>
          <w:rStyle w:val="FootnoteReference"/>
        </w:rPr>
        <w:footnoteRef/>
      </w:r>
      <w:r>
        <w:t xml:space="preserve"> See section 117AY of the Act. </w:t>
      </w:r>
    </w:p>
  </w:footnote>
  <w:footnote w:id="18">
    <w:p w14:paraId="2677757D" w14:textId="58C3DF5D" w:rsidR="00641C5A" w:rsidRDefault="00641C5A">
      <w:pPr>
        <w:pStyle w:val="FootnoteText"/>
      </w:pPr>
      <w:r>
        <w:rPr>
          <w:rStyle w:val="FootnoteReference"/>
        </w:rPr>
        <w:footnoteRef/>
      </w:r>
      <w:r>
        <w:t xml:space="preserve"> See section </w:t>
      </w:r>
      <w:r>
        <w:t>57AAA(7). The Minister may extend the period of approval on application by the interest holder (see subsection (10)).</w:t>
      </w:r>
    </w:p>
  </w:footnote>
  <w:footnote w:id="19">
    <w:p w14:paraId="43562E56" w14:textId="3E9E8E58" w:rsidR="00641C5A" w:rsidRDefault="00641C5A">
      <w:pPr>
        <w:pStyle w:val="FootnoteText"/>
      </w:pPr>
      <w:r>
        <w:rPr>
          <w:rStyle w:val="FootnoteReference"/>
        </w:rPr>
        <w:footnoteRef/>
      </w:r>
      <w:r>
        <w:t xml:space="preserve"> An approved land access agreement is not required for all petroleum operations. Regulation 12 of the PR 2020 specifies that an approved access agreement is not required for regulated operations on Aboriginal land or vacant Crown land.</w:t>
      </w:r>
    </w:p>
  </w:footnote>
  <w:footnote w:id="20">
    <w:p w14:paraId="1FE72709" w14:textId="41E95837" w:rsidR="00641C5A" w:rsidRDefault="00641C5A" w:rsidP="001F0C00">
      <w:pPr>
        <w:pStyle w:val="FootnoteText"/>
      </w:pPr>
      <w:r>
        <w:rPr>
          <w:rStyle w:val="FootnoteReference"/>
        </w:rPr>
        <w:t>19</w:t>
      </w:r>
      <w:r>
        <w:t xml:space="preserve"> Note the restriction on the Minister’s ability to exercise this power in the event that the blocks are on Aboriginal land and no agreement has been reached under the Land Rights Act in relation to the production of petroleum in the area (see sections 30(6) and 43(5) of the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FE74" w14:textId="1CB8576E" w:rsidR="00641C5A" w:rsidRPr="008E0345" w:rsidRDefault="00000000" w:rsidP="005A5A44">
    <w:pPr>
      <w:pStyle w:val="Header"/>
    </w:pPr>
    <w:sdt>
      <w:sdtPr>
        <w:alias w:val="Title"/>
        <w:tag w:val=""/>
        <w:id w:val="-477918894"/>
        <w:placeholder>
          <w:docPart w:val="8C9DC854CDA74C608B087383EE16D47F"/>
        </w:placeholder>
        <w:dataBinding w:prefixMappings="xmlns:ns0='http://purl.org/dc/elements/1.1/' xmlns:ns1='http://schemas.openxmlformats.org/package/2006/metadata/core-properties' " w:xpath="/ns1:coreProperties[1]/ns0:title[1]" w:storeItemID="{6C3C8BC8-F283-45AE-878A-BAB7291924A1}"/>
        <w:text/>
      </w:sdtPr>
      <w:sdtContent>
        <w:r w:rsidR="00641C5A">
          <w:t>Recovery of petroleum on an appraisal basis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7B7E" w14:textId="62271EF2" w:rsidR="00641C5A" w:rsidRPr="00F0484A" w:rsidRDefault="00641C5A" w:rsidP="00F0484A">
    <w:pPr>
      <w:pStyle w:val="Title"/>
      <w:rPr>
        <w:sz w:val="20"/>
        <w:szCs w:val="20"/>
      </w:rPr>
    </w:pPr>
    <w:r w:rsidRPr="00F0484A">
      <w:rPr>
        <w:noProof/>
        <w:lang w:eastAsia="en-AU"/>
      </w:rPr>
      <w:drawing>
        <wp:anchor distT="0" distB="0" distL="0" distR="0" simplePos="0" relativeHeight="251659264" behindDoc="0" locked="0" layoutInCell="1" allowOverlap="1" wp14:anchorId="7746BF61" wp14:editId="7028DE0D">
          <wp:simplePos x="0" y="0"/>
          <wp:positionH relativeFrom="page">
            <wp:align>left</wp:align>
          </wp:positionH>
          <wp:positionV relativeFrom="page">
            <wp:posOffset>3393830</wp:posOffset>
          </wp:positionV>
          <wp:extent cx="7553130" cy="5448285"/>
          <wp:effectExtent l="0" t="0" r="0" b="635"/>
          <wp:wrapTopAndBottom/>
          <wp:docPr id="3" name="image4.png"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130" cy="544828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F159" w14:textId="5B213465" w:rsidR="00641C5A" w:rsidRDefault="00641C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E7B2" w14:textId="23E3FF07" w:rsidR="00641C5A" w:rsidRPr="004E7885" w:rsidRDefault="00000000" w:rsidP="004E7885">
    <w:pPr>
      <w:pStyle w:val="Header"/>
    </w:pPr>
    <w:sdt>
      <w:sdtPr>
        <w:alias w:val="Title"/>
        <w:tag w:val="Title"/>
        <w:id w:val="94911156"/>
        <w:lock w:val="sdtLocked"/>
        <w:placeholder>
          <w:docPart w:val="8C9DC854CDA74C608B087383EE16D47F"/>
        </w:placeholder>
        <w:dataBinding w:prefixMappings="xmlns:ns0='http://purl.org/dc/elements/1.1/' xmlns:ns1='http://schemas.openxmlformats.org/package/2006/metadata/core-properties' " w:xpath="/ns1:coreProperties[1]/ns0:title[1]" w:storeItemID="{6C3C8BC8-F283-45AE-878A-BAB7291924A1}"/>
        <w15:color w:val="000000"/>
        <w:text/>
      </w:sdtPr>
      <w:sdtContent>
        <w:r w:rsidR="00641C5A">
          <w:t>Recovery of petroleum on an appraisal basis</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B884" w14:textId="66FEE196" w:rsidR="00641C5A" w:rsidRPr="00274F1C" w:rsidRDefault="00641C5A" w:rsidP="004E7885">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DBFC" w14:textId="3FEE9928" w:rsidR="00641C5A" w:rsidRDefault="00641C5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71A6" w14:textId="3F7660C8" w:rsidR="00641C5A" w:rsidRDefault="00641C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3239E" w14:textId="7CBB7E70" w:rsidR="00641C5A" w:rsidRPr="00964B22" w:rsidRDefault="00641C5A" w:rsidP="008E0345">
    <w:pPr>
      <w:pStyle w:val="Header"/>
      <w:rPr>
        <w:b/>
      </w:rPr>
    </w:pPr>
  </w:p>
  <w:sdt>
    <w:sdtPr>
      <w:alias w:val="Title"/>
      <w:tag w:val=""/>
      <w:id w:val="2130893165"/>
      <w:placeholder>
        <w:docPart w:val="FF4E77432CDE479397859AA6E28AA33C"/>
      </w:placeholder>
      <w:dataBinding w:prefixMappings="xmlns:ns0='http://purl.org/dc/elements/1.1/' xmlns:ns1='http://schemas.openxmlformats.org/package/2006/metadata/core-properties' " w:xpath="/ns1:coreProperties[1]/ns0:title[1]" w:storeItemID="{6C3C8BC8-F283-45AE-878A-BAB7291924A1}"/>
      <w:text/>
    </w:sdtPr>
    <w:sdtContent>
      <w:p w14:paraId="3F0DC15B" w14:textId="5406712E" w:rsidR="00641C5A" w:rsidRPr="00964B22" w:rsidRDefault="00641C5A" w:rsidP="008E0345">
        <w:pPr>
          <w:pStyle w:val="Header"/>
          <w:rPr>
            <w:b/>
          </w:rPr>
        </w:pPr>
        <w:r>
          <w:t>Recovery of petroleum on an appraisal basis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671D"/>
    <w:multiLevelType w:val="hybridMultilevel"/>
    <w:tmpl w:val="302ED0C6"/>
    <w:lvl w:ilvl="0" w:tplc="D2323F58">
      <w:start w:val="1"/>
      <w:numFmt w:val="lowerLetter"/>
      <w:lvlText w:val="(%1)"/>
      <w:lvlJc w:val="left"/>
      <w:pPr>
        <w:ind w:left="1080" w:hanging="360"/>
      </w:pPr>
      <w:rPr>
        <w:rFonts w:hint="default"/>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D6D491A"/>
    <w:multiLevelType w:val="hybridMultilevel"/>
    <w:tmpl w:val="87761ACE"/>
    <w:lvl w:ilvl="0" w:tplc="A6B60B5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08E5787"/>
    <w:multiLevelType w:val="hybridMultilevel"/>
    <w:tmpl w:val="5D84F020"/>
    <w:lvl w:ilvl="0" w:tplc="93AEDDC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2BA0F43"/>
    <w:multiLevelType w:val="hybridMultilevel"/>
    <w:tmpl w:val="7EB0825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8D26C06"/>
    <w:multiLevelType w:val="multilevel"/>
    <w:tmpl w:val="3E5E177A"/>
    <w:name w:val="NTG Table Bullet List33222222222222222"/>
    <w:numStyleLink w:val="Tablenumberlist"/>
  </w:abstractNum>
  <w:abstractNum w:abstractNumId="10" w15:restartNumberingAfterBreak="0">
    <w:nsid w:val="19533A06"/>
    <w:multiLevelType w:val="multilevel"/>
    <w:tmpl w:val="3928FD02"/>
    <w:name w:val="NTG Table Bullet List3222"/>
    <w:numStyleLink w:val="Bulletlist"/>
  </w:abstractNum>
  <w:abstractNum w:abstractNumId="11"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C5347CE"/>
    <w:multiLevelType w:val="hybridMultilevel"/>
    <w:tmpl w:val="FC6205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0744AE"/>
    <w:multiLevelType w:val="multilevel"/>
    <w:tmpl w:val="3E5E177A"/>
    <w:name w:val="NTG Table Bullet List3222322"/>
    <w:numStyleLink w:val="Tablenumberlist"/>
  </w:abstractNum>
  <w:abstractNum w:abstractNumId="16" w15:restartNumberingAfterBreak="0">
    <w:nsid w:val="1E530FA3"/>
    <w:multiLevelType w:val="hybridMultilevel"/>
    <w:tmpl w:val="87761ACE"/>
    <w:lvl w:ilvl="0" w:tplc="A6B60B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8" w15:restartNumberingAfterBreak="0">
    <w:nsid w:val="248D5C95"/>
    <w:multiLevelType w:val="hybridMultilevel"/>
    <w:tmpl w:val="D5AE292E"/>
    <w:lvl w:ilvl="0" w:tplc="A6B60B5E">
      <w:start w:val="1"/>
      <w:numFmt w:val="decimal"/>
      <w:lvlText w:val="(%1)"/>
      <w:lvlJc w:val="left"/>
      <w:pPr>
        <w:ind w:left="720" w:hanging="360"/>
      </w:pPr>
      <w:rPr>
        <w:rFonts w:hint="default"/>
      </w:rPr>
    </w:lvl>
    <w:lvl w:ilvl="1" w:tplc="310A92C6">
      <w:start w:val="1"/>
      <w:numFmt w:val="lowerRoman"/>
      <w:lvlText w:val="(%2)"/>
      <w:lvlJc w:val="left"/>
      <w:pPr>
        <w:ind w:left="1800" w:hanging="720"/>
      </w:pPr>
      <w:rPr>
        <w:rFonts w:hint="default"/>
      </w:r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2E3F76"/>
    <w:multiLevelType w:val="multilevel"/>
    <w:tmpl w:val="3E5E177A"/>
    <w:name w:val="NTG Table Bullet List3322"/>
    <w:numStyleLink w:val="Tablenumberlist"/>
  </w:abstractNum>
  <w:abstractNum w:abstractNumId="20" w15:restartNumberingAfterBreak="0">
    <w:nsid w:val="27CE4608"/>
    <w:multiLevelType w:val="multilevel"/>
    <w:tmpl w:val="3E5E177A"/>
    <w:name w:val="NTG Table Bullet List33222"/>
    <w:numStyleLink w:val="Tablenumberlist"/>
  </w:abstractNum>
  <w:abstractNum w:abstractNumId="21" w15:restartNumberingAfterBreak="0">
    <w:nsid w:val="27D83E4D"/>
    <w:multiLevelType w:val="multilevel"/>
    <w:tmpl w:val="3928FD02"/>
    <w:numStyleLink w:val="Bulletlist"/>
  </w:abstractNum>
  <w:abstractNum w:abstractNumId="22" w15:restartNumberingAfterBreak="0">
    <w:nsid w:val="2AE841A8"/>
    <w:multiLevelType w:val="hybridMultilevel"/>
    <w:tmpl w:val="302ED0C6"/>
    <w:lvl w:ilvl="0" w:tplc="D2323F58">
      <w:start w:val="1"/>
      <w:numFmt w:val="lowerLetter"/>
      <w:lvlText w:val="(%1)"/>
      <w:lvlJc w:val="left"/>
      <w:pPr>
        <w:ind w:left="1080" w:hanging="360"/>
      </w:pPr>
      <w:rPr>
        <w:rFonts w:hint="default"/>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2C987AA8"/>
    <w:multiLevelType w:val="hybridMultilevel"/>
    <w:tmpl w:val="87761ACE"/>
    <w:lvl w:ilvl="0" w:tplc="A6B60B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5" w15:restartNumberingAfterBreak="0">
    <w:nsid w:val="2DA0043D"/>
    <w:multiLevelType w:val="hybridMultilevel"/>
    <w:tmpl w:val="5D84F020"/>
    <w:lvl w:ilvl="0" w:tplc="93AEDDC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2E693641"/>
    <w:multiLevelType w:val="multilevel"/>
    <w:tmpl w:val="3E5E177A"/>
    <w:name w:val="NTG Table Bullet List33"/>
    <w:numStyleLink w:val="Tablenumberlist"/>
  </w:abstractNum>
  <w:abstractNum w:abstractNumId="27" w15:restartNumberingAfterBreak="0">
    <w:nsid w:val="2EF077BC"/>
    <w:multiLevelType w:val="multilevel"/>
    <w:tmpl w:val="0C78A7AC"/>
    <w:name w:val="NTG Table Bullet List33222222222222222222"/>
    <w:numStyleLink w:val="Tablebulletlist"/>
  </w:abstractNum>
  <w:abstractNum w:abstractNumId="28" w15:restartNumberingAfterBreak="0">
    <w:nsid w:val="32DF44DA"/>
    <w:multiLevelType w:val="multilevel"/>
    <w:tmpl w:val="3E5E177A"/>
    <w:name w:val="NTG Table Bullet List3222323"/>
    <w:numStyleLink w:val="Tablenumberlist"/>
  </w:abstractNum>
  <w:abstractNum w:abstractNumId="29" w15:restartNumberingAfterBreak="0">
    <w:nsid w:val="33870229"/>
    <w:multiLevelType w:val="hybridMultilevel"/>
    <w:tmpl w:val="302ED0C6"/>
    <w:lvl w:ilvl="0" w:tplc="D2323F58">
      <w:start w:val="1"/>
      <w:numFmt w:val="lowerLetter"/>
      <w:lvlText w:val="(%1)"/>
      <w:lvlJc w:val="left"/>
      <w:pPr>
        <w:ind w:left="1080" w:hanging="360"/>
      </w:pPr>
      <w:rPr>
        <w:rFonts w:hint="default"/>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346E2B7E"/>
    <w:multiLevelType w:val="hybridMultilevel"/>
    <w:tmpl w:val="87761ACE"/>
    <w:lvl w:ilvl="0" w:tplc="A6B60B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5CC1A00"/>
    <w:multiLevelType w:val="hybridMultilevel"/>
    <w:tmpl w:val="7EB0825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66E52BA"/>
    <w:multiLevelType w:val="hybridMultilevel"/>
    <w:tmpl w:val="DAE6254C"/>
    <w:lvl w:ilvl="0" w:tplc="310A92C6">
      <w:start w:val="1"/>
      <w:numFmt w:val="lowerRoman"/>
      <w:lvlText w:val="(%1)"/>
      <w:lvlJc w:val="left"/>
      <w:pPr>
        <w:ind w:left="180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450487"/>
    <w:multiLevelType w:val="hybridMultilevel"/>
    <w:tmpl w:val="302ED0C6"/>
    <w:lvl w:ilvl="0" w:tplc="D2323F58">
      <w:start w:val="1"/>
      <w:numFmt w:val="lowerLetter"/>
      <w:lvlText w:val="(%1)"/>
      <w:lvlJc w:val="left"/>
      <w:pPr>
        <w:ind w:left="1080" w:hanging="360"/>
      </w:pPr>
      <w:rPr>
        <w:rFonts w:hint="default"/>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A2C65C7"/>
    <w:multiLevelType w:val="hybridMultilevel"/>
    <w:tmpl w:val="5D84F020"/>
    <w:lvl w:ilvl="0" w:tplc="93AEDDC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3B806000"/>
    <w:multiLevelType w:val="hybridMultilevel"/>
    <w:tmpl w:val="87761ACE"/>
    <w:lvl w:ilvl="0" w:tplc="A6B60B5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BE61945"/>
    <w:multiLevelType w:val="multilevel"/>
    <w:tmpl w:val="3928FD02"/>
    <w:name w:val="NTG Table Bullet List332222222222222222"/>
    <w:numStyleLink w:val="Bulletlist"/>
  </w:abstractNum>
  <w:abstractNum w:abstractNumId="39" w15:restartNumberingAfterBreak="0">
    <w:nsid w:val="406B1965"/>
    <w:multiLevelType w:val="hybridMultilevel"/>
    <w:tmpl w:val="5D84F020"/>
    <w:lvl w:ilvl="0" w:tplc="93AEDDC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442F0B5D"/>
    <w:multiLevelType w:val="hybridMultilevel"/>
    <w:tmpl w:val="DAE6254C"/>
    <w:lvl w:ilvl="0" w:tplc="310A92C6">
      <w:start w:val="1"/>
      <w:numFmt w:val="lowerRoman"/>
      <w:lvlText w:val="(%1)"/>
      <w:lvlJc w:val="left"/>
      <w:pPr>
        <w:ind w:left="180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9FD3A20"/>
    <w:multiLevelType w:val="multilevel"/>
    <w:tmpl w:val="3E5E177A"/>
    <w:name w:val="NTG Table Bullet List3322222222222"/>
    <w:numStyleLink w:val="Tablenumberlist"/>
  </w:abstractNum>
  <w:abstractNum w:abstractNumId="42" w15:restartNumberingAfterBreak="0">
    <w:nsid w:val="4A067CBB"/>
    <w:multiLevelType w:val="hybridMultilevel"/>
    <w:tmpl w:val="5D84F020"/>
    <w:lvl w:ilvl="0" w:tplc="93AEDDC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4DAE6451"/>
    <w:multiLevelType w:val="hybridMultilevel"/>
    <w:tmpl w:val="5D84F020"/>
    <w:lvl w:ilvl="0" w:tplc="93AEDDC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534D6FF1"/>
    <w:multiLevelType w:val="hybridMultilevel"/>
    <w:tmpl w:val="5D84F020"/>
    <w:lvl w:ilvl="0" w:tplc="93AEDDC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53842BC6"/>
    <w:multiLevelType w:val="multilevel"/>
    <w:tmpl w:val="0C78A7AC"/>
    <w:numStyleLink w:val="Tablebulletlist"/>
  </w:abstractNum>
  <w:abstractNum w:abstractNumId="48"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9" w15:restartNumberingAfterBreak="0">
    <w:nsid w:val="56C87ADC"/>
    <w:multiLevelType w:val="hybridMultilevel"/>
    <w:tmpl w:val="302ED0C6"/>
    <w:lvl w:ilvl="0" w:tplc="D2323F58">
      <w:start w:val="1"/>
      <w:numFmt w:val="lowerLetter"/>
      <w:lvlText w:val="(%1)"/>
      <w:lvlJc w:val="left"/>
      <w:pPr>
        <w:ind w:left="1080" w:hanging="360"/>
      </w:pPr>
      <w:rPr>
        <w:rFonts w:hint="default"/>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56DA2CAE"/>
    <w:multiLevelType w:val="multilevel"/>
    <w:tmpl w:val="3E5E177A"/>
    <w:name w:val="NTG Table Bullet List332222222222222"/>
    <w:numStyleLink w:val="Tablenumberlist"/>
  </w:abstractNum>
  <w:abstractNum w:abstractNumId="51" w15:restartNumberingAfterBreak="0">
    <w:nsid w:val="583359D9"/>
    <w:multiLevelType w:val="multilevel"/>
    <w:tmpl w:val="3E5E177A"/>
    <w:name w:val="NTG Table Bullet List332222222"/>
    <w:numStyleLink w:val="Tablenumberlist"/>
  </w:abstractNum>
  <w:abstractNum w:abstractNumId="52" w15:restartNumberingAfterBreak="0">
    <w:nsid w:val="5B9A5FFE"/>
    <w:multiLevelType w:val="multilevel"/>
    <w:tmpl w:val="0C78A7AC"/>
    <w:name w:val="NTG Table Bullet List33222222222222"/>
    <w:numStyleLink w:val="Tablebulletlist"/>
  </w:abstractNum>
  <w:abstractNum w:abstractNumId="53" w15:restartNumberingAfterBreak="0">
    <w:nsid w:val="5BEC267E"/>
    <w:multiLevelType w:val="hybridMultilevel"/>
    <w:tmpl w:val="302ED0C6"/>
    <w:lvl w:ilvl="0" w:tplc="D2323F58">
      <w:start w:val="1"/>
      <w:numFmt w:val="lowerLetter"/>
      <w:lvlText w:val="(%1)"/>
      <w:lvlJc w:val="left"/>
      <w:pPr>
        <w:ind w:left="1080" w:hanging="360"/>
      </w:pPr>
      <w:rPr>
        <w:rFonts w:hint="default"/>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5D444259"/>
    <w:multiLevelType w:val="multilevel"/>
    <w:tmpl w:val="0C78A7AC"/>
    <w:name w:val="NTG Table Bullet List332222"/>
    <w:numStyleLink w:val="Tablebulletlist"/>
  </w:abstractNum>
  <w:abstractNum w:abstractNumId="55" w15:restartNumberingAfterBreak="0">
    <w:nsid w:val="66F05E87"/>
    <w:multiLevelType w:val="hybridMultilevel"/>
    <w:tmpl w:val="87761ACE"/>
    <w:lvl w:ilvl="0" w:tplc="A6B60B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9262556"/>
    <w:multiLevelType w:val="multilevel"/>
    <w:tmpl w:val="3E5E177A"/>
    <w:name w:val="NTG Table Bullet List3322222222222222"/>
    <w:numStyleLink w:val="Tablenumberlist"/>
  </w:abstractNum>
  <w:abstractNum w:abstractNumId="57" w15:restartNumberingAfterBreak="0">
    <w:nsid w:val="6AE46E67"/>
    <w:multiLevelType w:val="hybridMultilevel"/>
    <w:tmpl w:val="5D84F020"/>
    <w:lvl w:ilvl="0" w:tplc="93AEDDC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15:restartNumberingAfterBreak="0">
    <w:nsid w:val="6EEA621E"/>
    <w:multiLevelType w:val="hybridMultilevel"/>
    <w:tmpl w:val="5D84F020"/>
    <w:lvl w:ilvl="0" w:tplc="93AEDDC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7453664D"/>
    <w:multiLevelType w:val="multilevel"/>
    <w:tmpl w:val="0C78A7AC"/>
    <w:name w:val="NTG Table Bullet List3322222222222222222"/>
    <w:numStyleLink w:val="Tablebulletlist"/>
  </w:abstractNum>
  <w:abstractNum w:abstractNumId="60" w15:restartNumberingAfterBreak="0">
    <w:nsid w:val="75C30D63"/>
    <w:multiLevelType w:val="hybridMultilevel"/>
    <w:tmpl w:val="87761ACE"/>
    <w:lvl w:ilvl="0" w:tplc="A6B60B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6141D1E"/>
    <w:multiLevelType w:val="multilevel"/>
    <w:tmpl w:val="0C78A7AC"/>
    <w:name w:val="NTG Table Bullet List332222222222"/>
    <w:numStyleLink w:val="Tablebulletlist"/>
  </w:abstractNum>
  <w:abstractNum w:abstractNumId="62" w15:restartNumberingAfterBreak="0">
    <w:nsid w:val="76974D07"/>
    <w:multiLevelType w:val="hybridMultilevel"/>
    <w:tmpl w:val="302ED0C6"/>
    <w:lvl w:ilvl="0" w:tplc="D2323F58">
      <w:start w:val="1"/>
      <w:numFmt w:val="lowerLetter"/>
      <w:lvlText w:val="(%1)"/>
      <w:lvlJc w:val="left"/>
      <w:pPr>
        <w:ind w:left="1080" w:hanging="360"/>
      </w:pPr>
      <w:rPr>
        <w:rFonts w:hint="default"/>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3" w15:restartNumberingAfterBreak="0">
    <w:nsid w:val="79CC6470"/>
    <w:multiLevelType w:val="multilevel"/>
    <w:tmpl w:val="CB32F200"/>
    <w:lvl w:ilvl="0">
      <w:start w:val="1"/>
      <w:numFmt w:val="decimal"/>
      <w:pStyle w:val="Heading1"/>
      <w:suff w:val="space"/>
      <w:lvlText w:val="%1."/>
      <w:lvlJc w:val="left"/>
      <w:pPr>
        <w:ind w:left="432" w:hanging="432"/>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64" w15:restartNumberingAfterBreak="0">
    <w:nsid w:val="79EB0C73"/>
    <w:multiLevelType w:val="hybridMultilevel"/>
    <w:tmpl w:val="87761ACE"/>
    <w:lvl w:ilvl="0" w:tplc="A6B60B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B4962C9"/>
    <w:multiLevelType w:val="hybridMultilevel"/>
    <w:tmpl w:val="5D84F020"/>
    <w:lvl w:ilvl="0" w:tplc="93AEDDC4">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7C5A6228"/>
    <w:multiLevelType w:val="hybridMultilevel"/>
    <w:tmpl w:val="DAE6254C"/>
    <w:lvl w:ilvl="0" w:tplc="310A92C6">
      <w:start w:val="1"/>
      <w:numFmt w:val="lowerRoman"/>
      <w:lvlText w:val="(%1)"/>
      <w:lvlJc w:val="left"/>
      <w:pPr>
        <w:ind w:left="180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C981A89"/>
    <w:multiLevelType w:val="hybridMultilevel"/>
    <w:tmpl w:val="302ED0C6"/>
    <w:lvl w:ilvl="0" w:tplc="D2323F58">
      <w:start w:val="1"/>
      <w:numFmt w:val="lowerLetter"/>
      <w:lvlText w:val="(%1)"/>
      <w:lvlJc w:val="left"/>
      <w:pPr>
        <w:ind w:left="1080" w:hanging="360"/>
      </w:pPr>
      <w:rPr>
        <w:rFonts w:hint="default"/>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8"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320378373">
    <w:abstractNumId w:val="33"/>
  </w:num>
  <w:num w:numId="2" w16cid:durableId="380134312">
    <w:abstractNumId w:val="17"/>
  </w:num>
  <w:num w:numId="3" w16cid:durableId="1737583896">
    <w:abstractNumId w:val="63"/>
  </w:num>
  <w:num w:numId="4" w16cid:durableId="580262724">
    <w:abstractNumId w:val="43"/>
  </w:num>
  <w:num w:numId="5" w16cid:durableId="699815364">
    <w:abstractNumId w:val="24"/>
  </w:num>
  <w:num w:numId="6" w16cid:durableId="1434323207">
    <w:abstractNumId w:val="11"/>
  </w:num>
  <w:num w:numId="7" w16cid:durableId="221332607">
    <w:abstractNumId w:val="47"/>
  </w:num>
  <w:num w:numId="8" w16cid:durableId="1230724845">
    <w:abstractNumId w:val="21"/>
  </w:num>
  <w:num w:numId="9" w16cid:durableId="438182997">
    <w:abstractNumId w:val="35"/>
  </w:num>
  <w:num w:numId="10" w16cid:durableId="996810184">
    <w:abstractNumId w:val="18"/>
  </w:num>
  <w:num w:numId="11" w16cid:durableId="745297906">
    <w:abstractNumId w:val="37"/>
  </w:num>
  <w:num w:numId="12" w16cid:durableId="820465679">
    <w:abstractNumId w:val="29"/>
  </w:num>
  <w:num w:numId="13" w16cid:durableId="525673682">
    <w:abstractNumId w:val="65"/>
  </w:num>
  <w:num w:numId="14" w16cid:durableId="438836261">
    <w:abstractNumId w:val="16"/>
  </w:num>
  <w:num w:numId="15" w16cid:durableId="2009365895">
    <w:abstractNumId w:val="25"/>
  </w:num>
  <w:num w:numId="16" w16cid:durableId="719599529">
    <w:abstractNumId w:val="42"/>
  </w:num>
  <w:num w:numId="17" w16cid:durableId="1728066510">
    <w:abstractNumId w:val="23"/>
  </w:num>
  <w:num w:numId="18" w16cid:durableId="432284411">
    <w:abstractNumId w:val="64"/>
  </w:num>
  <w:num w:numId="19" w16cid:durableId="1639996681">
    <w:abstractNumId w:val="45"/>
  </w:num>
  <w:num w:numId="20" w16cid:durableId="1860775408">
    <w:abstractNumId w:val="22"/>
  </w:num>
  <w:num w:numId="21" w16cid:durableId="537090000">
    <w:abstractNumId w:val="62"/>
  </w:num>
  <w:num w:numId="22" w16cid:durableId="320623638">
    <w:abstractNumId w:val="6"/>
  </w:num>
  <w:num w:numId="23" w16cid:durableId="1098981840">
    <w:abstractNumId w:val="39"/>
  </w:num>
  <w:num w:numId="24" w16cid:durableId="1651599126">
    <w:abstractNumId w:val="57"/>
  </w:num>
  <w:num w:numId="25" w16cid:durableId="137117267">
    <w:abstractNumId w:val="66"/>
  </w:num>
  <w:num w:numId="26" w16cid:durableId="826439111">
    <w:abstractNumId w:val="32"/>
  </w:num>
  <w:num w:numId="27" w16cid:durableId="720128374">
    <w:abstractNumId w:val="40"/>
  </w:num>
  <w:num w:numId="28" w16cid:durableId="771587811">
    <w:abstractNumId w:val="67"/>
  </w:num>
  <w:num w:numId="29" w16cid:durableId="1140029980">
    <w:abstractNumId w:val="0"/>
  </w:num>
  <w:num w:numId="30" w16cid:durableId="1736851822">
    <w:abstractNumId w:val="34"/>
  </w:num>
  <w:num w:numId="31" w16cid:durableId="1285694879">
    <w:abstractNumId w:val="7"/>
  </w:num>
  <w:num w:numId="32" w16cid:durableId="358505639">
    <w:abstractNumId w:val="53"/>
  </w:num>
  <w:num w:numId="33" w16cid:durableId="1801418295">
    <w:abstractNumId w:val="60"/>
  </w:num>
  <w:num w:numId="34" w16cid:durableId="2095203096">
    <w:abstractNumId w:val="2"/>
  </w:num>
  <w:num w:numId="35" w16cid:durableId="264385978">
    <w:abstractNumId w:val="49"/>
  </w:num>
  <w:num w:numId="36" w16cid:durableId="525221360">
    <w:abstractNumId w:val="55"/>
  </w:num>
  <w:num w:numId="37" w16cid:durableId="180046500">
    <w:abstractNumId w:val="14"/>
  </w:num>
  <w:num w:numId="38" w16cid:durableId="528958155">
    <w:abstractNumId w:val="46"/>
  </w:num>
  <w:num w:numId="39" w16cid:durableId="1630163561">
    <w:abstractNumId w:val="36"/>
  </w:num>
  <w:num w:numId="40" w16cid:durableId="2101946436">
    <w:abstractNumId w:val="58"/>
  </w:num>
  <w:num w:numId="41" w16cid:durableId="1370955934">
    <w:abstractNumId w:val="31"/>
  </w:num>
  <w:num w:numId="42" w16cid:durableId="208231536">
    <w:abstractNumId w:val="63"/>
  </w:num>
  <w:num w:numId="43" w16cid:durableId="1511213765">
    <w:abstractNumId w:val="63"/>
  </w:num>
  <w:num w:numId="44" w16cid:durableId="1858621726">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4D7"/>
    <w:rsid w:val="00001529"/>
    <w:rsid w:val="00001DDF"/>
    <w:rsid w:val="0000322D"/>
    <w:rsid w:val="00003ABF"/>
    <w:rsid w:val="00007670"/>
    <w:rsid w:val="00010665"/>
    <w:rsid w:val="00014838"/>
    <w:rsid w:val="000236B0"/>
    <w:rsid w:val="000238B4"/>
    <w:rsid w:val="0002393A"/>
    <w:rsid w:val="00027DB8"/>
    <w:rsid w:val="000307A7"/>
    <w:rsid w:val="00031A96"/>
    <w:rsid w:val="00033584"/>
    <w:rsid w:val="00034868"/>
    <w:rsid w:val="00040BF3"/>
    <w:rsid w:val="0004562E"/>
    <w:rsid w:val="00046C59"/>
    <w:rsid w:val="00050358"/>
    <w:rsid w:val="00051362"/>
    <w:rsid w:val="00051F45"/>
    <w:rsid w:val="00052953"/>
    <w:rsid w:val="0005341A"/>
    <w:rsid w:val="00056A40"/>
    <w:rsid w:val="00056DEF"/>
    <w:rsid w:val="000676C6"/>
    <w:rsid w:val="000720BE"/>
    <w:rsid w:val="0007259C"/>
    <w:rsid w:val="0007640F"/>
    <w:rsid w:val="00080202"/>
    <w:rsid w:val="00080DCD"/>
    <w:rsid w:val="00080E22"/>
    <w:rsid w:val="00082573"/>
    <w:rsid w:val="000840A3"/>
    <w:rsid w:val="00084191"/>
    <w:rsid w:val="00085062"/>
    <w:rsid w:val="00086A5F"/>
    <w:rsid w:val="00090D5C"/>
    <w:rsid w:val="000911EF"/>
    <w:rsid w:val="00091AE3"/>
    <w:rsid w:val="0009339C"/>
    <w:rsid w:val="000962C5"/>
    <w:rsid w:val="000A4317"/>
    <w:rsid w:val="000A559C"/>
    <w:rsid w:val="000B020B"/>
    <w:rsid w:val="000B27F0"/>
    <w:rsid w:val="000B280D"/>
    <w:rsid w:val="000B2CA1"/>
    <w:rsid w:val="000B6E48"/>
    <w:rsid w:val="000C621D"/>
    <w:rsid w:val="000D1F29"/>
    <w:rsid w:val="000D633D"/>
    <w:rsid w:val="000E0962"/>
    <w:rsid w:val="000E342B"/>
    <w:rsid w:val="000E38FB"/>
    <w:rsid w:val="000E5DD2"/>
    <w:rsid w:val="000F2958"/>
    <w:rsid w:val="000F4805"/>
    <w:rsid w:val="000F4B70"/>
    <w:rsid w:val="00104E7F"/>
    <w:rsid w:val="00111D55"/>
    <w:rsid w:val="001134DB"/>
    <w:rsid w:val="001137EC"/>
    <w:rsid w:val="00114024"/>
    <w:rsid w:val="001152F5"/>
    <w:rsid w:val="00117743"/>
    <w:rsid w:val="00117F5B"/>
    <w:rsid w:val="00126FC0"/>
    <w:rsid w:val="00132658"/>
    <w:rsid w:val="00132FB9"/>
    <w:rsid w:val="001346BB"/>
    <w:rsid w:val="00147DED"/>
    <w:rsid w:val="00150DC0"/>
    <w:rsid w:val="001513E9"/>
    <w:rsid w:val="0015281E"/>
    <w:rsid w:val="00156710"/>
    <w:rsid w:val="00156CD4"/>
    <w:rsid w:val="00161CC6"/>
    <w:rsid w:val="00164A3E"/>
    <w:rsid w:val="00166FF6"/>
    <w:rsid w:val="00172C77"/>
    <w:rsid w:val="0017470A"/>
    <w:rsid w:val="00176123"/>
    <w:rsid w:val="00181620"/>
    <w:rsid w:val="00186FF4"/>
    <w:rsid w:val="00194FD7"/>
    <w:rsid w:val="001957AD"/>
    <w:rsid w:val="001957E0"/>
    <w:rsid w:val="001A2B7F"/>
    <w:rsid w:val="001A3AFD"/>
    <w:rsid w:val="001A496C"/>
    <w:rsid w:val="001A6304"/>
    <w:rsid w:val="001B2B6C"/>
    <w:rsid w:val="001B2FB8"/>
    <w:rsid w:val="001B56A3"/>
    <w:rsid w:val="001D01C4"/>
    <w:rsid w:val="001D52B0"/>
    <w:rsid w:val="001D5A18"/>
    <w:rsid w:val="001D7CA4"/>
    <w:rsid w:val="001E057F"/>
    <w:rsid w:val="001E14EB"/>
    <w:rsid w:val="001E1D4D"/>
    <w:rsid w:val="001F0C00"/>
    <w:rsid w:val="001F5368"/>
    <w:rsid w:val="001F59E6"/>
    <w:rsid w:val="00202014"/>
    <w:rsid w:val="0020633E"/>
    <w:rsid w:val="00206936"/>
    <w:rsid w:val="00206C6F"/>
    <w:rsid w:val="00206FBD"/>
    <w:rsid w:val="00207746"/>
    <w:rsid w:val="00210D12"/>
    <w:rsid w:val="002123F7"/>
    <w:rsid w:val="00212788"/>
    <w:rsid w:val="00213FB6"/>
    <w:rsid w:val="002156BF"/>
    <w:rsid w:val="00221220"/>
    <w:rsid w:val="00225444"/>
    <w:rsid w:val="00226C6F"/>
    <w:rsid w:val="00230031"/>
    <w:rsid w:val="002327A7"/>
    <w:rsid w:val="00235C01"/>
    <w:rsid w:val="00236878"/>
    <w:rsid w:val="00240983"/>
    <w:rsid w:val="00247343"/>
    <w:rsid w:val="00247538"/>
    <w:rsid w:val="0025238A"/>
    <w:rsid w:val="00260CCC"/>
    <w:rsid w:val="00264C90"/>
    <w:rsid w:val="00265C56"/>
    <w:rsid w:val="00266557"/>
    <w:rsid w:val="002716CD"/>
    <w:rsid w:val="00272232"/>
    <w:rsid w:val="00274D4B"/>
    <w:rsid w:val="002806F5"/>
    <w:rsid w:val="00281577"/>
    <w:rsid w:val="002847B5"/>
    <w:rsid w:val="002926BC"/>
    <w:rsid w:val="0029308D"/>
    <w:rsid w:val="00293A72"/>
    <w:rsid w:val="00294B22"/>
    <w:rsid w:val="002A0160"/>
    <w:rsid w:val="002A30C3"/>
    <w:rsid w:val="002A6A58"/>
    <w:rsid w:val="002A6F6A"/>
    <w:rsid w:val="002A7712"/>
    <w:rsid w:val="002B38F7"/>
    <w:rsid w:val="002B4C0D"/>
    <w:rsid w:val="002B5591"/>
    <w:rsid w:val="002B6AA4"/>
    <w:rsid w:val="002C1FE9"/>
    <w:rsid w:val="002C4C1A"/>
    <w:rsid w:val="002C6C39"/>
    <w:rsid w:val="002D3A57"/>
    <w:rsid w:val="002D7994"/>
    <w:rsid w:val="002D7D05"/>
    <w:rsid w:val="002E20C8"/>
    <w:rsid w:val="002E4290"/>
    <w:rsid w:val="002E5B94"/>
    <w:rsid w:val="002E64D4"/>
    <w:rsid w:val="002E66A6"/>
    <w:rsid w:val="002F0DB1"/>
    <w:rsid w:val="002F219C"/>
    <w:rsid w:val="002F2885"/>
    <w:rsid w:val="002F3CF1"/>
    <w:rsid w:val="002F45A1"/>
    <w:rsid w:val="002F7D6F"/>
    <w:rsid w:val="003037F9"/>
    <w:rsid w:val="003044BE"/>
    <w:rsid w:val="0030583E"/>
    <w:rsid w:val="00307FE1"/>
    <w:rsid w:val="00313D85"/>
    <w:rsid w:val="003164BA"/>
    <w:rsid w:val="003177BC"/>
    <w:rsid w:val="003216EA"/>
    <w:rsid w:val="003223FE"/>
    <w:rsid w:val="003258E6"/>
    <w:rsid w:val="003314AA"/>
    <w:rsid w:val="00341AF8"/>
    <w:rsid w:val="00342283"/>
    <w:rsid w:val="00343A87"/>
    <w:rsid w:val="00343E75"/>
    <w:rsid w:val="00344975"/>
    <w:rsid w:val="00344A36"/>
    <w:rsid w:val="003456F4"/>
    <w:rsid w:val="00346D47"/>
    <w:rsid w:val="00347FB6"/>
    <w:rsid w:val="003504FD"/>
    <w:rsid w:val="00350881"/>
    <w:rsid w:val="00357D55"/>
    <w:rsid w:val="00363513"/>
    <w:rsid w:val="003657E5"/>
    <w:rsid w:val="0036589C"/>
    <w:rsid w:val="00371312"/>
    <w:rsid w:val="00371DC7"/>
    <w:rsid w:val="00373261"/>
    <w:rsid w:val="003765C6"/>
    <w:rsid w:val="00376BF0"/>
    <w:rsid w:val="00377B21"/>
    <w:rsid w:val="003854F6"/>
    <w:rsid w:val="00390CE3"/>
    <w:rsid w:val="00394876"/>
    <w:rsid w:val="00394AAF"/>
    <w:rsid w:val="00394CE5"/>
    <w:rsid w:val="003A5064"/>
    <w:rsid w:val="003A52E7"/>
    <w:rsid w:val="003A6341"/>
    <w:rsid w:val="003B173F"/>
    <w:rsid w:val="003B4E98"/>
    <w:rsid w:val="003B54E7"/>
    <w:rsid w:val="003B64FE"/>
    <w:rsid w:val="003B67FD"/>
    <w:rsid w:val="003B6A61"/>
    <w:rsid w:val="003C0999"/>
    <w:rsid w:val="003C1496"/>
    <w:rsid w:val="003C2813"/>
    <w:rsid w:val="003D3850"/>
    <w:rsid w:val="003D42C0"/>
    <w:rsid w:val="003D5B29"/>
    <w:rsid w:val="003D7818"/>
    <w:rsid w:val="003E2445"/>
    <w:rsid w:val="003E319B"/>
    <w:rsid w:val="003E3BB2"/>
    <w:rsid w:val="003F2A9A"/>
    <w:rsid w:val="003F5B58"/>
    <w:rsid w:val="0040222A"/>
    <w:rsid w:val="004047BC"/>
    <w:rsid w:val="004062E7"/>
    <w:rsid w:val="00406497"/>
    <w:rsid w:val="004100F7"/>
    <w:rsid w:val="00414CB3"/>
    <w:rsid w:val="0041563D"/>
    <w:rsid w:val="00417E19"/>
    <w:rsid w:val="004207B5"/>
    <w:rsid w:val="004208F0"/>
    <w:rsid w:val="00420CF5"/>
    <w:rsid w:val="00422874"/>
    <w:rsid w:val="00426445"/>
    <w:rsid w:val="00426E25"/>
    <w:rsid w:val="00427D9C"/>
    <w:rsid w:val="00427E7E"/>
    <w:rsid w:val="004305C6"/>
    <w:rsid w:val="00437738"/>
    <w:rsid w:val="00440AD4"/>
    <w:rsid w:val="004433AE"/>
    <w:rsid w:val="00443B6E"/>
    <w:rsid w:val="004521CB"/>
    <w:rsid w:val="0045420A"/>
    <w:rsid w:val="004554D4"/>
    <w:rsid w:val="00461744"/>
    <w:rsid w:val="00466185"/>
    <w:rsid w:val="004668A7"/>
    <w:rsid w:val="00466D96"/>
    <w:rsid w:val="00467747"/>
    <w:rsid w:val="00473C98"/>
    <w:rsid w:val="00474965"/>
    <w:rsid w:val="00482DF8"/>
    <w:rsid w:val="00484564"/>
    <w:rsid w:val="004855D0"/>
    <w:rsid w:val="00485BE4"/>
    <w:rsid w:val="004864DE"/>
    <w:rsid w:val="0049351F"/>
    <w:rsid w:val="00493F14"/>
    <w:rsid w:val="00494BE5"/>
    <w:rsid w:val="004966CB"/>
    <w:rsid w:val="00496BE5"/>
    <w:rsid w:val="004A0110"/>
    <w:rsid w:val="004A0EBA"/>
    <w:rsid w:val="004A2538"/>
    <w:rsid w:val="004B0C15"/>
    <w:rsid w:val="004B32CB"/>
    <w:rsid w:val="004B35EA"/>
    <w:rsid w:val="004B69E4"/>
    <w:rsid w:val="004B7373"/>
    <w:rsid w:val="004C1E01"/>
    <w:rsid w:val="004C2BF4"/>
    <w:rsid w:val="004C6C39"/>
    <w:rsid w:val="004D075F"/>
    <w:rsid w:val="004D1B76"/>
    <w:rsid w:val="004D344E"/>
    <w:rsid w:val="004E019E"/>
    <w:rsid w:val="004E06EC"/>
    <w:rsid w:val="004E0FD7"/>
    <w:rsid w:val="004E2CB7"/>
    <w:rsid w:val="004E31D1"/>
    <w:rsid w:val="004E523E"/>
    <w:rsid w:val="004E7110"/>
    <w:rsid w:val="004E7885"/>
    <w:rsid w:val="004F016A"/>
    <w:rsid w:val="004F21EF"/>
    <w:rsid w:val="004F2206"/>
    <w:rsid w:val="004F6EFA"/>
    <w:rsid w:val="00500F94"/>
    <w:rsid w:val="00502FB3"/>
    <w:rsid w:val="00503DE9"/>
    <w:rsid w:val="0050469D"/>
    <w:rsid w:val="0050530C"/>
    <w:rsid w:val="00505DEA"/>
    <w:rsid w:val="00507782"/>
    <w:rsid w:val="00511CB7"/>
    <w:rsid w:val="00512A04"/>
    <w:rsid w:val="005249F5"/>
    <w:rsid w:val="005260F7"/>
    <w:rsid w:val="0053618F"/>
    <w:rsid w:val="00536EB8"/>
    <w:rsid w:val="00537491"/>
    <w:rsid w:val="00543BD1"/>
    <w:rsid w:val="00545870"/>
    <w:rsid w:val="00546D7E"/>
    <w:rsid w:val="00556113"/>
    <w:rsid w:val="005561D6"/>
    <w:rsid w:val="00557DF5"/>
    <w:rsid w:val="00564C12"/>
    <w:rsid w:val="005654B8"/>
    <w:rsid w:val="0057102C"/>
    <w:rsid w:val="0057377F"/>
    <w:rsid w:val="005762CC"/>
    <w:rsid w:val="005823ED"/>
    <w:rsid w:val="00582D3D"/>
    <w:rsid w:val="00582F52"/>
    <w:rsid w:val="00583889"/>
    <w:rsid w:val="00585AB3"/>
    <w:rsid w:val="00595386"/>
    <w:rsid w:val="005953B0"/>
    <w:rsid w:val="005A2DD6"/>
    <w:rsid w:val="005A3179"/>
    <w:rsid w:val="005A3621"/>
    <w:rsid w:val="005A39DF"/>
    <w:rsid w:val="005A4AC0"/>
    <w:rsid w:val="005A5A44"/>
    <w:rsid w:val="005A5FDF"/>
    <w:rsid w:val="005B0FB7"/>
    <w:rsid w:val="005B122A"/>
    <w:rsid w:val="005B525D"/>
    <w:rsid w:val="005B56A7"/>
    <w:rsid w:val="005B5AC2"/>
    <w:rsid w:val="005C2581"/>
    <w:rsid w:val="005C2833"/>
    <w:rsid w:val="005C6A62"/>
    <w:rsid w:val="005D523F"/>
    <w:rsid w:val="005D71A3"/>
    <w:rsid w:val="005E144D"/>
    <w:rsid w:val="005E1500"/>
    <w:rsid w:val="005E3A43"/>
    <w:rsid w:val="005E51A4"/>
    <w:rsid w:val="005F3E62"/>
    <w:rsid w:val="005F5899"/>
    <w:rsid w:val="005F77C7"/>
    <w:rsid w:val="00607AF0"/>
    <w:rsid w:val="00611B1C"/>
    <w:rsid w:val="0061345E"/>
    <w:rsid w:val="00620675"/>
    <w:rsid w:val="00622910"/>
    <w:rsid w:val="00622E24"/>
    <w:rsid w:val="00641C5A"/>
    <w:rsid w:val="006421A8"/>
    <w:rsid w:val="006433C3"/>
    <w:rsid w:val="00647A30"/>
    <w:rsid w:val="00650F5B"/>
    <w:rsid w:val="006527F0"/>
    <w:rsid w:val="00652DC0"/>
    <w:rsid w:val="00660584"/>
    <w:rsid w:val="00660CCC"/>
    <w:rsid w:val="006668C7"/>
    <w:rsid w:val="00666BE5"/>
    <w:rsid w:val="006670D7"/>
    <w:rsid w:val="00667797"/>
    <w:rsid w:val="006719EA"/>
    <w:rsid w:val="00671F13"/>
    <w:rsid w:val="0067400A"/>
    <w:rsid w:val="006747E0"/>
    <w:rsid w:val="006847AD"/>
    <w:rsid w:val="0069114B"/>
    <w:rsid w:val="00693098"/>
    <w:rsid w:val="006A756A"/>
    <w:rsid w:val="006B14A2"/>
    <w:rsid w:val="006C396A"/>
    <w:rsid w:val="006D1ADA"/>
    <w:rsid w:val="006D31E0"/>
    <w:rsid w:val="006D66F7"/>
    <w:rsid w:val="006E0893"/>
    <w:rsid w:val="006E26E3"/>
    <w:rsid w:val="006E2EF5"/>
    <w:rsid w:val="006E3B5D"/>
    <w:rsid w:val="006E73FD"/>
    <w:rsid w:val="006F13C2"/>
    <w:rsid w:val="006F1E68"/>
    <w:rsid w:val="006F3C0F"/>
    <w:rsid w:val="00702D61"/>
    <w:rsid w:val="00705C9D"/>
    <w:rsid w:val="00705F13"/>
    <w:rsid w:val="0071268A"/>
    <w:rsid w:val="00714F1D"/>
    <w:rsid w:val="00715225"/>
    <w:rsid w:val="00717C37"/>
    <w:rsid w:val="00720CC6"/>
    <w:rsid w:val="00722DDB"/>
    <w:rsid w:val="00724728"/>
    <w:rsid w:val="00724F98"/>
    <w:rsid w:val="007268DA"/>
    <w:rsid w:val="00730B9B"/>
    <w:rsid w:val="0073182E"/>
    <w:rsid w:val="007332FF"/>
    <w:rsid w:val="007408F5"/>
    <w:rsid w:val="00741EAE"/>
    <w:rsid w:val="00750F38"/>
    <w:rsid w:val="007551E1"/>
    <w:rsid w:val="00755248"/>
    <w:rsid w:val="007557E0"/>
    <w:rsid w:val="0076190B"/>
    <w:rsid w:val="0076355D"/>
    <w:rsid w:val="00763A2D"/>
    <w:rsid w:val="00764346"/>
    <w:rsid w:val="0076647E"/>
    <w:rsid w:val="00767C4B"/>
    <w:rsid w:val="007761D8"/>
    <w:rsid w:val="00777795"/>
    <w:rsid w:val="00781E4C"/>
    <w:rsid w:val="00783A57"/>
    <w:rsid w:val="00784C92"/>
    <w:rsid w:val="007859CD"/>
    <w:rsid w:val="00786FA3"/>
    <w:rsid w:val="007907E4"/>
    <w:rsid w:val="00794191"/>
    <w:rsid w:val="00796461"/>
    <w:rsid w:val="00797696"/>
    <w:rsid w:val="007A660B"/>
    <w:rsid w:val="007A6A4F"/>
    <w:rsid w:val="007B03F5"/>
    <w:rsid w:val="007B59D3"/>
    <w:rsid w:val="007B5C09"/>
    <w:rsid w:val="007B5DA2"/>
    <w:rsid w:val="007C0319"/>
    <w:rsid w:val="007C0966"/>
    <w:rsid w:val="007C19E7"/>
    <w:rsid w:val="007C23B8"/>
    <w:rsid w:val="007C5CFD"/>
    <w:rsid w:val="007C6D9F"/>
    <w:rsid w:val="007D4893"/>
    <w:rsid w:val="007D7697"/>
    <w:rsid w:val="007D7AF9"/>
    <w:rsid w:val="007E282D"/>
    <w:rsid w:val="007E3EBE"/>
    <w:rsid w:val="007E70CF"/>
    <w:rsid w:val="007E74A4"/>
    <w:rsid w:val="007F263F"/>
    <w:rsid w:val="007F46EA"/>
    <w:rsid w:val="007F5579"/>
    <w:rsid w:val="008002E8"/>
    <w:rsid w:val="0080766E"/>
    <w:rsid w:val="008105BE"/>
    <w:rsid w:val="00811169"/>
    <w:rsid w:val="00815297"/>
    <w:rsid w:val="00817BA1"/>
    <w:rsid w:val="0082106B"/>
    <w:rsid w:val="00821D46"/>
    <w:rsid w:val="00823022"/>
    <w:rsid w:val="0082634E"/>
    <w:rsid w:val="008313C4"/>
    <w:rsid w:val="00831B43"/>
    <w:rsid w:val="00831BB6"/>
    <w:rsid w:val="00832B35"/>
    <w:rsid w:val="00835434"/>
    <w:rsid w:val="0083578C"/>
    <w:rsid w:val="008358C0"/>
    <w:rsid w:val="00837C22"/>
    <w:rsid w:val="00841CEF"/>
    <w:rsid w:val="00842838"/>
    <w:rsid w:val="008505C5"/>
    <w:rsid w:val="00852724"/>
    <w:rsid w:val="00853BEB"/>
    <w:rsid w:val="00854BE6"/>
    <w:rsid w:val="00854EC1"/>
    <w:rsid w:val="0085797F"/>
    <w:rsid w:val="00861DC3"/>
    <w:rsid w:val="00866929"/>
    <w:rsid w:val="00867019"/>
    <w:rsid w:val="00870916"/>
    <w:rsid w:val="008735A9"/>
    <w:rsid w:val="00874FB3"/>
    <w:rsid w:val="00875CC6"/>
    <w:rsid w:val="0087719C"/>
    <w:rsid w:val="00877D20"/>
    <w:rsid w:val="008815DD"/>
    <w:rsid w:val="00881C48"/>
    <w:rsid w:val="0088424A"/>
    <w:rsid w:val="00885590"/>
    <w:rsid w:val="00885B80"/>
    <w:rsid w:val="00885C30"/>
    <w:rsid w:val="00885E9B"/>
    <w:rsid w:val="008869CE"/>
    <w:rsid w:val="00886C9D"/>
    <w:rsid w:val="00890A78"/>
    <w:rsid w:val="00893C96"/>
    <w:rsid w:val="0089500A"/>
    <w:rsid w:val="00897C94"/>
    <w:rsid w:val="008A4499"/>
    <w:rsid w:val="008A51A3"/>
    <w:rsid w:val="008A6F6E"/>
    <w:rsid w:val="008A7C12"/>
    <w:rsid w:val="008B03CE"/>
    <w:rsid w:val="008B529E"/>
    <w:rsid w:val="008C0DD3"/>
    <w:rsid w:val="008C17FB"/>
    <w:rsid w:val="008D1B00"/>
    <w:rsid w:val="008D57B8"/>
    <w:rsid w:val="008E0345"/>
    <w:rsid w:val="008E03FC"/>
    <w:rsid w:val="008E3893"/>
    <w:rsid w:val="008E510B"/>
    <w:rsid w:val="008F24E3"/>
    <w:rsid w:val="008F6A17"/>
    <w:rsid w:val="00902B13"/>
    <w:rsid w:val="00911941"/>
    <w:rsid w:val="009138A0"/>
    <w:rsid w:val="00925F0F"/>
    <w:rsid w:val="00930C91"/>
    <w:rsid w:val="00932F6B"/>
    <w:rsid w:val="00936FFB"/>
    <w:rsid w:val="0093735D"/>
    <w:rsid w:val="00940050"/>
    <w:rsid w:val="009436FF"/>
    <w:rsid w:val="00943908"/>
    <w:rsid w:val="009468BC"/>
    <w:rsid w:val="00952727"/>
    <w:rsid w:val="00952BF8"/>
    <w:rsid w:val="009616DF"/>
    <w:rsid w:val="00964B22"/>
    <w:rsid w:val="0096542F"/>
    <w:rsid w:val="00966B57"/>
    <w:rsid w:val="00967A2A"/>
    <w:rsid w:val="00967FA7"/>
    <w:rsid w:val="00971645"/>
    <w:rsid w:val="0097409B"/>
    <w:rsid w:val="00975738"/>
    <w:rsid w:val="00977919"/>
    <w:rsid w:val="00983000"/>
    <w:rsid w:val="00984D9B"/>
    <w:rsid w:val="009863A2"/>
    <w:rsid w:val="009863AE"/>
    <w:rsid w:val="009870FA"/>
    <w:rsid w:val="00991212"/>
    <w:rsid w:val="009921C3"/>
    <w:rsid w:val="0099551D"/>
    <w:rsid w:val="009A2AF2"/>
    <w:rsid w:val="009A5897"/>
    <w:rsid w:val="009A5F24"/>
    <w:rsid w:val="009B0B3E"/>
    <w:rsid w:val="009B1913"/>
    <w:rsid w:val="009B4F56"/>
    <w:rsid w:val="009B6657"/>
    <w:rsid w:val="009B7C35"/>
    <w:rsid w:val="009C21F1"/>
    <w:rsid w:val="009D0BB6"/>
    <w:rsid w:val="009D0EB5"/>
    <w:rsid w:val="009D14F9"/>
    <w:rsid w:val="009D2B74"/>
    <w:rsid w:val="009D3ACC"/>
    <w:rsid w:val="009D578A"/>
    <w:rsid w:val="009D63FF"/>
    <w:rsid w:val="009D7FF0"/>
    <w:rsid w:val="009E175D"/>
    <w:rsid w:val="009E2315"/>
    <w:rsid w:val="009E3CC2"/>
    <w:rsid w:val="009F06BD"/>
    <w:rsid w:val="009F2A4D"/>
    <w:rsid w:val="009F3302"/>
    <w:rsid w:val="009F5366"/>
    <w:rsid w:val="009F7621"/>
    <w:rsid w:val="00A00828"/>
    <w:rsid w:val="00A03290"/>
    <w:rsid w:val="00A07490"/>
    <w:rsid w:val="00A10655"/>
    <w:rsid w:val="00A1197C"/>
    <w:rsid w:val="00A12B64"/>
    <w:rsid w:val="00A14854"/>
    <w:rsid w:val="00A15DB4"/>
    <w:rsid w:val="00A20C2F"/>
    <w:rsid w:val="00A22C38"/>
    <w:rsid w:val="00A23451"/>
    <w:rsid w:val="00A25193"/>
    <w:rsid w:val="00A26E80"/>
    <w:rsid w:val="00A30D19"/>
    <w:rsid w:val="00A31AE8"/>
    <w:rsid w:val="00A32EFF"/>
    <w:rsid w:val="00A34D81"/>
    <w:rsid w:val="00A3739D"/>
    <w:rsid w:val="00A37DDA"/>
    <w:rsid w:val="00A37ED8"/>
    <w:rsid w:val="00A40E46"/>
    <w:rsid w:val="00A50829"/>
    <w:rsid w:val="00A537A1"/>
    <w:rsid w:val="00A6328A"/>
    <w:rsid w:val="00A773AE"/>
    <w:rsid w:val="00A925EC"/>
    <w:rsid w:val="00A929AA"/>
    <w:rsid w:val="00A92B6B"/>
    <w:rsid w:val="00A93B0D"/>
    <w:rsid w:val="00A955A9"/>
    <w:rsid w:val="00AA14C2"/>
    <w:rsid w:val="00AA4C49"/>
    <w:rsid w:val="00AA541E"/>
    <w:rsid w:val="00AA5549"/>
    <w:rsid w:val="00AD0DA4"/>
    <w:rsid w:val="00AD134E"/>
    <w:rsid w:val="00AD1B26"/>
    <w:rsid w:val="00AD23F7"/>
    <w:rsid w:val="00AD2FA3"/>
    <w:rsid w:val="00AD3E91"/>
    <w:rsid w:val="00AD4169"/>
    <w:rsid w:val="00AD7557"/>
    <w:rsid w:val="00AE25C6"/>
    <w:rsid w:val="00AE306C"/>
    <w:rsid w:val="00AE47FB"/>
    <w:rsid w:val="00AE54B5"/>
    <w:rsid w:val="00AF18FF"/>
    <w:rsid w:val="00AF28C1"/>
    <w:rsid w:val="00B02EF1"/>
    <w:rsid w:val="00B070B3"/>
    <w:rsid w:val="00B07C97"/>
    <w:rsid w:val="00B07EA1"/>
    <w:rsid w:val="00B11C67"/>
    <w:rsid w:val="00B1519A"/>
    <w:rsid w:val="00B15754"/>
    <w:rsid w:val="00B15A27"/>
    <w:rsid w:val="00B2046E"/>
    <w:rsid w:val="00B20E8B"/>
    <w:rsid w:val="00B211EC"/>
    <w:rsid w:val="00B214AE"/>
    <w:rsid w:val="00B23669"/>
    <w:rsid w:val="00B257E1"/>
    <w:rsid w:val="00B2599A"/>
    <w:rsid w:val="00B27AC4"/>
    <w:rsid w:val="00B343CC"/>
    <w:rsid w:val="00B35144"/>
    <w:rsid w:val="00B40262"/>
    <w:rsid w:val="00B43622"/>
    <w:rsid w:val="00B436C6"/>
    <w:rsid w:val="00B43C75"/>
    <w:rsid w:val="00B50152"/>
    <w:rsid w:val="00B5084A"/>
    <w:rsid w:val="00B52DE9"/>
    <w:rsid w:val="00B606A1"/>
    <w:rsid w:val="00B614F7"/>
    <w:rsid w:val="00B61B26"/>
    <w:rsid w:val="00B61E4F"/>
    <w:rsid w:val="00B63FAF"/>
    <w:rsid w:val="00B65DDD"/>
    <w:rsid w:val="00B675B2"/>
    <w:rsid w:val="00B7264A"/>
    <w:rsid w:val="00B7630D"/>
    <w:rsid w:val="00B81261"/>
    <w:rsid w:val="00B8223E"/>
    <w:rsid w:val="00B832AE"/>
    <w:rsid w:val="00B86599"/>
    <w:rsid w:val="00B86678"/>
    <w:rsid w:val="00B86832"/>
    <w:rsid w:val="00B92F9B"/>
    <w:rsid w:val="00B941B3"/>
    <w:rsid w:val="00B96513"/>
    <w:rsid w:val="00BA1D47"/>
    <w:rsid w:val="00BA1F62"/>
    <w:rsid w:val="00BA4916"/>
    <w:rsid w:val="00BA66F0"/>
    <w:rsid w:val="00BB2239"/>
    <w:rsid w:val="00BB2AE7"/>
    <w:rsid w:val="00BB6464"/>
    <w:rsid w:val="00BC11BB"/>
    <w:rsid w:val="00BC1BB8"/>
    <w:rsid w:val="00BD0F38"/>
    <w:rsid w:val="00BD7FE1"/>
    <w:rsid w:val="00BE37CA"/>
    <w:rsid w:val="00BE4B2A"/>
    <w:rsid w:val="00BE6144"/>
    <w:rsid w:val="00BE635A"/>
    <w:rsid w:val="00BE7209"/>
    <w:rsid w:val="00BF17E9"/>
    <w:rsid w:val="00BF2ABB"/>
    <w:rsid w:val="00BF5099"/>
    <w:rsid w:val="00C004AF"/>
    <w:rsid w:val="00C0726B"/>
    <w:rsid w:val="00C10F10"/>
    <w:rsid w:val="00C15D4D"/>
    <w:rsid w:val="00C175DC"/>
    <w:rsid w:val="00C20974"/>
    <w:rsid w:val="00C20E86"/>
    <w:rsid w:val="00C30171"/>
    <w:rsid w:val="00C3087B"/>
    <w:rsid w:val="00C309D8"/>
    <w:rsid w:val="00C33998"/>
    <w:rsid w:val="00C422E3"/>
    <w:rsid w:val="00C434C6"/>
    <w:rsid w:val="00C43519"/>
    <w:rsid w:val="00C51537"/>
    <w:rsid w:val="00C52BC3"/>
    <w:rsid w:val="00C5584B"/>
    <w:rsid w:val="00C55B94"/>
    <w:rsid w:val="00C61AFA"/>
    <w:rsid w:val="00C61D64"/>
    <w:rsid w:val="00C62099"/>
    <w:rsid w:val="00C6264D"/>
    <w:rsid w:val="00C64EA3"/>
    <w:rsid w:val="00C67611"/>
    <w:rsid w:val="00C72867"/>
    <w:rsid w:val="00C75E81"/>
    <w:rsid w:val="00C75F52"/>
    <w:rsid w:val="00C80F46"/>
    <w:rsid w:val="00C81CCE"/>
    <w:rsid w:val="00C81D79"/>
    <w:rsid w:val="00C86609"/>
    <w:rsid w:val="00C92B4C"/>
    <w:rsid w:val="00C954F6"/>
    <w:rsid w:val="00C95D30"/>
    <w:rsid w:val="00CA6BC5"/>
    <w:rsid w:val="00CB3E57"/>
    <w:rsid w:val="00CB6BB2"/>
    <w:rsid w:val="00CB7FEE"/>
    <w:rsid w:val="00CC1CCA"/>
    <w:rsid w:val="00CC572A"/>
    <w:rsid w:val="00CC61CD"/>
    <w:rsid w:val="00CD1358"/>
    <w:rsid w:val="00CD1F8B"/>
    <w:rsid w:val="00CD43C9"/>
    <w:rsid w:val="00CD5011"/>
    <w:rsid w:val="00CD70CC"/>
    <w:rsid w:val="00CE0629"/>
    <w:rsid w:val="00CE640F"/>
    <w:rsid w:val="00CE76BC"/>
    <w:rsid w:val="00CF06D3"/>
    <w:rsid w:val="00CF2DFF"/>
    <w:rsid w:val="00CF540E"/>
    <w:rsid w:val="00D00096"/>
    <w:rsid w:val="00D02F07"/>
    <w:rsid w:val="00D078FF"/>
    <w:rsid w:val="00D1557B"/>
    <w:rsid w:val="00D2250B"/>
    <w:rsid w:val="00D23346"/>
    <w:rsid w:val="00D27EBE"/>
    <w:rsid w:val="00D341C5"/>
    <w:rsid w:val="00D3653A"/>
    <w:rsid w:val="00D36A49"/>
    <w:rsid w:val="00D47D07"/>
    <w:rsid w:val="00D51799"/>
    <w:rsid w:val="00D517C6"/>
    <w:rsid w:val="00D54EFC"/>
    <w:rsid w:val="00D62503"/>
    <w:rsid w:val="00D64806"/>
    <w:rsid w:val="00D71D84"/>
    <w:rsid w:val="00D72464"/>
    <w:rsid w:val="00D72F85"/>
    <w:rsid w:val="00D768EB"/>
    <w:rsid w:val="00D827B4"/>
    <w:rsid w:val="00D82D1E"/>
    <w:rsid w:val="00D832D9"/>
    <w:rsid w:val="00D84059"/>
    <w:rsid w:val="00D864D7"/>
    <w:rsid w:val="00D90C16"/>
    <w:rsid w:val="00D90F00"/>
    <w:rsid w:val="00D94F6B"/>
    <w:rsid w:val="00D975C0"/>
    <w:rsid w:val="00DA5285"/>
    <w:rsid w:val="00DB06D5"/>
    <w:rsid w:val="00DB191D"/>
    <w:rsid w:val="00DB28DC"/>
    <w:rsid w:val="00DB2FF0"/>
    <w:rsid w:val="00DB4F91"/>
    <w:rsid w:val="00DB5264"/>
    <w:rsid w:val="00DC1EF7"/>
    <w:rsid w:val="00DC1F0F"/>
    <w:rsid w:val="00DC3117"/>
    <w:rsid w:val="00DC5DD9"/>
    <w:rsid w:val="00DC6D2D"/>
    <w:rsid w:val="00DD64C2"/>
    <w:rsid w:val="00DE22D6"/>
    <w:rsid w:val="00DE33B5"/>
    <w:rsid w:val="00DE5B66"/>
    <w:rsid w:val="00DE5E18"/>
    <w:rsid w:val="00DE6E01"/>
    <w:rsid w:val="00DF0487"/>
    <w:rsid w:val="00DF5A69"/>
    <w:rsid w:val="00DF5EA4"/>
    <w:rsid w:val="00E01608"/>
    <w:rsid w:val="00E02681"/>
    <w:rsid w:val="00E02792"/>
    <w:rsid w:val="00E02990"/>
    <w:rsid w:val="00E034D8"/>
    <w:rsid w:val="00E04CC0"/>
    <w:rsid w:val="00E10ACD"/>
    <w:rsid w:val="00E12E80"/>
    <w:rsid w:val="00E14E6B"/>
    <w:rsid w:val="00E15816"/>
    <w:rsid w:val="00E160D5"/>
    <w:rsid w:val="00E16583"/>
    <w:rsid w:val="00E239FF"/>
    <w:rsid w:val="00E27D7B"/>
    <w:rsid w:val="00E30556"/>
    <w:rsid w:val="00E30981"/>
    <w:rsid w:val="00E33136"/>
    <w:rsid w:val="00E34D7C"/>
    <w:rsid w:val="00E36C7E"/>
    <w:rsid w:val="00E3723D"/>
    <w:rsid w:val="00E42664"/>
    <w:rsid w:val="00E44C89"/>
    <w:rsid w:val="00E45536"/>
    <w:rsid w:val="00E46FF2"/>
    <w:rsid w:val="00E5728A"/>
    <w:rsid w:val="00E61BA2"/>
    <w:rsid w:val="00E62635"/>
    <w:rsid w:val="00E63586"/>
    <w:rsid w:val="00E63864"/>
    <w:rsid w:val="00E6403F"/>
    <w:rsid w:val="00E64725"/>
    <w:rsid w:val="00E74762"/>
    <w:rsid w:val="00E75477"/>
    <w:rsid w:val="00E770C4"/>
    <w:rsid w:val="00E77ACA"/>
    <w:rsid w:val="00E84C5A"/>
    <w:rsid w:val="00E861DB"/>
    <w:rsid w:val="00E90FA2"/>
    <w:rsid w:val="00E92FCD"/>
    <w:rsid w:val="00E93406"/>
    <w:rsid w:val="00E956AB"/>
    <w:rsid w:val="00E956C5"/>
    <w:rsid w:val="00E95C39"/>
    <w:rsid w:val="00E96A38"/>
    <w:rsid w:val="00EA2C39"/>
    <w:rsid w:val="00EA2C43"/>
    <w:rsid w:val="00EB0A3C"/>
    <w:rsid w:val="00EB0A96"/>
    <w:rsid w:val="00EB3D43"/>
    <w:rsid w:val="00EB77F9"/>
    <w:rsid w:val="00EC0C17"/>
    <w:rsid w:val="00EC5769"/>
    <w:rsid w:val="00EC7D00"/>
    <w:rsid w:val="00ED0304"/>
    <w:rsid w:val="00ED087C"/>
    <w:rsid w:val="00ED2E46"/>
    <w:rsid w:val="00EE38FA"/>
    <w:rsid w:val="00EE3E2C"/>
    <w:rsid w:val="00EE466C"/>
    <w:rsid w:val="00EE5D23"/>
    <w:rsid w:val="00EE750D"/>
    <w:rsid w:val="00EF3CA4"/>
    <w:rsid w:val="00EF5E1F"/>
    <w:rsid w:val="00EF7859"/>
    <w:rsid w:val="00F014DA"/>
    <w:rsid w:val="00F02591"/>
    <w:rsid w:val="00F0484A"/>
    <w:rsid w:val="00F13212"/>
    <w:rsid w:val="00F13467"/>
    <w:rsid w:val="00F14273"/>
    <w:rsid w:val="00F15D8F"/>
    <w:rsid w:val="00F2286F"/>
    <w:rsid w:val="00F314E3"/>
    <w:rsid w:val="00F43193"/>
    <w:rsid w:val="00F479D5"/>
    <w:rsid w:val="00F503B4"/>
    <w:rsid w:val="00F51B53"/>
    <w:rsid w:val="00F531FE"/>
    <w:rsid w:val="00F5445C"/>
    <w:rsid w:val="00F5696E"/>
    <w:rsid w:val="00F60EFF"/>
    <w:rsid w:val="00F67D2D"/>
    <w:rsid w:val="00F70155"/>
    <w:rsid w:val="00F71A84"/>
    <w:rsid w:val="00F860CC"/>
    <w:rsid w:val="00F90858"/>
    <w:rsid w:val="00F90E94"/>
    <w:rsid w:val="00F9164D"/>
    <w:rsid w:val="00F94398"/>
    <w:rsid w:val="00FA0052"/>
    <w:rsid w:val="00FA228B"/>
    <w:rsid w:val="00FA2769"/>
    <w:rsid w:val="00FA4629"/>
    <w:rsid w:val="00FA64B4"/>
    <w:rsid w:val="00FA6B6D"/>
    <w:rsid w:val="00FB0A2D"/>
    <w:rsid w:val="00FB2B56"/>
    <w:rsid w:val="00FB4E3A"/>
    <w:rsid w:val="00FC0469"/>
    <w:rsid w:val="00FC123C"/>
    <w:rsid w:val="00FC12BF"/>
    <w:rsid w:val="00FC16A5"/>
    <w:rsid w:val="00FC17DE"/>
    <w:rsid w:val="00FC1A7C"/>
    <w:rsid w:val="00FC2C60"/>
    <w:rsid w:val="00FC3030"/>
    <w:rsid w:val="00FC64AB"/>
    <w:rsid w:val="00FC77DD"/>
    <w:rsid w:val="00FD0236"/>
    <w:rsid w:val="00FD3E6F"/>
    <w:rsid w:val="00FD51B9"/>
    <w:rsid w:val="00FE2A39"/>
    <w:rsid w:val="00FE2EF6"/>
    <w:rsid w:val="00FF1569"/>
    <w:rsid w:val="00FF2C97"/>
    <w:rsid w:val="00FF3573"/>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63C1B"/>
  <w15:docId w15:val="{D3017F9D-39B4-48E2-BC24-951C3949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84B"/>
    <w:rPr>
      <w:rFonts w:ascii="Lato" w:hAnsi="Lato"/>
    </w:rPr>
  </w:style>
  <w:style w:type="paragraph" w:styleId="Heading1">
    <w:name w:val="heading 1"/>
    <w:basedOn w:val="Normal"/>
    <w:next w:val="Normal"/>
    <w:link w:val="Heading1Char"/>
    <w:uiPriority w:val="2"/>
    <w:qFormat/>
    <w:rsid w:val="00BC11BB"/>
    <w:pPr>
      <w:keepNext/>
      <w:numPr>
        <w:numId w:val="3"/>
      </w:numPr>
      <w:spacing w:before="240"/>
      <w:ind w:left="431" w:hanging="431"/>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BC11BB"/>
    <w:pPr>
      <w:keepNext/>
      <w:numPr>
        <w:ilvl w:val="1"/>
        <w:numId w:val="3"/>
      </w:numPr>
      <w:spacing w:before="240"/>
      <w:ind w:left="578" w:hanging="578"/>
      <w:outlineLvl w:val="1"/>
    </w:pPr>
    <w:rPr>
      <w:rFonts w:asciiTheme="majorHAnsi" w:eastAsiaTheme="majorEastAsia" w:hAnsiTheme="majorHAnsi" w:cstheme="majorBidi"/>
      <w:bCs/>
      <w:iCs/>
      <w:color w:val="454347"/>
      <w:sz w:val="32"/>
      <w:szCs w:val="32"/>
    </w:rPr>
  </w:style>
  <w:style w:type="paragraph" w:styleId="Heading3">
    <w:name w:val="heading 3"/>
    <w:basedOn w:val="Normal"/>
    <w:next w:val="Normal"/>
    <w:link w:val="Heading3Char"/>
    <w:uiPriority w:val="2"/>
    <w:qFormat/>
    <w:rsid w:val="00E45536"/>
    <w:pPr>
      <w:numPr>
        <w:ilvl w:val="2"/>
        <w:numId w:val="3"/>
      </w:numPr>
      <w:spacing w:before="240"/>
      <w:outlineLvl w:val="2"/>
    </w:pPr>
    <w:rPr>
      <w:rFonts w:asciiTheme="majorHAnsi" w:hAnsiTheme="majorHAnsi" w:cs="Arial"/>
      <w:bCs/>
      <w:color w:val="1F1F5F" w:themeColor="text1"/>
      <w:sz w:val="28"/>
      <w:szCs w:val="28"/>
    </w:rPr>
  </w:style>
  <w:style w:type="paragraph" w:styleId="Heading4">
    <w:name w:val="heading 4"/>
    <w:basedOn w:val="Normal"/>
    <w:next w:val="Normal"/>
    <w:link w:val="Heading4Char"/>
    <w:uiPriority w:val="2"/>
    <w:qFormat/>
    <w:rsid w:val="00E45536"/>
    <w:pPr>
      <w:numPr>
        <w:ilvl w:val="3"/>
        <w:numId w:val="3"/>
      </w:numPr>
      <w:spacing w:before="240"/>
      <w:outlineLvl w:val="3"/>
    </w:pPr>
    <w:rPr>
      <w:rFonts w:asciiTheme="majorHAnsi" w:eastAsiaTheme="majorEastAsia" w:hAnsiTheme="majorHAnsi" w:cstheme="majorBidi"/>
      <w:bCs/>
      <w:iCs/>
      <w:color w:val="454347"/>
      <w:sz w:val="24"/>
    </w:rPr>
  </w:style>
  <w:style w:type="paragraph" w:styleId="Heading5">
    <w:name w:val="heading 5"/>
    <w:basedOn w:val="Normal"/>
    <w:next w:val="Normal"/>
    <w:link w:val="Heading5Char"/>
    <w:uiPriority w:val="2"/>
    <w:semiHidden/>
    <w:rsid w:val="00C5584B"/>
    <w:pPr>
      <w:numPr>
        <w:ilvl w:val="4"/>
        <w:numId w:val="3"/>
      </w:numPr>
      <w:ind w:left="1009" w:hanging="1009"/>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C5584B"/>
    <w:pPr>
      <w:numPr>
        <w:ilvl w:val="5"/>
        <w:numId w:val="3"/>
      </w:numPr>
      <w:ind w:left="1151" w:hanging="1151"/>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C5584B"/>
    <w:pPr>
      <w:numPr>
        <w:ilvl w:val="6"/>
        <w:numId w:val="3"/>
      </w:numPr>
      <w:ind w:left="1298" w:hanging="1298"/>
      <w:outlineLvl w:val="6"/>
    </w:pPr>
    <w:rPr>
      <w:rFonts w:asciiTheme="majorHAnsi" w:hAnsiTheme="majorHAnsi"/>
      <w:color w:val="1F1F5F" w:themeColor="text1"/>
      <w:lang w:eastAsia="en-AU"/>
    </w:rPr>
  </w:style>
  <w:style w:type="paragraph" w:styleId="Heading8">
    <w:name w:val="heading 8"/>
    <w:basedOn w:val="Normal"/>
    <w:next w:val="Normal"/>
    <w:link w:val="Heading8Char"/>
    <w:uiPriority w:val="2"/>
    <w:semiHidden/>
    <w:rsid w:val="00C5584B"/>
    <w:pPr>
      <w:numPr>
        <w:ilvl w:val="7"/>
        <w:numId w:val="3"/>
      </w:numPr>
      <w:outlineLvl w:val="7"/>
    </w:pPr>
    <w:rPr>
      <w:rFonts w:asciiTheme="majorHAnsi" w:hAnsiTheme="majorHAnsi"/>
      <w:color w:val="606060"/>
      <w:lang w:eastAsia="en-AU"/>
    </w:rPr>
  </w:style>
  <w:style w:type="paragraph" w:styleId="Heading9">
    <w:name w:val="heading 9"/>
    <w:basedOn w:val="Normal"/>
    <w:next w:val="Normal"/>
    <w:link w:val="Heading9Char"/>
    <w:uiPriority w:val="2"/>
    <w:semiHidden/>
    <w:rsid w:val="00C5584B"/>
    <w:pPr>
      <w:numPr>
        <w:ilvl w:val="8"/>
        <w:numId w:val="3"/>
      </w:numPr>
      <w:ind w:left="1582" w:hanging="1582"/>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BC11BB"/>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BC11BB"/>
    <w:rPr>
      <w:rFonts w:asciiTheme="majorHAnsi" w:eastAsiaTheme="majorEastAsia" w:hAnsiTheme="majorHAnsi" w:cstheme="majorBidi"/>
      <w:bCs/>
      <w:iCs/>
      <w:color w:val="454347"/>
      <w:sz w:val="32"/>
      <w:szCs w:val="32"/>
    </w:rPr>
  </w:style>
  <w:style w:type="paragraph" w:styleId="Title">
    <w:name w:val="Title"/>
    <w:basedOn w:val="Normal"/>
    <w:next w:val="Normal"/>
    <w:link w:val="TitleChar"/>
    <w:qFormat/>
    <w:rsid w:val="00F13212"/>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F13212"/>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E45536"/>
    <w:rPr>
      <w:rFonts w:asciiTheme="majorHAnsi" w:hAnsiTheme="majorHAnsi" w:cs="Arial"/>
      <w:bCs/>
      <w:color w:val="1F1F5F" w:themeColor="text1"/>
      <w:sz w:val="28"/>
      <w:szCs w:val="28"/>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FC16A5"/>
    <w:pPr>
      <w:tabs>
        <w:tab w:val="right" w:pos="10318"/>
      </w:tabs>
      <w:spacing w:after="240"/>
      <w:jc w:val="right"/>
    </w:pPr>
  </w:style>
  <w:style w:type="character" w:customStyle="1" w:styleId="HeaderChar">
    <w:name w:val="Header Char"/>
    <w:aliases w:val="Page header Char"/>
    <w:basedOn w:val="DefaultParagraphFont"/>
    <w:link w:val="Header"/>
    <w:uiPriority w:val="8"/>
    <w:rsid w:val="00FC16A5"/>
    <w:rPr>
      <w:rFonts w:ascii="Lato" w:hAnsi="Lato"/>
    </w:rPr>
  </w:style>
  <w:style w:type="paragraph" w:styleId="Footer">
    <w:name w:val="footer"/>
    <w:basedOn w:val="Normal"/>
    <w:link w:val="FooterChar"/>
    <w:uiPriority w:val="99"/>
    <w:unhideWhenUsed/>
    <w:rsid w:val="004E7885"/>
    <w:pPr>
      <w:tabs>
        <w:tab w:val="center" w:pos="4513"/>
        <w:tab w:val="right" w:pos="9026"/>
      </w:tabs>
      <w:spacing w:after="0"/>
    </w:pPr>
  </w:style>
  <w:style w:type="character" w:customStyle="1" w:styleId="FooterChar">
    <w:name w:val="Footer Char"/>
    <w:basedOn w:val="DefaultParagraphFont"/>
    <w:link w:val="Footer"/>
    <w:uiPriority w:val="99"/>
    <w:rsid w:val="004E7885"/>
    <w:rPr>
      <w:rFonts w:ascii="Lato" w:hAnsi="Lato"/>
    </w:rPr>
  </w:style>
  <w:style w:type="paragraph" w:customStyle="1" w:styleId="Subtitle0">
    <w:name w:val="Sub title"/>
    <w:basedOn w:val="Normal"/>
    <w:uiPriority w:val="1"/>
    <w:qFormat/>
    <w:rsid w:val="00E77ACA"/>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E45536"/>
    <w:rPr>
      <w:rFonts w:asciiTheme="majorHAnsi" w:eastAsiaTheme="majorEastAsia" w:hAnsiTheme="majorHAnsi" w:cstheme="majorBidi"/>
      <w:bCs/>
      <w:iCs/>
      <w:color w:val="454347"/>
      <w:sz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aliases w:val="List Paragraph1,List Paragraph11,Bullet point,bullet point list,Bulleted Para,NFP GP Bulleted List,FooterText,numbered,Paragraphe de liste1,Bulletr List Paragraph,列出段落,列出段落1,List Paragraph2,List Paragraph21,Listeafsnit1,List Paragraph111"/>
    <w:basedOn w:val="BlockText"/>
    <w:link w:val="ListParagraphChar"/>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C5584B"/>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C5584B"/>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C5584B"/>
    <w:rPr>
      <w:rFonts w:asciiTheme="majorHAnsi" w:hAnsiTheme="majorHAnsi"/>
      <w:color w:val="1F1F5F" w:themeColor="text1"/>
      <w:lang w:eastAsia="en-AU"/>
    </w:rPr>
  </w:style>
  <w:style w:type="character" w:customStyle="1" w:styleId="Heading8Char">
    <w:name w:val="Heading 8 Char"/>
    <w:basedOn w:val="DefaultParagraphFont"/>
    <w:link w:val="Heading8"/>
    <w:uiPriority w:val="2"/>
    <w:semiHidden/>
    <w:rsid w:val="00C5584B"/>
    <w:rPr>
      <w:rFonts w:asciiTheme="majorHAnsi" w:hAnsiTheme="majorHAnsi"/>
      <w:color w:val="606060"/>
      <w:lang w:eastAsia="en-AU"/>
    </w:rPr>
  </w:style>
  <w:style w:type="character" w:customStyle="1" w:styleId="Heading9Char">
    <w:name w:val="Heading 9 Char"/>
    <w:basedOn w:val="DefaultParagraphFont"/>
    <w:link w:val="Heading9"/>
    <w:uiPriority w:val="2"/>
    <w:semiHidden/>
    <w:rsid w:val="00C5584B"/>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8"/>
    <w:rsid w:val="00AD7557"/>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0B280D"/>
    <w:pPr>
      <w:spacing w:before="40" w:after="40"/>
    </w:pPr>
    <w:rPr>
      <w:rFonts w:ascii="Lato" w:hAnsi="Lato"/>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color w:val="FFFFFF" w:themeColor="background1"/>
        <w:sz w:val="22"/>
      </w:rPr>
      <w:tblPr/>
      <w:tcPr>
        <w:shd w:val="clear" w:color="auto" w:fill="1F1F5F" w:themeFill="text1"/>
      </w:tcPr>
    </w:tblStylePr>
    <w:tblStylePr w:type="lastRow">
      <w:rPr>
        <w:b/>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sz w:val="22"/>
      </w:rPr>
    </w:tblStylePr>
    <w:tblStylePr w:type="lastCol">
      <w:rPr>
        <w:sz w:val="22"/>
      </w:rPr>
    </w:tblStylePr>
    <w:tblStylePr w:type="band1Vert">
      <w:rPr>
        <w:rFonts w:ascii="Lato" w:hAnsi="Lato"/>
        <w:sz w:val="22"/>
      </w:rPr>
    </w:tblStylePr>
    <w:tblStylePr w:type="band2Vert">
      <w:rPr>
        <w:rFonts w:ascii="Lato" w:hAnsi="Lato"/>
        <w:sz w:val="22"/>
      </w:rPr>
    </w:tblStylePr>
    <w:tblStylePr w:type="band1Horz">
      <w:rPr>
        <w:rFonts w:ascii="Lato" w:hAnsi="Lato"/>
        <w:sz w:val="22"/>
      </w:rPr>
    </w:tblStylePr>
    <w:tblStylePr w:type="band2Horz">
      <w:rPr>
        <w:rFonts w:ascii="Lato" w:hAnsi="Lato"/>
        <w:sz w:val="22"/>
      </w:rPr>
      <w:tblPr/>
      <w:tcPr>
        <w:shd w:val="clear" w:color="auto" w:fill="D9D9D9" w:themeFill="background1" w:themeFillShade="D9"/>
      </w:tcPr>
    </w:tblStylePr>
    <w:tblStylePr w:type="neCell">
      <w:rPr>
        <w:sz w:val="22"/>
      </w:rPr>
    </w:tblStylePr>
    <w:tblStylePr w:type="nwCell">
      <w:rPr>
        <w:sz w:val="22"/>
      </w:rPr>
    </w:tblStylePr>
    <w:tblStylePr w:type="seCell">
      <w:rPr>
        <w:sz w:val="22"/>
      </w:rPr>
    </w:tblStylePr>
    <w:tblStylePr w:type="swCell">
      <w:rPr>
        <w:sz w:val="22"/>
      </w:rPr>
    </w:tblStylePr>
  </w:style>
  <w:style w:type="paragraph" w:styleId="FootnoteText">
    <w:name w:val="footnote text"/>
    <w:basedOn w:val="Normal"/>
    <w:link w:val="FootnoteTextChar"/>
    <w:uiPriority w:val="99"/>
    <w:semiHidden/>
    <w:unhideWhenUsed/>
    <w:rsid w:val="000B6E48"/>
    <w:pPr>
      <w:spacing w:after="0"/>
    </w:pPr>
    <w:rPr>
      <w:sz w:val="20"/>
      <w:szCs w:val="20"/>
    </w:rPr>
  </w:style>
  <w:style w:type="character" w:customStyle="1" w:styleId="FootnoteTextChar">
    <w:name w:val="Footnote Text Char"/>
    <w:basedOn w:val="DefaultParagraphFont"/>
    <w:link w:val="FootnoteText"/>
    <w:uiPriority w:val="99"/>
    <w:semiHidden/>
    <w:rsid w:val="000B6E48"/>
    <w:rPr>
      <w:rFonts w:ascii="Lato" w:hAnsi="Lato"/>
      <w:sz w:val="20"/>
      <w:szCs w:val="20"/>
    </w:rPr>
  </w:style>
  <w:style w:type="character" w:styleId="FootnoteReference">
    <w:name w:val="footnote reference"/>
    <w:basedOn w:val="DefaultParagraphFont"/>
    <w:uiPriority w:val="99"/>
    <w:semiHidden/>
    <w:unhideWhenUsed/>
    <w:rsid w:val="000B6E48"/>
    <w:rPr>
      <w:vertAlign w:val="superscript"/>
    </w:rPr>
  </w:style>
  <w:style w:type="paragraph" w:styleId="EndnoteText">
    <w:name w:val="endnote text"/>
    <w:basedOn w:val="Normal"/>
    <w:link w:val="EndnoteTextChar"/>
    <w:uiPriority w:val="99"/>
    <w:semiHidden/>
    <w:unhideWhenUsed/>
    <w:rsid w:val="00797696"/>
    <w:pPr>
      <w:spacing w:after="0"/>
    </w:pPr>
    <w:rPr>
      <w:sz w:val="20"/>
      <w:szCs w:val="20"/>
    </w:rPr>
  </w:style>
  <w:style w:type="character" w:customStyle="1" w:styleId="EndnoteTextChar">
    <w:name w:val="Endnote Text Char"/>
    <w:basedOn w:val="DefaultParagraphFont"/>
    <w:link w:val="EndnoteText"/>
    <w:uiPriority w:val="99"/>
    <w:semiHidden/>
    <w:rsid w:val="00797696"/>
    <w:rPr>
      <w:rFonts w:ascii="Lato" w:hAnsi="Lato"/>
      <w:sz w:val="20"/>
      <w:szCs w:val="20"/>
    </w:rPr>
  </w:style>
  <w:style w:type="character" w:styleId="EndnoteReference">
    <w:name w:val="endnote reference"/>
    <w:basedOn w:val="DefaultParagraphFont"/>
    <w:uiPriority w:val="99"/>
    <w:semiHidden/>
    <w:unhideWhenUsed/>
    <w:rsid w:val="00797696"/>
    <w:rPr>
      <w:vertAlign w:val="superscript"/>
    </w:rPr>
  </w:style>
  <w:style w:type="character" w:customStyle="1" w:styleId="ListParagraphChar">
    <w:name w:val="List Paragraph Char"/>
    <w:aliases w:val="List Paragraph1 Char,List Paragraph11 Char,Bullet point Char,bullet point list Char,Bulleted Para Char,NFP GP Bulleted List Char,FooterText Char,numbered Char,Paragraphe de liste1 Char,Bulletr List Paragraph Char,列出段落 Char,列出段落1 Char"/>
    <w:basedOn w:val="DefaultParagraphFont"/>
    <w:link w:val="ListParagraph"/>
    <w:uiPriority w:val="34"/>
    <w:qFormat/>
    <w:locked/>
    <w:rsid w:val="007268DA"/>
    <w:rPr>
      <w:rFonts w:ascii="Lato" w:eastAsiaTheme="minorEastAsia" w:hAnsi="Lato"/>
      <w:iCs/>
    </w:rPr>
  </w:style>
  <w:style w:type="paragraph" w:customStyle="1" w:styleId="NewSectionHeading">
    <w:name w:val="New Section Heading"/>
    <w:basedOn w:val="Normal"/>
    <w:next w:val="Sectiontext"/>
    <w:link w:val="NewSectionHeadingChar"/>
    <w:rsid w:val="002D7994"/>
    <w:pPr>
      <w:keepNext/>
      <w:keepLines/>
      <w:widowControl w:val="0"/>
      <w:spacing w:after="240"/>
      <w:ind w:left="1100" w:hanging="1100"/>
      <w:outlineLvl w:val="4"/>
    </w:pPr>
    <w:rPr>
      <w:rFonts w:ascii="Helvetica" w:eastAsia="Times New Roman" w:hAnsi="Helvetica"/>
      <w:b/>
      <w:sz w:val="24"/>
      <w:szCs w:val="24"/>
      <w:lang w:eastAsia="en-AU"/>
    </w:rPr>
  </w:style>
  <w:style w:type="character" w:customStyle="1" w:styleId="SectiontextChar">
    <w:name w:val="Section text Char"/>
    <w:link w:val="Sectiontext"/>
    <w:rsid w:val="002D7994"/>
    <w:rPr>
      <w:rFonts w:ascii="Helvetica" w:hAnsi="Helvetica"/>
      <w:sz w:val="24"/>
      <w:szCs w:val="24"/>
    </w:rPr>
  </w:style>
  <w:style w:type="paragraph" w:customStyle="1" w:styleId="Subsection">
    <w:name w:val="Subsection"/>
    <w:basedOn w:val="Sectiontext"/>
    <w:link w:val="SubsectionChar"/>
    <w:rsid w:val="002D7994"/>
    <w:pPr>
      <w:tabs>
        <w:tab w:val="right" w:pos="902"/>
      </w:tabs>
      <w:ind w:hanging="1100"/>
    </w:pPr>
  </w:style>
  <w:style w:type="paragraph" w:customStyle="1" w:styleId="Paragraph">
    <w:name w:val="Paragraph"/>
    <w:basedOn w:val="Normal"/>
    <w:link w:val="ParagraphChar"/>
    <w:rsid w:val="002D7994"/>
    <w:pPr>
      <w:widowControl w:val="0"/>
      <w:spacing w:after="240"/>
      <w:ind w:left="1667" w:hanging="567"/>
      <w:jc w:val="both"/>
    </w:pPr>
    <w:rPr>
      <w:rFonts w:ascii="Helvetica" w:eastAsia="Times New Roman" w:hAnsi="Helvetica"/>
      <w:sz w:val="24"/>
      <w:szCs w:val="24"/>
      <w:lang w:eastAsia="en-AU"/>
    </w:rPr>
  </w:style>
  <w:style w:type="character" w:customStyle="1" w:styleId="SubsectionChar">
    <w:name w:val="Subsection Char"/>
    <w:link w:val="Subsection"/>
    <w:locked/>
    <w:rsid w:val="002D7994"/>
    <w:rPr>
      <w:rFonts w:ascii="Helvetica" w:hAnsi="Helvetica"/>
      <w:sz w:val="24"/>
      <w:szCs w:val="24"/>
    </w:rPr>
  </w:style>
  <w:style w:type="character" w:customStyle="1" w:styleId="ParagraphChar">
    <w:name w:val="Paragraph Char"/>
    <w:link w:val="Paragraph"/>
    <w:locked/>
    <w:rsid w:val="002D7994"/>
    <w:rPr>
      <w:rFonts w:ascii="Helvetica" w:eastAsia="Times New Roman" w:hAnsi="Helvetica"/>
      <w:sz w:val="24"/>
      <w:szCs w:val="24"/>
      <w:lang w:eastAsia="en-AU"/>
    </w:rPr>
  </w:style>
  <w:style w:type="character" w:customStyle="1" w:styleId="NewSectionHeadingChar">
    <w:name w:val="New Section Heading Char"/>
    <w:link w:val="NewSectionHeading"/>
    <w:rsid w:val="002D7994"/>
    <w:rPr>
      <w:rFonts w:ascii="Helvetica" w:eastAsia="Times New Roman" w:hAnsi="Helvetica"/>
      <w:b/>
      <w:sz w:val="24"/>
      <w:szCs w:val="24"/>
      <w:lang w:eastAsia="en-AU"/>
    </w:rPr>
  </w:style>
  <w:style w:type="paragraph" w:customStyle="1" w:styleId="Example">
    <w:name w:val="Example"/>
    <w:basedOn w:val="Normal"/>
    <w:rsid w:val="002D7994"/>
    <w:pPr>
      <w:widowControl w:val="0"/>
      <w:spacing w:after="120"/>
      <w:ind w:left="1100"/>
      <w:jc w:val="both"/>
    </w:pPr>
    <w:rPr>
      <w:rFonts w:ascii="Helvetica" w:eastAsia="Times New Roman" w:hAnsi="Helvetica"/>
      <w:i/>
      <w:sz w:val="20"/>
      <w:szCs w:val="24"/>
      <w:lang w:eastAsia="en-AU"/>
    </w:rPr>
  </w:style>
  <w:style w:type="paragraph" w:customStyle="1" w:styleId="Sectiontext">
    <w:name w:val="Section text"/>
    <w:basedOn w:val="Normal"/>
    <w:link w:val="SectiontextChar"/>
    <w:rsid w:val="002D7994"/>
    <w:pPr>
      <w:widowControl w:val="0"/>
      <w:spacing w:after="240"/>
      <w:ind w:left="1100"/>
      <w:jc w:val="both"/>
    </w:pPr>
    <w:rPr>
      <w:rFonts w:ascii="Helvetica" w:hAnsi="Helvetica"/>
      <w:sz w:val="24"/>
      <w:szCs w:val="24"/>
    </w:rPr>
  </w:style>
  <w:style w:type="character" w:styleId="CommentReference">
    <w:name w:val="annotation reference"/>
    <w:basedOn w:val="DefaultParagraphFont"/>
    <w:uiPriority w:val="99"/>
    <w:semiHidden/>
    <w:unhideWhenUsed/>
    <w:rsid w:val="008A6F6E"/>
    <w:rPr>
      <w:sz w:val="16"/>
      <w:szCs w:val="16"/>
    </w:rPr>
  </w:style>
  <w:style w:type="paragraph" w:styleId="CommentText">
    <w:name w:val="annotation text"/>
    <w:basedOn w:val="Normal"/>
    <w:link w:val="CommentTextChar"/>
    <w:uiPriority w:val="99"/>
    <w:unhideWhenUsed/>
    <w:rsid w:val="008A6F6E"/>
    <w:rPr>
      <w:sz w:val="20"/>
      <w:szCs w:val="20"/>
    </w:rPr>
  </w:style>
  <w:style w:type="character" w:customStyle="1" w:styleId="CommentTextChar">
    <w:name w:val="Comment Text Char"/>
    <w:basedOn w:val="DefaultParagraphFont"/>
    <w:link w:val="CommentText"/>
    <w:uiPriority w:val="99"/>
    <w:rsid w:val="008A6F6E"/>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8A6F6E"/>
    <w:rPr>
      <w:b/>
      <w:bCs/>
    </w:rPr>
  </w:style>
  <w:style w:type="character" w:customStyle="1" w:styleId="CommentSubjectChar">
    <w:name w:val="Comment Subject Char"/>
    <w:basedOn w:val="CommentTextChar"/>
    <w:link w:val="CommentSubject"/>
    <w:uiPriority w:val="99"/>
    <w:semiHidden/>
    <w:rsid w:val="008A6F6E"/>
    <w:rPr>
      <w:rFonts w:ascii="Lato" w:hAnsi="Lato"/>
      <w:b/>
      <w:bCs/>
      <w:sz w:val="20"/>
      <w:szCs w:val="20"/>
    </w:rPr>
  </w:style>
  <w:style w:type="paragraph" w:styleId="BalloonText">
    <w:name w:val="Balloon Text"/>
    <w:basedOn w:val="Normal"/>
    <w:link w:val="BalloonTextChar"/>
    <w:uiPriority w:val="99"/>
    <w:semiHidden/>
    <w:unhideWhenUsed/>
    <w:rsid w:val="008A6F6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F6E"/>
    <w:rPr>
      <w:rFonts w:ascii="Segoe UI" w:hAnsi="Segoe UI" w:cs="Segoe UI"/>
      <w:sz w:val="18"/>
      <w:szCs w:val="18"/>
    </w:rPr>
  </w:style>
  <w:style w:type="paragraph" w:customStyle="1" w:styleId="Default">
    <w:name w:val="Default"/>
    <w:rsid w:val="003314AA"/>
    <w:pPr>
      <w:autoSpaceDE w:val="0"/>
      <w:autoSpaceDN w:val="0"/>
      <w:adjustRightInd w:val="0"/>
      <w:spacing w:after="0"/>
    </w:pPr>
    <w:rPr>
      <w:rFonts w:ascii="HelveticaNeueLT Pro 45 Lt" w:hAnsi="HelveticaNeueLT Pro 45 Lt" w:cs="HelveticaNeueLT Pro 45 Lt"/>
      <w:color w:val="000000"/>
      <w:sz w:val="24"/>
      <w:szCs w:val="24"/>
    </w:rPr>
  </w:style>
  <w:style w:type="character" w:styleId="FollowedHyperlink">
    <w:name w:val="FollowedHyperlink"/>
    <w:basedOn w:val="DefaultParagraphFont"/>
    <w:uiPriority w:val="99"/>
    <w:semiHidden/>
    <w:unhideWhenUsed/>
    <w:rsid w:val="00D341C5"/>
    <w:rPr>
      <w:color w:val="8C4799" w:themeColor="followedHyperlink"/>
      <w:u w:val="single"/>
    </w:rPr>
  </w:style>
  <w:style w:type="paragraph" w:styleId="Revision">
    <w:name w:val="Revision"/>
    <w:hidden/>
    <w:uiPriority w:val="99"/>
    <w:semiHidden/>
    <w:rsid w:val="00F503B4"/>
    <w:pPr>
      <w:spacing w:after="0"/>
    </w:pPr>
    <w:rPr>
      <w:rFonts w:ascii="Lato" w:hAnsi="Lato"/>
    </w:rPr>
  </w:style>
  <w:style w:type="character" w:customStyle="1" w:styleId="UnresolvedMention1">
    <w:name w:val="Unresolved Mention1"/>
    <w:basedOn w:val="DefaultParagraphFont"/>
    <w:uiPriority w:val="99"/>
    <w:semiHidden/>
    <w:unhideWhenUsed/>
    <w:rsid w:val="009D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64549245">
      <w:bodyDiv w:val="1"/>
      <w:marLeft w:val="0"/>
      <w:marRight w:val="0"/>
      <w:marTop w:val="0"/>
      <w:marBottom w:val="0"/>
      <w:divBdr>
        <w:top w:val="none" w:sz="0" w:space="0" w:color="auto"/>
        <w:left w:val="none" w:sz="0" w:space="0" w:color="auto"/>
        <w:bottom w:val="none" w:sz="0" w:space="0" w:color="auto"/>
        <w:right w:val="none" w:sz="0" w:space="0" w:color="auto"/>
      </w:divBdr>
    </w:div>
    <w:div w:id="932323508">
      <w:bodyDiv w:val="1"/>
      <w:marLeft w:val="0"/>
      <w:marRight w:val="0"/>
      <w:marTop w:val="0"/>
      <w:marBottom w:val="0"/>
      <w:divBdr>
        <w:top w:val="none" w:sz="0" w:space="0" w:color="auto"/>
        <w:left w:val="none" w:sz="0" w:space="0" w:color="auto"/>
        <w:bottom w:val="none" w:sz="0" w:space="0" w:color="auto"/>
        <w:right w:val="none" w:sz="0" w:space="0" w:color="auto"/>
      </w:divBdr>
    </w:div>
    <w:div w:id="1578400264">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2112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nt.gov.au/industry/energy/petroleum-operations/recover-petroleum-for-appraisal-purposes" TargetMode="Externa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mailto:royaltiesandassurance.dtf@nt.gov.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s://nt.gov.au/__data/assets/pdf_file/0017/1202318/local-benefit-report-guide.pdf"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npi.officer@nt.gov.a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nt.gov.au/industry/energy/petroleum-operations/recover-petroleum-for-appraisal-purpose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mailto:eia.ntepa@nt.gov.au" TargetMode="External"/><Relationship Id="rId27" Type="http://schemas.openxmlformats.org/officeDocument/2006/relationships/header" Target="header8.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143F7CB6A640D393D83FAAEAC54018"/>
        <w:category>
          <w:name w:val="General"/>
          <w:gallery w:val="placeholder"/>
        </w:category>
        <w:types>
          <w:type w:val="bbPlcHdr"/>
        </w:types>
        <w:behaviors>
          <w:behavior w:val="content"/>
        </w:behaviors>
        <w:guid w:val="{B70E55DF-6918-4BF8-9CBC-8F2594F9FA96}"/>
      </w:docPartPr>
      <w:docPartBody>
        <w:p w:rsidR="00DC0878" w:rsidRDefault="006D325E">
          <w:pPr>
            <w:pStyle w:val="67143F7CB6A640D393D83FAAEAC54018"/>
          </w:pPr>
          <w:r>
            <w:t>&lt;Document title&gt;</w:t>
          </w:r>
        </w:p>
      </w:docPartBody>
    </w:docPart>
    <w:docPart>
      <w:docPartPr>
        <w:name w:val="DCE95D3252284ADDA8338E4FDB0EA9F4"/>
        <w:category>
          <w:name w:val="General"/>
          <w:gallery w:val="placeholder"/>
        </w:category>
        <w:types>
          <w:type w:val="bbPlcHdr"/>
        </w:types>
        <w:behaviors>
          <w:behavior w:val="content"/>
        </w:behaviors>
        <w:guid w:val="{AC12052E-1958-435B-A123-72D696162FC9}"/>
      </w:docPartPr>
      <w:docPartBody>
        <w:p w:rsidR="00DC0878" w:rsidRDefault="006D325E">
          <w:pPr>
            <w:pStyle w:val="DCE95D3252284ADDA8338E4FDB0EA9F4"/>
          </w:pPr>
          <w:r w:rsidRPr="004E7885">
            <w:rPr>
              <w:rStyle w:val="PlaceholderText"/>
            </w:rPr>
            <w:t>&lt;Document title&gt;</w:t>
          </w:r>
        </w:p>
      </w:docPartBody>
    </w:docPart>
    <w:docPart>
      <w:docPartPr>
        <w:name w:val="8C9DC854CDA74C608B087383EE16D47F"/>
        <w:category>
          <w:name w:val="General"/>
          <w:gallery w:val="placeholder"/>
        </w:category>
        <w:types>
          <w:type w:val="bbPlcHdr"/>
        </w:types>
        <w:behaviors>
          <w:behavior w:val="content"/>
        </w:behaviors>
        <w:guid w:val="{4DC68AAA-1724-44F2-A53A-E3DECC0FA5E7}"/>
      </w:docPartPr>
      <w:docPartBody>
        <w:p w:rsidR="00DC0878" w:rsidRDefault="006D325E">
          <w:pPr>
            <w:pStyle w:val="8C9DC854CDA74C608B087383EE16D47F"/>
          </w:pPr>
          <w:r w:rsidRPr="004E7885">
            <w:rPr>
              <w:rStyle w:val="PlaceholderText"/>
            </w:rPr>
            <w:t>&lt;Document title&gt;</w:t>
          </w:r>
        </w:p>
      </w:docPartBody>
    </w:docPart>
    <w:docPart>
      <w:docPartPr>
        <w:name w:val="0962FFD43730444187829135F707101A"/>
        <w:category>
          <w:name w:val="General"/>
          <w:gallery w:val="placeholder"/>
        </w:category>
        <w:types>
          <w:type w:val="bbPlcHdr"/>
        </w:types>
        <w:behaviors>
          <w:behavior w:val="content"/>
        </w:behaviors>
        <w:guid w:val="{AA8497E9-E16B-49AB-BD0B-62E88B317B75}"/>
      </w:docPartPr>
      <w:docPartBody>
        <w:p w:rsidR="00DC0878" w:rsidRDefault="006D325E">
          <w:pPr>
            <w:pStyle w:val="0962FFD43730444187829135F707101A"/>
          </w:pPr>
          <w:r w:rsidRPr="005076E2">
            <w:t>&lt;Date Month Year&gt;</w:t>
          </w:r>
        </w:p>
      </w:docPartBody>
    </w:docPart>
    <w:docPart>
      <w:docPartPr>
        <w:name w:val="FF4E77432CDE479397859AA6E28AA33C"/>
        <w:category>
          <w:name w:val="General"/>
          <w:gallery w:val="placeholder"/>
        </w:category>
        <w:types>
          <w:type w:val="bbPlcHdr"/>
        </w:types>
        <w:behaviors>
          <w:behavior w:val="content"/>
        </w:behaviors>
        <w:guid w:val="{D276917F-C650-430B-B698-7D9D15CAE748}"/>
      </w:docPartPr>
      <w:docPartBody>
        <w:p w:rsidR="00DC0878" w:rsidRDefault="006D325E">
          <w:pPr>
            <w:pStyle w:val="FF4E77432CDE479397859AA6E28AA33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Pro 45 Lt">
    <w:altName w:val="HelveticaNeueLT Pro 45 L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25E"/>
    <w:rsid w:val="000772F0"/>
    <w:rsid w:val="000A68C1"/>
    <w:rsid w:val="001F5448"/>
    <w:rsid w:val="002254C6"/>
    <w:rsid w:val="00242EA3"/>
    <w:rsid w:val="00273109"/>
    <w:rsid w:val="00291944"/>
    <w:rsid w:val="0036633F"/>
    <w:rsid w:val="003B488F"/>
    <w:rsid w:val="005823FA"/>
    <w:rsid w:val="005E0B46"/>
    <w:rsid w:val="00653A76"/>
    <w:rsid w:val="006D325E"/>
    <w:rsid w:val="00705A3E"/>
    <w:rsid w:val="00753368"/>
    <w:rsid w:val="00763180"/>
    <w:rsid w:val="00817409"/>
    <w:rsid w:val="009827B2"/>
    <w:rsid w:val="009F0F5E"/>
    <w:rsid w:val="009F226C"/>
    <w:rsid w:val="00A4556B"/>
    <w:rsid w:val="00B04461"/>
    <w:rsid w:val="00B20D4D"/>
    <w:rsid w:val="00B43DCE"/>
    <w:rsid w:val="00B52B25"/>
    <w:rsid w:val="00BA1F62"/>
    <w:rsid w:val="00CE68E5"/>
    <w:rsid w:val="00D146DE"/>
    <w:rsid w:val="00DC0878"/>
    <w:rsid w:val="00DC6A7E"/>
    <w:rsid w:val="00E0338B"/>
    <w:rsid w:val="00FA0F5B"/>
    <w:rsid w:val="00FA116F"/>
    <w:rsid w:val="00FC4FFD"/>
    <w:rsid w:val="00FF2C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143F7CB6A640D393D83FAAEAC54018">
    <w:name w:val="67143F7CB6A640D393D83FAAEAC54018"/>
  </w:style>
  <w:style w:type="character" w:styleId="PlaceholderText">
    <w:name w:val="Placeholder Text"/>
    <w:basedOn w:val="DefaultParagraphFont"/>
    <w:uiPriority w:val="99"/>
    <w:semiHidden/>
    <w:rsid w:val="001F5448"/>
    <w:rPr>
      <w:color w:val="808080"/>
    </w:rPr>
  </w:style>
  <w:style w:type="paragraph" w:customStyle="1" w:styleId="DCE95D3252284ADDA8338E4FDB0EA9F4">
    <w:name w:val="DCE95D3252284ADDA8338E4FDB0EA9F4"/>
  </w:style>
  <w:style w:type="paragraph" w:customStyle="1" w:styleId="8C9DC854CDA74C608B087383EE16D47F">
    <w:name w:val="8C9DC854CDA74C608B087383EE16D47F"/>
  </w:style>
  <w:style w:type="paragraph" w:customStyle="1" w:styleId="0962FFD43730444187829135F707101A">
    <w:name w:val="0962FFD43730444187829135F707101A"/>
  </w:style>
  <w:style w:type="paragraph" w:customStyle="1" w:styleId="FF4E77432CDE479397859AA6E28AA33C">
    <w:name w:val="FF4E77432CDE479397859AA6E28AA3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2025-02-20T00:00:00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D230CE-BBE4-4929-964A-61A01E0F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6164</Words>
  <Characters>35139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Recovery of petroleum on an appraisal basis</vt:lpstr>
    </vt:vector>
  </TitlesOfParts>
  <Company>&lt;NAME&gt;</Company>
  <LinksUpToDate>false</LinksUpToDate>
  <CharactersWithSpaces>41221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Recovery of petroleum on an appraisal basis</dc:title>
  <dc:creator>Emma Farnell</dc:creator>
  <cp:lastModifiedBy>Angela Kennedy</cp:lastModifiedBy>
  <cp:revision>2</cp:revision>
  <cp:lastPrinted>2016-02-04T04:37:00Z</cp:lastPrinted>
  <dcterms:created xsi:type="dcterms:W3CDTF">2025-02-24T00:53:00Z</dcterms:created>
  <dcterms:modified xsi:type="dcterms:W3CDTF">2025-02-24T00:53:00Z</dcterms:modified>
</cp:coreProperties>
</file>