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509755993"/>
        <w:placeholder>
          <w:docPart w:val="83B974DCE50E4B778F23B1EAC8EB86A5"/>
        </w:placeholder>
        <w:dataBinding w:prefixMappings="xmlns:ns0='http://purl.org/dc/elements/1.1/' xmlns:ns1='http://schemas.openxmlformats.org/package/2006/metadata/core-properties' " w:xpath="/ns1:coreProperties[1]/ns0:title[1]" w:storeItemID="{6C3C8BC8-F283-45AE-878A-BAB7291924A1}"/>
        <w15:color w:val="1F1F5F"/>
        <w:text w:multiLine="1"/>
      </w:sdtPr>
      <w:sdtEndPr/>
      <w:sdtContent>
        <w:p w14:paraId="52C32366" w14:textId="77777777" w:rsidR="00D61FD1" w:rsidRPr="003135C7" w:rsidRDefault="007E569D" w:rsidP="00D61FD1">
          <w:pPr>
            <w:pStyle w:val="Title"/>
          </w:pPr>
          <w:r>
            <w:t>Cost recovery and financial assurance</w:t>
          </w:r>
          <w:r w:rsidR="003135C7" w:rsidRPr="003135C7">
            <w:t xml:space="preserve"> for the onshore gas industry </w:t>
          </w:r>
          <w:r w:rsidR="0036745B">
            <w:br/>
          </w:r>
          <w:r w:rsidR="003135C7" w:rsidRPr="003135C7">
            <w:t xml:space="preserve">in the </w:t>
          </w:r>
          <w:r w:rsidR="0036745B">
            <w:t>Northern Territory</w:t>
          </w:r>
        </w:p>
      </w:sdtContent>
    </w:sdt>
    <w:bookmarkStart w:id="0" w:name="_Toc15286907" w:displacedByCustomXml="prev"/>
    <w:bookmarkStart w:id="1" w:name="_Toc15286861" w:displacedByCustomXml="prev"/>
    <w:bookmarkEnd w:id="0" w:displacedByCustomXml="next"/>
    <w:bookmarkEnd w:id="1" w:displacedByCustomXml="next"/>
    <w:sdt>
      <w:sdtPr>
        <w:rPr>
          <w:rFonts w:ascii="Lato" w:eastAsia="Calibri" w:hAnsi="Lato"/>
          <w:color w:val="auto"/>
          <w:sz w:val="22"/>
          <w:szCs w:val="22"/>
        </w:rPr>
        <w:id w:val="1616018474"/>
        <w:docPartObj>
          <w:docPartGallery w:val="Table of Contents"/>
          <w:docPartUnique/>
        </w:docPartObj>
      </w:sdtPr>
      <w:sdtEndPr>
        <w:rPr>
          <w:b/>
          <w:bCs/>
          <w:noProof/>
        </w:rPr>
      </w:sdtEndPr>
      <w:sdtContent>
        <w:p w14:paraId="2331ED3A" w14:textId="77777777" w:rsidR="00743E0C" w:rsidRDefault="00743E0C">
          <w:pPr>
            <w:pStyle w:val="TOCHeading"/>
          </w:pPr>
          <w:r>
            <w:t>Contents</w:t>
          </w:r>
        </w:p>
        <w:p w14:paraId="34D73843" w14:textId="1E663E8C" w:rsidR="00976837" w:rsidRDefault="00743E0C">
          <w:pPr>
            <w:pStyle w:val="TOC1"/>
            <w:tabs>
              <w:tab w:val="right" w:leader="dot" w:pos="10308"/>
            </w:tabs>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137719053" w:history="1">
            <w:r w:rsidR="00976837" w:rsidRPr="000A090A">
              <w:rPr>
                <w:rStyle w:val="Hyperlink"/>
                <w:noProof/>
              </w:rPr>
              <w:t>Introduction</w:t>
            </w:r>
            <w:r w:rsidR="00976837">
              <w:rPr>
                <w:noProof/>
                <w:webHidden/>
              </w:rPr>
              <w:tab/>
            </w:r>
            <w:r w:rsidR="00976837">
              <w:rPr>
                <w:noProof/>
                <w:webHidden/>
              </w:rPr>
              <w:fldChar w:fldCharType="begin"/>
            </w:r>
            <w:r w:rsidR="00976837">
              <w:rPr>
                <w:noProof/>
                <w:webHidden/>
              </w:rPr>
              <w:instrText xml:space="preserve"> PAGEREF _Toc137719053 \h </w:instrText>
            </w:r>
            <w:r w:rsidR="00976837">
              <w:rPr>
                <w:noProof/>
                <w:webHidden/>
              </w:rPr>
            </w:r>
            <w:r w:rsidR="00976837">
              <w:rPr>
                <w:noProof/>
                <w:webHidden/>
              </w:rPr>
              <w:fldChar w:fldCharType="separate"/>
            </w:r>
            <w:r w:rsidR="00976837">
              <w:rPr>
                <w:noProof/>
                <w:webHidden/>
              </w:rPr>
              <w:t>2</w:t>
            </w:r>
            <w:r w:rsidR="00976837">
              <w:rPr>
                <w:noProof/>
                <w:webHidden/>
              </w:rPr>
              <w:fldChar w:fldCharType="end"/>
            </w:r>
          </w:hyperlink>
        </w:p>
        <w:p w14:paraId="3F963C67" w14:textId="0351B35D" w:rsidR="00976837" w:rsidRDefault="00790967">
          <w:pPr>
            <w:pStyle w:val="TOC1"/>
            <w:tabs>
              <w:tab w:val="right" w:leader="dot" w:pos="10308"/>
            </w:tabs>
            <w:rPr>
              <w:rFonts w:asciiTheme="minorHAnsi" w:eastAsiaTheme="minorEastAsia" w:hAnsiTheme="minorHAnsi" w:cstheme="minorBidi"/>
              <w:noProof/>
              <w:lang w:eastAsia="en-AU"/>
            </w:rPr>
          </w:pPr>
          <w:hyperlink w:anchor="_Toc137719054" w:history="1">
            <w:r w:rsidR="00976837" w:rsidRPr="000A090A">
              <w:rPr>
                <w:rStyle w:val="Hyperlink"/>
                <w:noProof/>
              </w:rPr>
              <w:t>Transitional regulations</w:t>
            </w:r>
            <w:r w:rsidR="00976837">
              <w:rPr>
                <w:noProof/>
                <w:webHidden/>
              </w:rPr>
              <w:tab/>
            </w:r>
            <w:r w:rsidR="00976837">
              <w:rPr>
                <w:noProof/>
                <w:webHidden/>
              </w:rPr>
              <w:fldChar w:fldCharType="begin"/>
            </w:r>
            <w:r w:rsidR="00976837">
              <w:rPr>
                <w:noProof/>
                <w:webHidden/>
              </w:rPr>
              <w:instrText xml:space="preserve"> PAGEREF _Toc137719054 \h </w:instrText>
            </w:r>
            <w:r w:rsidR="00976837">
              <w:rPr>
                <w:noProof/>
                <w:webHidden/>
              </w:rPr>
            </w:r>
            <w:r w:rsidR="00976837">
              <w:rPr>
                <w:noProof/>
                <w:webHidden/>
              </w:rPr>
              <w:fldChar w:fldCharType="separate"/>
            </w:r>
            <w:r w:rsidR="00976837">
              <w:rPr>
                <w:noProof/>
                <w:webHidden/>
              </w:rPr>
              <w:t>2</w:t>
            </w:r>
            <w:r w:rsidR="00976837">
              <w:rPr>
                <w:noProof/>
                <w:webHidden/>
              </w:rPr>
              <w:fldChar w:fldCharType="end"/>
            </w:r>
          </w:hyperlink>
        </w:p>
        <w:p w14:paraId="01982200" w14:textId="656DDEDF" w:rsidR="00976837" w:rsidRDefault="00790967">
          <w:pPr>
            <w:pStyle w:val="TOC1"/>
            <w:tabs>
              <w:tab w:val="right" w:leader="dot" w:pos="10308"/>
            </w:tabs>
            <w:rPr>
              <w:rFonts w:asciiTheme="minorHAnsi" w:eastAsiaTheme="minorEastAsia" w:hAnsiTheme="minorHAnsi" w:cstheme="minorBidi"/>
              <w:noProof/>
              <w:lang w:eastAsia="en-AU"/>
            </w:rPr>
          </w:pPr>
          <w:hyperlink w:anchor="_Toc137719055" w:history="1">
            <w:r w:rsidR="00976837" w:rsidRPr="000A090A">
              <w:rPr>
                <w:rStyle w:val="Hyperlink"/>
                <w:noProof/>
              </w:rPr>
              <w:t>Cost recovery</w:t>
            </w:r>
            <w:r w:rsidR="00976837">
              <w:rPr>
                <w:noProof/>
                <w:webHidden/>
              </w:rPr>
              <w:tab/>
            </w:r>
            <w:r w:rsidR="00976837">
              <w:rPr>
                <w:noProof/>
                <w:webHidden/>
              </w:rPr>
              <w:fldChar w:fldCharType="begin"/>
            </w:r>
            <w:r w:rsidR="00976837">
              <w:rPr>
                <w:noProof/>
                <w:webHidden/>
              </w:rPr>
              <w:instrText xml:space="preserve"> PAGEREF _Toc137719055 \h </w:instrText>
            </w:r>
            <w:r w:rsidR="00976837">
              <w:rPr>
                <w:noProof/>
                <w:webHidden/>
              </w:rPr>
            </w:r>
            <w:r w:rsidR="00976837">
              <w:rPr>
                <w:noProof/>
                <w:webHidden/>
              </w:rPr>
              <w:fldChar w:fldCharType="separate"/>
            </w:r>
            <w:r w:rsidR="00976837">
              <w:rPr>
                <w:noProof/>
                <w:webHidden/>
              </w:rPr>
              <w:t>3</w:t>
            </w:r>
            <w:r w:rsidR="00976837">
              <w:rPr>
                <w:noProof/>
                <w:webHidden/>
              </w:rPr>
              <w:fldChar w:fldCharType="end"/>
            </w:r>
          </w:hyperlink>
        </w:p>
        <w:p w14:paraId="445D00AA" w14:textId="37FD3C72" w:rsidR="00976837" w:rsidRDefault="00790967">
          <w:pPr>
            <w:pStyle w:val="TOC2"/>
            <w:tabs>
              <w:tab w:val="right" w:leader="dot" w:pos="10308"/>
            </w:tabs>
            <w:rPr>
              <w:rFonts w:asciiTheme="minorHAnsi" w:eastAsiaTheme="minorEastAsia" w:hAnsiTheme="minorHAnsi" w:cstheme="minorBidi"/>
              <w:noProof/>
              <w:lang w:eastAsia="en-AU"/>
            </w:rPr>
          </w:pPr>
          <w:hyperlink w:anchor="_Toc137719056" w:history="1">
            <w:r w:rsidR="00976837" w:rsidRPr="000A090A">
              <w:rPr>
                <w:rStyle w:val="Hyperlink"/>
                <w:noProof/>
              </w:rPr>
              <w:t>Revised Fees</w:t>
            </w:r>
            <w:r w:rsidR="00976837">
              <w:rPr>
                <w:noProof/>
                <w:webHidden/>
              </w:rPr>
              <w:tab/>
            </w:r>
            <w:r w:rsidR="00976837">
              <w:rPr>
                <w:noProof/>
                <w:webHidden/>
              </w:rPr>
              <w:fldChar w:fldCharType="begin"/>
            </w:r>
            <w:r w:rsidR="00976837">
              <w:rPr>
                <w:noProof/>
                <w:webHidden/>
              </w:rPr>
              <w:instrText xml:space="preserve"> PAGEREF _Toc137719056 \h </w:instrText>
            </w:r>
            <w:r w:rsidR="00976837">
              <w:rPr>
                <w:noProof/>
                <w:webHidden/>
              </w:rPr>
            </w:r>
            <w:r w:rsidR="00976837">
              <w:rPr>
                <w:noProof/>
                <w:webHidden/>
              </w:rPr>
              <w:fldChar w:fldCharType="separate"/>
            </w:r>
            <w:r w:rsidR="00976837">
              <w:rPr>
                <w:noProof/>
                <w:webHidden/>
              </w:rPr>
              <w:t>3</w:t>
            </w:r>
            <w:r w:rsidR="00976837">
              <w:rPr>
                <w:noProof/>
                <w:webHidden/>
              </w:rPr>
              <w:fldChar w:fldCharType="end"/>
            </w:r>
          </w:hyperlink>
        </w:p>
        <w:p w14:paraId="3EEF491C" w14:textId="2E1BCF2A" w:rsidR="00976837" w:rsidRDefault="00790967">
          <w:pPr>
            <w:pStyle w:val="TOC2"/>
            <w:tabs>
              <w:tab w:val="right" w:leader="dot" w:pos="10308"/>
            </w:tabs>
            <w:rPr>
              <w:rFonts w:asciiTheme="minorHAnsi" w:eastAsiaTheme="minorEastAsia" w:hAnsiTheme="minorHAnsi" w:cstheme="minorBidi"/>
              <w:noProof/>
              <w:lang w:eastAsia="en-AU"/>
            </w:rPr>
          </w:pPr>
          <w:hyperlink w:anchor="_Toc137719057" w:history="1">
            <w:r w:rsidR="00976837" w:rsidRPr="000A090A">
              <w:rPr>
                <w:rStyle w:val="Hyperlink"/>
                <w:noProof/>
              </w:rPr>
              <w:t>Fees for resource management, activity and infrastructure plans</w:t>
            </w:r>
            <w:r w:rsidR="00976837">
              <w:rPr>
                <w:noProof/>
                <w:webHidden/>
              </w:rPr>
              <w:tab/>
            </w:r>
            <w:r w:rsidR="00976837">
              <w:rPr>
                <w:noProof/>
                <w:webHidden/>
              </w:rPr>
              <w:fldChar w:fldCharType="begin"/>
            </w:r>
            <w:r w:rsidR="00976837">
              <w:rPr>
                <w:noProof/>
                <w:webHidden/>
              </w:rPr>
              <w:instrText xml:space="preserve"> PAGEREF _Toc137719057 \h </w:instrText>
            </w:r>
            <w:r w:rsidR="00976837">
              <w:rPr>
                <w:noProof/>
                <w:webHidden/>
              </w:rPr>
            </w:r>
            <w:r w:rsidR="00976837">
              <w:rPr>
                <w:noProof/>
                <w:webHidden/>
              </w:rPr>
              <w:fldChar w:fldCharType="separate"/>
            </w:r>
            <w:r w:rsidR="00976837">
              <w:rPr>
                <w:noProof/>
                <w:webHidden/>
              </w:rPr>
              <w:t>3</w:t>
            </w:r>
            <w:r w:rsidR="00976837">
              <w:rPr>
                <w:noProof/>
                <w:webHidden/>
              </w:rPr>
              <w:fldChar w:fldCharType="end"/>
            </w:r>
          </w:hyperlink>
        </w:p>
        <w:p w14:paraId="7CD483D2" w14:textId="3236B47A" w:rsidR="00976837" w:rsidRDefault="00790967">
          <w:pPr>
            <w:pStyle w:val="TOC2"/>
            <w:tabs>
              <w:tab w:val="right" w:leader="dot" w:pos="10308"/>
            </w:tabs>
            <w:rPr>
              <w:rFonts w:asciiTheme="minorHAnsi" w:eastAsiaTheme="minorEastAsia" w:hAnsiTheme="minorHAnsi" w:cstheme="minorBidi"/>
              <w:noProof/>
              <w:lang w:eastAsia="en-AU"/>
            </w:rPr>
          </w:pPr>
          <w:hyperlink w:anchor="_Toc137719058" w:history="1">
            <w:r w:rsidR="00976837" w:rsidRPr="000A090A">
              <w:rPr>
                <w:rStyle w:val="Hyperlink"/>
                <w:noProof/>
              </w:rPr>
              <w:t>Fees for environment management plans (EMPs)</w:t>
            </w:r>
            <w:r w:rsidR="00976837">
              <w:rPr>
                <w:noProof/>
                <w:webHidden/>
              </w:rPr>
              <w:tab/>
            </w:r>
            <w:r w:rsidR="00976837">
              <w:rPr>
                <w:noProof/>
                <w:webHidden/>
              </w:rPr>
              <w:fldChar w:fldCharType="begin"/>
            </w:r>
            <w:r w:rsidR="00976837">
              <w:rPr>
                <w:noProof/>
                <w:webHidden/>
              </w:rPr>
              <w:instrText xml:space="preserve"> PAGEREF _Toc137719058 \h </w:instrText>
            </w:r>
            <w:r w:rsidR="00976837">
              <w:rPr>
                <w:noProof/>
                <w:webHidden/>
              </w:rPr>
            </w:r>
            <w:r w:rsidR="00976837">
              <w:rPr>
                <w:noProof/>
                <w:webHidden/>
              </w:rPr>
              <w:fldChar w:fldCharType="separate"/>
            </w:r>
            <w:r w:rsidR="00976837">
              <w:rPr>
                <w:noProof/>
                <w:webHidden/>
              </w:rPr>
              <w:t>3</w:t>
            </w:r>
            <w:r w:rsidR="00976837">
              <w:rPr>
                <w:noProof/>
                <w:webHidden/>
              </w:rPr>
              <w:fldChar w:fldCharType="end"/>
            </w:r>
          </w:hyperlink>
        </w:p>
        <w:p w14:paraId="7FD20885" w14:textId="7D8189EA" w:rsidR="00976837" w:rsidRDefault="00790967">
          <w:pPr>
            <w:pStyle w:val="TOC2"/>
            <w:tabs>
              <w:tab w:val="right" w:leader="dot" w:pos="10308"/>
            </w:tabs>
            <w:rPr>
              <w:rFonts w:asciiTheme="minorHAnsi" w:eastAsiaTheme="minorEastAsia" w:hAnsiTheme="minorHAnsi" w:cstheme="minorBidi"/>
              <w:noProof/>
              <w:lang w:eastAsia="en-AU"/>
            </w:rPr>
          </w:pPr>
          <w:hyperlink w:anchor="_Toc137719059" w:history="1">
            <w:r w:rsidR="00976837" w:rsidRPr="000A090A">
              <w:rPr>
                <w:rStyle w:val="Hyperlink"/>
                <w:noProof/>
              </w:rPr>
              <w:t>Monitoring and Compliance levy</w:t>
            </w:r>
            <w:r w:rsidR="00976837">
              <w:rPr>
                <w:noProof/>
                <w:webHidden/>
              </w:rPr>
              <w:tab/>
            </w:r>
            <w:r w:rsidR="00976837">
              <w:rPr>
                <w:noProof/>
                <w:webHidden/>
              </w:rPr>
              <w:fldChar w:fldCharType="begin"/>
            </w:r>
            <w:r w:rsidR="00976837">
              <w:rPr>
                <w:noProof/>
                <w:webHidden/>
              </w:rPr>
              <w:instrText xml:space="preserve"> PAGEREF _Toc137719059 \h </w:instrText>
            </w:r>
            <w:r w:rsidR="00976837">
              <w:rPr>
                <w:noProof/>
                <w:webHidden/>
              </w:rPr>
            </w:r>
            <w:r w:rsidR="00976837">
              <w:rPr>
                <w:noProof/>
                <w:webHidden/>
              </w:rPr>
              <w:fldChar w:fldCharType="separate"/>
            </w:r>
            <w:r w:rsidR="00976837">
              <w:rPr>
                <w:noProof/>
                <w:webHidden/>
              </w:rPr>
              <w:t>4</w:t>
            </w:r>
            <w:r w:rsidR="00976837">
              <w:rPr>
                <w:noProof/>
                <w:webHidden/>
              </w:rPr>
              <w:fldChar w:fldCharType="end"/>
            </w:r>
          </w:hyperlink>
        </w:p>
        <w:p w14:paraId="379DD2A0" w14:textId="6B48823B" w:rsidR="00976837" w:rsidRDefault="00790967">
          <w:pPr>
            <w:pStyle w:val="TOC1"/>
            <w:tabs>
              <w:tab w:val="right" w:leader="dot" w:pos="10308"/>
            </w:tabs>
            <w:rPr>
              <w:rFonts w:asciiTheme="minorHAnsi" w:eastAsiaTheme="minorEastAsia" w:hAnsiTheme="minorHAnsi" w:cstheme="minorBidi"/>
              <w:noProof/>
              <w:lang w:eastAsia="en-AU"/>
            </w:rPr>
          </w:pPr>
          <w:hyperlink w:anchor="_Toc137719060" w:history="1">
            <w:r w:rsidR="00976837" w:rsidRPr="000A090A">
              <w:rPr>
                <w:rStyle w:val="Hyperlink"/>
                <w:noProof/>
              </w:rPr>
              <w:t>Financial Assurance Framework</w:t>
            </w:r>
            <w:r w:rsidR="00976837">
              <w:rPr>
                <w:noProof/>
                <w:webHidden/>
              </w:rPr>
              <w:tab/>
            </w:r>
            <w:r w:rsidR="00976837">
              <w:rPr>
                <w:noProof/>
                <w:webHidden/>
              </w:rPr>
              <w:fldChar w:fldCharType="begin"/>
            </w:r>
            <w:r w:rsidR="00976837">
              <w:rPr>
                <w:noProof/>
                <w:webHidden/>
              </w:rPr>
              <w:instrText xml:space="preserve"> PAGEREF _Toc137719060 \h </w:instrText>
            </w:r>
            <w:r w:rsidR="00976837">
              <w:rPr>
                <w:noProof/>
                <w:webHidden/>
              </w:rPr>
            </w:r>
            <w:r w:rsidR="00976837">
              <w:rPr>
                <w:noProof/>
                <w:webHidden/>
              </w:rPr>
              <w:fldChar w:fldCharType="separate"/>
            </w:r>
            <w:r w:rsidR="00976837">
              <w:rPr>
                <w:noProof/>
                <w:webHidden/>
              </w:rPr>
              <w:t>8</w:t>
            </w:r>
            <w:r w:rsidR="00976837">
              <w:rPr>
                <w:noProof/>
                <w:webHidden/>
              </w:rPr>
              <w:fldChar w:fldCharType="end"/>
            </w:r>
          </w:hyperlink>
        </w:p>
        <w:p w14:paraId="3CA604CA" w14:textId="545EDB57" w:rsidR="00976837" w:rsidRDefault="00790967">
          <w:pPr>
            <w:pStyle w:val="TOC2"/>
            <w:tabs>
              <w:tab w:val="right" w:leader="dot" w:pos="10308"/>
            </w:tabs>
            <w:rPr>
              <w:rFonts w:asciiTheme="minorHAnsi" w:eastAsiaTheme="minorEastAsia" w:hAnsiTheme="minorHAnsi" w:cstheme="minorBidi"/>
              <w:noProof/>
              <w:lang w:eastAsia="en-AU"/>
            </w:rPr>
          </w:pPr>
          <w:hyperlink w:anchor="_Toc137719061" w:history="1">
            <w:r w:rsidR="00976837" w:rsidRPr="000A090A">
              <w:rPr>
                <w:rStyle w:val="Hyperlink"/>
                <w:noProof/>
              </w:rPr>
              <w:t>Environmental securities</w:t>
            </w:r>
            <w:r w:rsidR="00976837">
              <w:rPr>
                <w:noProof/>
                <w:webHidden/>
              </w:rPr>
              <w:tab/>
            </w:r>
            <w:r w:rsidR="00976837">
              <w:rPr>
                <w:noProof/>
                <w:webHidden/>
              </w:rPr>
              <w:fldChar w:fldCharType="begin"/>
            </w:r>
            <w:r w:rsidR="00976837">
              <w:rPr>
                <w:noProof/>
                <w:webHidden/>
              </w:rPr>
              <w:instrText xml:space="preserve"> PAGEREF _Toc137719061 \h </w:instrText>
            </w:r>
            <w:r w:rsidR="00976837">
              <w:rPr>
                <w:noProof/>
                <w:webHidden/>
              </w:rPr>
            </w:r>
            <w:r w:rsidR="00976837">
              <w:rPr>
                <w:noProof/>
                <w:webHidden/>
              </w:rPr>
              <w:fldChar w:fldCharType="separate"/>
            </w:r>
            <w:r w:rsidR="00976837">
              <w:rPr>
                <w:noProof/>
                <w:webHidden/>
              </w:rPr>
              <w:t>8</w:t>
            </w:r>
            <w:r w:rsidR="00976837">
              <w:rPr>
                <w:noProof/>
                <w:webHidden/>
              </w:rPr>
              <w:fldChar w:fldCharType="end"/>
            </w:r>
          </w:hyperlink>
        </w:p>
        <w:p w14:paraId="481289DB" w14:textId="2A73EDCD" w:rsidR="00976837" w:rsidRDefault="00790967">
          <w:pPr>
            <w:pStyle w:val="TOC2"/>
            <w:tabs>
              <w:tab w:val="right" w:leader="dot" w:pos="10308"/>
            </w:tabs>
            <w:rPr>
              <w:rFonts w:asciiTheme="minorHAnsi" w:eastAsiaTheme="minorEastAsia" w:hAnsiTheme="minorHAnsi" w:cstheme="minorBidi"/>
              <w:noProof/>
              <w:lang w:eastAsia="en-AU"/>
            </w:rPr>
          </w:pPr>
          <w:hyperlink w:anchor="_Toc137719062" w:history="1">
            <w:r w:rsidR="00976837" w:rsidRPr="000A090A">
              <w:rPr>
                <w:rStyle w:val="Hyperlink"/>
                <w:noProof/>
              </w:rPr>
              <w:t>Petroleum infrastructure decommissioning securities</w:t>
            </w:r>
            <w:r w:rsidR="00976837">
              <w:rPr>
                <w:noProof/>
                <w:webHidden/>
              </w:rPr>
              <w:tab/>
            </w:r>
            <w:r w:rsidR="00976837">
              <w:rPr>
                <w:noProof/>
                <w:webHidden/>
              </w:rPr>
              <w:fldChar w:fldCharType="begin"/>
            </w:r>
            <w:r w:rsidR="00976837">
              <w:rPr>
                <w:noProof/>
                <w:webHidden/>
              </w:rPr>
              <w:instrText xml:space="preserve"> PAGEREF _Toc137719062 \h </w:instrText>
            </w:r>
            <w:r w:rsidR="00976837">
              <w:rPr>
                <w:noProof/>
                <w:webHidden/>
              </w:rPr>
            </w:r>
            <w:r w:rsidR="00976837">
              <w:rPr>
                <w:noProof/>
                <w:webHidden/>
              </w:rPr>
              <w:fldChar w:fldCharType="separate"/>
            </w:r>
            <w:r w:rsidR="00976837">
              <w:rPr>
                <w:noProof/>
                <w:webHidden/>
              </w:rPr>
              <w:t>8</w:t>
            </w:r>
            <w:r w:rsidR="00976837">
              <w:rPr>
                <w:noProof/>
                <w:webHidden/>
              </w:rPr>
              <w:fldChar w:fldCharType="end"/>
            </w:r>
          </w:hyperlink>
        </w:p>
        <w:p w14:paraId="0A3F738C" w14:textId="6835ED15" w:rsidR="00976837" w:rsidRDefault="00790967">
          <w:pPr>
            <w:pStyle w:val="TOC2"/>
            <w:tabs>
              <w:tab w:val="right" w:leader="dot" w:pos="10308"/>
            </w:tabs>
            <w:rPr>
              <w:rFonts w:asciiTheme="minorHAnsi" w:eastAsiaTheme="minorEastAsia" w:hAnsiTheme="minorHAnsi" w:cstheme="minorBidi"/>
              <w:noProof/>
              <w:lang w:eastAsia="en-AU"/>
            </w:rPr>
          </w:pPr>
          <w:hyperlink w:anchor="_Toc137719063" w:history="1">
            <w:r w:rsidR="00976837" w:rsidRPr="000A090A">
              <w:rPr>
                <w:rStyle w:val="Hyperlink"/>
                <w:noProof/>
              </w:rPr>
              <w:t>Insurance</w:t>
            </w:r>
            <w:r w:rsidR="00976837">
              <w:rPr>
                <w:noProof/>
                <w:webHidden/>
              </w:rPr>
              <w:tab/>
            </w:r>
            <w:r w:rsidR="00976837">
              <w:rPr>
                <w:noProof/>
                <w:webHidden/>
              </w:rPr>
              <w:fldChar w:fldCharType="begin"/>
            </w:r>
            <w:r w:rsidR="00976837">
              <w:rPr>
                <w:noProof/>
                <w:webHidden/>
              </w:rPr>
              <w:instrText xml:space="preserve"> PAGEREF _Toc137719063 \h </w:instrText>
            </w:r>
            <w:r w:rsidR="00976837">
              <w:rPr>
                <w:noProof/>
                <w:webHidden/>
              </w:rPr>
            </w:r>
            <w:r w:rsidR="00976837">
              <w:rPr>
                <w:noProof/>
                <w:webHidden/>
              </w:rPr>
              <w:fldChar w:fldCharType="separate"/>
            </w:r>
            <w:r w:rsidR="00976837">
              <w:rPr>
                <w:noProof/>
                <w:webHidden/>
              </w:rPr>
              <w:t>8</w:t>
            </w:r>
            <w:r w:rsidR="00976837">
              <w:rPr>
                <w:noProof/>
                <w:webHidden/>
              </w:rPr>
              <w:fldChar w:fldCharType="end"/>
            </w:r>
          </w:hyperlink>
        </w:p>
        <w:p w14:paraId="3F40854C" w14:textId="487B3096" w:rsidR="00976837" w:rsidRDefault="00790967">
          <w:pPr>
            <w:pStyle w:val="TOC1"/>
            <w:tabs>
              <w:tab w:val="right" w:leader="dot" w:pos="10308"/>
            </w:tabs>
            <w:rPr>
              <w:rFonts w:asciiTheme="minorHAnsi" w:eastAsiaTheme="minorEastAsia" w:hAnsiTheme="minorHAnsi" w:cstheme="minorBidi"/>
              <w:noProof/>
              <w:lang w:eastAsia="en-AU"/>
            </w:rPr>
          </w:pPr>
          <w:hyperlink w:anchor="_Toc137719064" w:history="1">
            <w:r w:rsidR="00976837" w:rsidRPr="000A090A">
              <w:rPr>
                <w:rStyle w:val="Hyperlink"/>
                <w:noProof/>
              </w:rPr>
              <w:t>Orphan well levy</w:t>
            </w:r>
            <w:r w:rsidR="00976837">
              <w:rPr>
                <w:noProof/>
                <w:webHidden/>
              </w:rPr>
              <w:tab/>
            </w:r>
            <w:r w:rsidR="00976837">
              <w:rPr>
                <w:noProof/>
                <w:webHidden/>
              </w:rPr>
              <w:fldChar w:fldCharType="begin"/>
            </w:r>
            <w:r w:rsidR="00976837">
              <w:rPr>
                <w:noProof/>
                <w:webHidden/>
              </w:rPr>
              <w:instrText xml:space="preserve"> PAGEREF _Toc137719064 \h </w:instrText>
            </w:r>
            <w:r w:rsidR="00976837">
              <w:rPr>
                <w:noProof/>
                <w:webHidden/>
              </w:rPr>
            </w:r>
            <w:r w:rsidR="00976837">
              <w:rPr>
                <w:noProof/>
                <w:webHidden/>
              </w:rPr>
              <w:fldChar w:fldCharType="separate"/>
            </w:r>
            <w:r w:rsidR="00976837">
              <w:rPr>
                <w:noProof/>
                <w:webHidden/>
              </w:rPr>
              <w:t>9</w:t>
            </w:r>
            <w:r w:rsidR="00976837">
              <w:rPr>
                <w:noProof/>
                <w:webHidden/>
              </w:rPr>
              <w:fldChar w:fldCharType="end"/>
            </w:r>
          </w:hyperlink>
        </w:p>
        <w:p w14:paraId="29467A5F" w14:textId="20FCA1F8" w:rsidR="00976837" w:rsidRDefault="00790967">
          <w:pPr>
            <w:pStyle w:val="TOC1"/>
            <w:tabs>
              <w:tab w:val="right" w:leader="dot" w:pos="10308"/>
            </w:tabs>
            <w:rPr>
              <w:rFonts w:asciiTheme="minorHAnsi" w:eastAsiaTheme="minorEastAsia" w:hAnsiTheme="minorHAnsi" w:cstheme="minorBidi"/>
              <w:noProof/>
              <w:lang w:eastAsia="en-AU"/>
            </w:rPr>
          </w:pPr>
          <w:hyperlink w:anchor="_Toc137719065" w:history="1">
            <w:r w:rsidR="00976837" w:rsidRPr="000A090A">
              <w:rPr>
                <w:rStyle w:val="Hyperlink"/>
                <w:noProof/>
              </w:rPr>
              <w:t>Failure to pay</w:t>
            </w:r>
            <w:r w:rsidR="00976837">
              <w:rPr>
                <w:noProof/>
                <w:webHidden/>
              </w:rPr>
              <w:tab/>
            </w:r>
            <w:r w:rsidR="00976837">
              <w:rPr>
                <w:noProof/>
                <w:webHidden/>
              </w:rPr>
              <w:fldChar w:fldCharType="begin"/>
            </w:r>
            <w:r w:rsidR="00976837">
              <w:rPr>
                <w:noProof/>
                <w:webHidden/>
              </w:rPr>
              <w:instrText xml:space="preserve"> PAGEREF _Toc137719065 \h </w:instrText>
            </w:r>
            <w:r w:rsidR="00976837">
              <w:rPr>
                <w:noProof/>
                <w:webHidden/>
              </w:rPr>
            </w:r>
            <w:r w:rsidR="00976837">
              <w:rPr>
                <w:noProof/>
                <w:webHidden/>
              </w:rPr>
              <w:fldChar w:fldCharType="separate"/>
            </w:r>
            <w:r w:rsidR="00976837">
              <w:rPr>
                <w:noProof/>
                <w:webHidden/>
              </w:rPr>
              <w:t>9</w:t>
            </w:r>
            <w:r w:rsidR="00976837">
              <w:rPr>
                <w:noProof/>
                <w:webHidden/>
              </w:rPr>
              <w:fldChar w:fldCharType="end"/>
            </w:r>
          </w:hyperlink>
        </w:p>
        <w:p w14:paraId="7D7E7E58" w14:textId="77777777" w:rsidR="00743E0C" w:rsidRDefault="00743E0C">
          <w:r>
            <w:rPr>
              <w:b/>
              <w:bCs/>
              <w:noProof/>
            </w:rPr>
            <w:fldChar w:fldCharType="end"/>
          </w:r>
        </w:p>
      </w:sdtContent>
    </w:sdt>
    <w:p w14:paraId="78C1F6D8" w14:textId="77777777" w:rsidR="00743E0C" w:rsidRDefault="00743E0C">
      <w:pPr>
        <w:rPr>
          <w:rFonts w:ascii="Lato Semibold" w:eastAsia="Times New Roman" w:hAnsi="Lato Semibold"/>
          <w:color w:val="1F1F5F"/>
          <w:kern w:val="32"/>
          <w:sz w:val="36"/>
          <w:szCs w:val="32"/>
        </w:rPr>
      </w:pPr>
      <w:r>
        <w:br w:type="page"/>
      </w:r>
    </w:p>
    <w:p w14:paraId="4427A67E" w14:textId="77777777" w:rsidR="00A636CB" w:rsidRPr="00A636CB" w:rsidRDefault="00B374A7" w:rsidP="00A636CB">
      <w:pPr>
        <w:pStyle w:val="Heading1"/>
      </w:pPr>
      <w:bookmarkStart w:id="2" w:name="_Toc137719053"/>
      <w:r>
        <w:lastRenderedPageBreak/>
        <w:t>Introduction</w:t>
      </w:r>
      <w:bookmarkEnd w:id="2"/>
    </w:p>
    <w:p w14:paraId="402B0A83" w14:textId="77777777" w:rsidR="0036745B" w:rsidRDefault="008E22E6" w:rsidP="00CD1D96">
      <w:r>
        <w:t>O</w:t>
      </w:r>
      <w:r w:rsidRPr="008E22E6">
        <w:t xml:space="preserve">n 1 December 2022, the Legislative Assembly passed the Petroleum Legislation Amendment Bill 2022, which received assent on 16 December 2022, becoming the </w:t>
      </w:r>
      <w:hyperlink r:id="rId9" w:history="1">
        <w:r w:rsidR="00CD1D96" w:rsidRPr="001C6EE0">
          <w:rPr>
            <w:rStyle w:val="Hyperlink"/>
            <w:i/>
          </w:rPr>
          <w:t>Petroleum Legislation Amendment Act 2022</w:t>
        </w:r>
      </w:hyperlink>
      <w:r w:rsidR="00CD1D96">
        <w:rPr>
          <w:rStyle w:val="Hyperlink"/>
          <w:i/>
        </w:rPr>
        <w:t xml:space="preserve"> </w:t>
      </w:r>
      <w:r w:rsidR="00CD1D96" w:rsidRPr="008E22E6">
        <w:t xml:space="preserve"> </w:t>
      </w:r>
      <w:r w:rsidRPr="008E22E6">
        <w:t xml:space="preserve">(the </w:t>
      </w:r>
      <w:r w:rsidR="005844E2">
        <w:t>a</w:t>
      </w:r>
      <w:r w:rsidR="005844E2" w:rsidRPr="008E22E6">
        <w:t xml:space="preserve">mending </w:t>
      </w:r>
      <w:r w:rsidRPr="008E22E6">
        <w:t xml:space="preserve">Act). </w:t>
      </w:r>
    </w:p>
    <w:p w14:paraId="4E3F1C28" w14:textId="77777777" w:rsidR="008E22E6" w:rsidRDefault="008E22E6" w:rsidP="00CD1D96">
      <w:r w:rsidRPr="009E5DCC">
        <w:t xml:space="preserve">The </w:t>
      </w:r>
      <w:r w:rsidR="005844E2" w:rsidRPr="009E5DCC">
        <w:t xml:space="preserve">amending </w:t>
      </w:r>
      <w:r w:rsidRPr="009E5DCC">
        <w:t xml:space="preserve">Act </w:t>
      </w:r>
      <w:r w:rsidR="00940F8B" w:rsidRPr="009E5DCC">
        <w:t>and supporting regulations</w:t>
      </w:r>
      <w:r w:rsidR="0036745B" w:rsidRPr="009E5DCC">
        <w:t xml:space="preserve"> </w:t>
      </w:r>
      <w:r w:rsidR="00DE7CBF" w:rsidRPr="009E5DCC">
        <w:t>will commence on 22 June 2023</w:t>
      </w:r>
      <w:r w:rsidR="00940F8B" w:rsidRPr="009E5DCC">
        <w:t>.</w:t>
      </w:r>
      <w:r w:rsidR="007E569D" w:rsidRPr="009E5DCC">
        <w:t xml:space="preserve"> The following</w:t>
      </w:r>
      <w:r w:rsidR="007E569D">
        <w:t xml:space="preserve"> legislation, as amended or </w:t>
      </w:r>
      <w:r w:rsidR="009E5DCC">
        <w:t>in place</w:t>
      </w:r>
      <w:r w:rsidR="001B6A1A">
        <w:t xml:space="preserve"> from 22 June 2023</w:t>
      </w:r>
      <w:r w:rsidR="007E569D">
        <w:t>, will determine how costs are rec</w:t>
      </w:r>
      <w:bookmarkStart w:id="3" w:name="_GoBack"/>
      <w:bookmarkEnd w:id="3"/>
      <w:r w:rsidR="007E569D">
        <w:t>overed and the requirements for financial assurance:</w:t>
      </w:r>
    </w:p>
    <w:p w14:paraId="6627F8D4" w14:textId="77777777" w:rsidR="007E569D" w:rsidRPr="001B6A1A" w:rsidRDefault="00790967" w:rsidP="001B6A1A">
      <w:pPr>
        <w:pStyle w:val="ListParagraph"/>
        <w:numPr>
          <w:ilvl w:val="0"/>
          <w:numId w:val="44"/>
        </w:numPr>
        <w:rPr>
          <w:rFonts w:asciiTheme="minorHAnsi" w:eastAsia="Times New Roman" w:hAnsiTheme="minorHAnsi"/>
          <w:color w:val="0563C1" w:themeColor="hyperlink"/>
          <w:u w:val="single"/>
          <w:lang w:eastAsia="en-AU"/>
        </w:rPr>
      </w:pPr>
      <w:hyperlink r:id="rId10" w:history="1">
        <w:r w:rsidR="007E569D" w:rsidRPr="001B6A1A">
          <w:rPr>
            <w:rFonts w:asciiTheme="minorHAnsi" w:eastAsia="Times New Roman" w:hAnsiTheme="minorHAnsi"/>
            <w:i/>
            <w:color w:val="0563C1" w:themeColor="hyperlink"/>
            <w:u w:val="single"/>
            <w:lang w:eastAsia="en-AU"/>
          </w:rPr>
          <w:t>Petroleum Act 1984</w:t>
        </w:r>
      </w:hyperlink>
      <w:r w:rsidR="007E569D" w:rsidRPr="001B6A1A">
        <w:rPr>
          <w:rFonts w:asciiTheme="minorHAnsi" w:eastAsia="Times New Roman" w:hAnsiTheme="minorHAnsi"/>
          <w:color w:val="0563C1" w:themeColor="hyperlink"/>
          <w:u w:val="single"/>
          <w:lang w:eastAsia="en-AU"/>
        </w:rPr>
        <w:t xml:space="preserve"> (</w:t>
      </w:r>
      <w:r w:rsidR="007E569D" w:rsidRPr="001B6A1A">
        <w:rPr>
          <w:rFonts w:asciiTheme="minorHAnsi" w:eastAsia="Times New Roman" w:hAnsiTheme="minorHAnsi"/>
          <w:b/>
          <w:color w:val="0563C1" w:themeColor="hyperlink"/>
          <w:u w:val="single"/>
          <w:lang w:eastAsia="en-AU"/>
        </w:rPr>
        <w:t>Act</w:t>
      </w:r>
      <w:r w:rsidR="007E569D" w:rsidRPr="001B6A1A">
        <w:rPr>
          <w:rFonts w:asciiTheme="minorHAnsi" w:eastAsia="Times New Roman" w:hAnsiTheme="minorHAnsi"/>
          <w:color w:val="0563C1" w:themeColor="hyperlink"/>
          <w:u w:val="single"/>
          <w:lang w:eastAsia="en-AU"/>
        </w:rPr>
        <w:t xml:space="preserve">), </w:t>
      </w:r>
    </w:p>
    <w:p w14:paraId="2681D61A" w14:textId="77777777" w:rsidR="007E569D" w:rsidRPr="001B6A1A" w:rsidRDefault="00790967" w:rsidP="001B6A1A">
      <w:pPr>
        <w:pStyle w:val="ListParagraph"/>
        <w:numPr>
          <w:ilvl w:val="0"/>
          <w:numId w:val="44"/>
        </w:numPr>
        <w:rPr>
          <w:rFonts w:asciiTheme="minorHAnsi" w:eastAsia="Times New Roman" w:hAnsiTheme="minorHAnsi"/>
          <w:color w:val="0563C1" w:themeColor="hyperlink"/>
          <w:u w:val="single"/>
          <w:lang w:eastAsia="en-AU"/>
        </w:rPr>
      </w:pPr>
      <w:hyperlink r:id="rId11" w:history="1">
        <w:r w:rsidR="007E569D" w:rsidRPr="001B6A1A">
          <w:rPr>
            <w:rFonts w:asciiTheme="minorHAnsi" w:eastAsia="Times New Roman" w:hAnsiTheme="minorHAnsi"/>
            <w:i/>
            <w:color w:val="0563C1" w:themeColor="hyperlink"/>
            <w:u w:val="single"/>
            <w:lang w:eastAsia="en-AU"/>
          </w:rPr>
          <w:t>Petroleum Regulations 2020</w:t>
        </w:r>
      </w:hyperlink>
      <w:r w:rsidR="001B6A1A">
        <w:rPr>
          <w:rFonts w:asciiTheme="minorHAnsi" w:eastAsia="Times New Roman" w:hAnsiTheme="minorHAnsi"/>
          <w:i/>
          <w:color w:val="0563C1" w:themeColor="hyperlink"/>
          <w:u w:val="single"/>
          <w:lang w:eastAsia="en-AU"/>
        </w:rPr>
        <w:t xml:space="preserve"> </w:t>
      </w:r>
      <w:r w:rsidR="001B6A1A">
        <w:rPr>
          <w:rFonts w:asciiTheme="minorHAnsi" w:eastAsia="Times New Roman" w:hAnsiTheme="minorHAnsi"/>
          <w:color w:val="0563C1" w:themeColor="hyperlink"/>
          <w:u w:val="single"/>
          <w:lang w:eastAsia="en-AU"/>
        </w:rPr>
        <w:t>(</w:t>
      </w:r>
      <w:r w:rsidR="00A01ADA" w:rsidRPr="00A01ADA">
        <w:rPr>
          <w:rFonts w:asciiTheme="minorHAnsi" w:eastAsia="Times New Roman" w:hAnsiTheme="minorHAnsi"/>
          <w:b/>
          <w:color w:val="0563C1" w:themeColor="hyperlink"/>
          <w:u w:val="single"/>
          <w:lang w:eastAsia="en-AU"/>
        </w:rPr>
        <w:t>Petroleum</w:t>
      </w:r>
      <w:r w:rsidR="00A01ADA">
        <w:rPr>
          <w:rFonts w:asciiTheme="minorHAnsi" w:eastAsia="Times New Roman" w:hAnsiTheme="minorHAnsi"/>
          <w:color w:val="0563C1" w:themeColor="hyperlink"/>
          <w:u w:val="single"/>
          <w:lang w:eastAsia="en-AU"/>
        </w:rPr>
        <w:t xml:space="preserve"> </w:t>
      </w:r>
      <w:r w:rsidR="001B6A1A" w:rsidRPr="001B6A1A">
        <w:rPr>
          <w:rFonts w:asciiTheme="minorHAnsi" w:eastAsia="Times New Roman" w:hAnsiTheme="minorHAnsi"/>
          <w:b/>
          <w:color w:val="0563C1" w:themeColor="hyperlink"/>
          <w:u w:val="single"/>
          <w:lang w:eastAsia="en-AU"/>
        </w:rPr>
        <w:t>Regulations</w:t>
      </w:r>
      <w:r w:rsidR="001B6A1A">
        <w:rPr>
          <w:rFonts w:asciiTheme="minorHAnsi" w:eastAsia="Times New Roman" w:hAnsiTheme="minorHAnsi"/>
          <w:color w:val="0563C1" w:themeColor="hyperlink"/>
          <w:u w:val="single"/>
          <w:lang w:eastAsia="en-AU"/>
        </w:rPr>
        <w:t>)</w:t>
      </w:r>
    </w:p>
    <w:p w14:paraId="5DFF6B4D" w14:textId="77777777" w:rsidR="007E569D" w:rsidRPr="001B6A1A" w:rsidRDefault="00790967" w:rsidP="001B6A1A">
      <w:pPr>
        <w:pStyle w:val="ListParagraph"/>
        <w:numPr>
          <w:ilvl w:val="0"/>
          <w:numId w:val="44"/>
        </w:numPr>
        <w:rPr>
          <w:rFonts w:asciiTheme="minorHAnsi" w:eastAsia="Times New Roman" w:hAnsiTheme="minorHAnsi"/>
          <w:i/>
          <w:color w:val="0563C1" w:themeColor="hyperlink"/>
          <w:u w:val="single"/>
          <w:lang w:eastAsia="en-AU"/>
        </w:rPr>
      </w:pPr>
      <w:hyperlink r:id="rId12" w:history="1">
        <w:r w:rsidR="007E569D" w:rsidRPr="001B6A1A">
          <w:rPr>
            <w:rFonts w:asciiTheme="minorHAnsi" w:eastAsia="Times New Roman" w:hAnsiTheme="minorHAnsi"/>
            <w:i/>
            <w:color w:val="0563C1" w:themeColor="hyperlink"/>
            <w:u w:val="single"/>
            <w:lang w:eastAsia="en-AU"/>
          </w:rPr>
          <w:t>Petroleum (Environment) Regulations 2016</w:t>
        </w:r>
      </w:hyperlink>
      <w:r w:rsidR="007E569D" w:rsidRPr="001B6A1A">
        <w:rPr>
          <w:rFonts w:asciiTheme="minorHAnsi" w:eastAsia="Times New Roman" w:hAnsiTheme="minorHAnsi"/>
          <w:i/>
          <w:color w:val="0563C1" w:themeColor="hyperlink"/>
          <w:u w:val="single"/>
          <w:lang w:eastAsia="en-AU"/>
        </w:rPr>
        <w:t xml:space="preserve"> </w:t>
      </w:r>
      <w:r w:rsidR="001B6A1A">
        <w:rPr>
          <w:rFonts w:asciiTheme="minorHAnsi" w:eastAsia="Times New Roman" w:hAnsiTheme="minorHAnsi"/>
          <w:color w:val="0563C1" w:themeColor="hyperlink"/>
          <w:u w:val="single"/>
          <w:lang w:eastAsia="en-AU"/>
        </w:rPr>
        <w:t>(</w:t>
      </w:r>
      <w:r w:rsidR="001B6A1A" w:rsidRPr="001B6A1A">
        <w:rPr>
          <w:rFonts w:asciiTheme="minorHAnsi" w:eastAsia="Times New Roman" w:hAnsiTheme="minorHAnsi"/>
          <w:b/>
          <w:color w:val="0563C1" w:themeColor="hyperlink"/>
          <w:u w:val="single"/>
          <w:lang w:eastAsia="en-AU"/>
        </w:rPr>
        <w:t>PER 2016</w:t>
      </w:r>
      <w:r w:rsidR="001B6A1A">
        <w:rPr>
          <w:rFonts w:asciiTheme="minorHAnsi" w:eastAsia="Times New Roman" w:hAnsiTheme="minorHAnsi"/>
          <w:color w:val="0563C1" w:themeColor="hyperlink"/>
          <w:u w:val="single"/>
          <w:lang w:eastAsia="en-AU"/>
        </w:rPr>
        <w:t>)</w:t>
      </w:r>
    </w:p>
    <w:p w14:paraId="2AC44A3B" w14:textId="77777777" w:rsidR="001B6A1A" w:rsidRPr="001B6A1A" w:rsidRDefault="00790967" w:rsidP="001B6A1A">
      <w:pPr>
        <w:pStyle w:val="ListParagraph"/>
        <w:numPr>
          <w:ilvl w:val="0"/>
          <w:numId w:val="44"/>
        </w:numPr>
        <w:spacing w:after="240"/>
        <w:jc w:val="both"/>
        <w:rPr>
          <w:rFonts w:asciiTheme="minorHAnsi" w:eastAsia="Times New Roman" w:hAnsiTheme="minorHAnsi"/>
          <w:lang w:eastAsia="en-AU"/>
        </w:rPr>
      </w:pPr>
      <w:hyperlink r:id="rId13" w:history="1">
        <w:r w:rsidR="001B6A1A" w:rsidRPr="00A45E5D">
          <w:rPr>
            <w:rStyle w:val="Hyperlink"/>
            <w:rFonts w:asciiTheme="minorHAnsi" w:eastAsia="Times New Roman" w:hAnsiTheme="minorHAnsi"/>
            <w:i/>
            <w:lang w:eastAsia="en-AU"/>
          </w:rPr>
          <w:t>Petroleum (Transitional) Regulations 2023</w:t>
        </w:r>
      </w:hyperlink>
      <w:r w:rsidR="00966686">
        <w:rPr>
          <w:rStyle w:val="Hyperlink"/>
          <w:rFonts w:asciiTheme="minorHAnsi" w:eastAsia="Times New Roman" w:hAnsiTheme="minorHAnsi"/>
          <w:i/>
          <w:lang w:eastAsia="en-AU"/>
        </w:rPr>
        <w:t>.</w:t>
      </w:r>
      <w:r w:rsidR="001B6A1A">
        <w:rPr>
          <w:rStyle w:val="FootnoteReference"/>
          <w:rFonts w:asciiTheme="minorHAnsi" w:eastAsia="Times New Roman" w:hAnsiTheme="minorHAnsi"/>
          <w:i/>
          <w:lang w:eastAsia="en-AU"/>
        </w:rPr>
        <w:footnoteReference w:id="1"/>
      </w:r>
    </w:p>
    <w:p w14:paraId="47608A6E" w14:textId="77777777" w:rsidR="00E81AED" w:rsidRDefault="008E22E6" w:rsidP="00B374A7">
      <w:r>
        <w:t>T</w:t>
      </w:r>
      <w:r w:rsidRPr="00A636CB">
        <w:t xml:space="preserve">he </w:t>
      </w:r>
      <w:r w:rsidR="005844E2">
        <w:t xml:space="preserve">amending </w:t>
      </w:r>
      <w:r>
        <w:t xml:space="preserve">Act outlines </w:t>
      </w:r>
      <w:r w:rsidRPr="00A636CB">
        <w:t>a full cost recovery system for the regulation of</w:t>
      </w:r>
      <w:r>
        <w:t xml:space="preserve"> </w:t>
      </w:r>
      <w:r w:rsidR="00E045B3">
        <w:t>the</w:t>
      </w:r>
      <w:r>
        <w:t xml:space="preserve"> onshore gas industry</w:t>
      </w:r>
      <w:r w:rsidR="0036745B">
        <w:t xml:space="preserve"> in the Northern Territory</w:t>
      </w:r>
      <w:r w:rsidR="00B374A7">
        <w:t xml:space="preserve">. </w:t>
      </w:r>
    </w:p>
    <w:p w14:paraId="5DAB855C" w14:textId="77777777" w:rsidR="00E81AED" w:rsidRDefault="00E81AED" w:rsidP="00B374A7">
      <w:r>
        <w:t>N</w:t>
      </w:r>
      <w:r w:rsidR="00B374A7">
        <w:t xml:space="preserve">ew </w:t>
      </w:r>
      <w:r>
        <w:t>fees will apply t</w:t>
      </w:r>
      <w:r w:rsidR="00B374A7">
        <w:t xml:space="preserve">hat </w:t>
      </w:r>
      <w:r>
        <w:t>more accurately</w:t>
      </w:r>
      <w:r w:rsidR="00B374A7" w:rsidRPr="00E01492">
        <w:t xml:space="preserve"> </w:t>
      </w:r>
      <w:r w:rsidR="00B374A7">
        <w:t>reflect</w:t>
      </w:r>
      <w:r w:rsidR="00B374A7" w:rsidRPr="00E01492">
        <w:t xml:space="preserve"> </w:t>
      </w:r>
      <w:r w:rsidR="00B374A7">
        <w:t xml:space="preserve">the </w:t>
      </w:r>
      <w:r w:rsidR="00B374A7" w:rsidRPr="00E01492">
        <w:t>costs of service provision</w:t>
      </w:r>
      <w:r w:rsidR="00B374A7">
        <w:t xml:space="preserve"> </w:t>
      </w:r>
      <w:r>
        <w:t xml:space="preserve">relating to title administration and assessment. </w:t>
      </w:r>
    </w:p>
    <w:p w14:paraId="18280DBD" w14:textId="77777777" w:rsidR="00AA091B" w:rsidRDefault="00E81AED" w:rsidP="00B374A7">
      <w:r>
        <w:t>A</w:t>
      </w:r>
      <w:r w:rsidR="00B374A7">
        <w:t xml:space="preserve"> new monitoring and compliance levy</w:t>
      </w:r>
      <w:r w:rsidRPr="00E81AED">
        <w:t xml:space="preserve"> </w:t>
      </w:r>
      <w:r>
        <w:t xml:space="preserve">has been introduced to cover </w:t>
      </w:r>
      <w:r w:rsidRPr="00B374A7">
        <w:t xml:space="preserve">costs </w:t>
      </w:r>
      <w:r>
        <w:t xml:space="preserve">that are </w:t>
      </w:r>
      <w:r w:rsidRPr="00B374A7">
        <w:t xml:space="preserve">likely </w:t>
      </w:r>
      <w:r>
        <w:t xml:space="preserve">to be </w:t>
      </w:r>
      <w:r w:rsidRPr="00B374A7">
        <w:t xml:space="preserve">incurred </w:t>
      </w:r>
      <w:r>
        <w:t>by the Department of Industry, Tourism and Trade (</w:t>
      </w:r>
      <w:r w:rsidRPr="00E81AED">
        <w:rPr>
          <w:b/>
        </w:rPr>
        <w:t>DITT</w:t>
      </w:r>
      <w:r>
        <w:t>) and the Department of Environment, Parks and Water Security (</w:t>
      </w:r>
      <w:r w:rsidRPr="00E81AED">
        <w:rPr>
          <w:b/>
        </w:rPr>
        <w:t>DEPWS</w:t>
      </w:r>
      <w:r>
        <w:t>)</w:t>
      </w:r>
      <w:r w:rsidRPr="00B374A7">
        <w:t xml:space="preserve"> </w:t>
      </w:r>
      <w:r>
        <w:t>when undertaking their regulatory obligations.</w:t>
      </w:r>
    </w:p>
    <w:p w14:paraId="53A3D40A" w14:textId="77777777" w:rsidR="00F16A8C" w:rsidRDefault="00E045B3" w:rsidP="00CD1D96">
      <w:r>
        <w:t>A r</w:t>
      </w:r>
      <w:r w:rsidR="00F16A8C" w:rsidRPr="00F53BEF">
        <w:t>eview of the charging framework after three years will provide an opportunity to recalibrate fees to align with actual industry activity and regulatory costs.</w:t>
      </w:r>
      <w:r w:rsidR="00B374A7">
        <w:t xml:space="preserve"> </w:t>
      </w:r>
    </w:p>
    <w:p w14:paraId="4F0A6F4E" w14:textId="77777777" w:rsidR="001B6A1A" w:rsidRDefault="00E81AED" w:rsidP="001B6A1A">
      <w:r>
        <w:t xml:space="preserve">The amending Act also </w:t>
      </w:r>
      <w:r w:rsidR="001B6A1A">
        <w:t>provide</w:t>
      </w:r>
      <w:r>
        <w:t>s</w:t>
      </w:r>
      <w:r w:rsidR="001B6A1A" w:rsidRPr="001B6A1A">
        <w:t xml:space="preserve"> for a comprehensive financial assurance framework that will introduce mandatory environmental remediation and petroleum infrastructure decommissioning securities as well as mandatory insurance requirements for all petroleum interests</w:t>
      </w:r>
      <w:r>
        <w:t>.</w:t>
      </w:r>
    </w:p>
    <w:p w14:paraId="5E5CDDD9" w14:textId="77777777" w:rsidR="0020726B" w:rsidRDefault="0020726B" w:rsidP="00C35714">
      <w:pPr>
        <w:pStyle w:val="Heading1"/>
      </w:pPr>
      <w:bookmarkStart w:id="4" w:name="_Toc137719054"/>
      <w:r w:rsidRPr="00C35714">
        <w:t>Transitional regulations</w:t>
      </w:r>
      <w:bookmarkEnd w:id="4"/>
    </w:p>
    <w:p w14:paraId="2BB7B7DB" w14:textId="77777777" w:rsidR="0020726B" w:rsidRDefault="0020726B" w:rsidP="0020726B">
      <w:pPr>
        <w:spacing w:after="240"/>
        <w:jc w:val="both"/>
        <w:rPr>
          <w:rFonts w:asciiTheme="minorHAnsi" w:hAnsiTheme="minorHAnsi"/>
        </w:rPr>
      </w:pPr>
      <w:r>
        <w:rPr>
          <w:rFonts w:asciiTheme="minorHAnsi" w:hAnsiTheme="minorHAnsi"/>
        </w:rPr>
        <w:t>Transitional regulations have been developed to support commencement of the amending Act and provide clarity around how and when new arrangements will apply to existing titles, applications, approvals and requirements.</w:t>
      </w:r>
    </w:p>
    <w:p w14:paraId="42152739" w14:textId="77777777" w:rsidR="00E81AED" w:rsidRDefault="0020726B" w:rsidP="00127C14">
      <w:pPr>
        <w:spacing w:after="240"/>
        <w:jc w:val="both"/>
        <w:rPr>
          <w:rFonts w:asciiTheme="minorHAnsi" w:hAnsiTheme="minorHAnsi"/>
        </w:rPr>
      </w:pPr>
      <w:r>
        <w:rPr>
          <w:rFonts w:asciiTheme="minorHAnsi" w:hAnsiTheme="minorHAnsi"/>
        </w:rPr>
        <w:t>New fees and levies are applicable immediately upon commencement.</w:t>
      </w:r>
      <w:r w:rsidR="00E81AED">
        <w:rPr>
          <w:rFonts w:asciiTheme="minorHAnsi" w:hAnsiTheme="minorHAnsi"/>
        </w:rPr>
        <w:t xml:space="preserve"> </w:t>
      </w:r>
      <w:r>
        <w:rPr>
          <w:rFonts w:asciiTheme="minorHAnsi" w:hAnsiTheme="minorHAnsi"/>
        </w:rPr>
        <w:t>Environmental securities, which are already required, will continue to be required.</w:t>
      </w:r>
      <w:r w:rsidR="00E81AED">
        <w:rPr>
          <w:rFonts w:asciiTheme="minorHAnsi" w:hAnsiTheme="minorHAnsi"/>
        </w:rPr>
        <w:t xml:space="preserve"> </w:t>
      </w:r>
      <w:r>
        <w:rPr>
          <w:rFonts w:asciiTheme="minorHAnsi" w:hAnsiTheme="minorHAnsi"/>
        </w:rPr>
        <w:t>There is a two year transitional period for the payment of petroleum decommissioning securities for existing wells or wells that are under construction at the time of commencement of the amending Act. However, from commencement all new wells will require a decommissioning securit</w:t>
      </w:r>
      <w:r w:rsidR="00655B7A">
        <w:rPr>
          <w:rFonts w:asciiTheme="minorHAnsi" w:hAnsiTheme="minorHAnsi"/>
        </w:rPr>
        <w:t>y to be paid prior to drilling.</w:t>
      </w:r>
      <w:r w:rsidR="00E81AED">
        <w:rPr>
          <w:rFonts w:asciiTheme="minorHAnsi" w:hAnsiTheme="minorHAnsi"/>
        </w:rPr>
        <w:t xml:space="preserve"> </w:t>
      </w:r>
    </w:p>
    <w:p w14:paraId="408E874E" w14:textId="77777777" w:rsidR="0020726B" w:rsidRDefault="00127C14" w:rsidP="00127C14">
      <w:pPr>
        <w:spacing w:after="240"/>
        <w:jc w:val="both"/>
        <w:rPr>
          <w:rFonts w:ascii="Lato Semibold" w:eastAsia="Times New Roman" w:hAnsi="Lato Semibold"/>
          <w:color w:val="454347"/>
          <w:sz w:val="28"/>
          <w:szCs w:val="28"/>
        </w:rPr>
      </w:pPr>
      <w:r>
        <w:rPr>
          <w:rFonts w:asciiTheme="minorHAnsi" w:hAnsiTheme="minorHAnsi"/>
        </w:rPr>
        <w:t>The amending Act establishes that i</w:t>
      </w:r>
      <w:r w:rsidRPr="00127C14">
        <w:rPr>
          <w:rFonts w:asciiTheme="minorHAnsi" w:hAnsiTheme="minorHAnsi"/>
        </w:rPr>
        <w:t xml:space="preserve">t is a condition of a petroleum interest that </w:t>
      </w:r>
      <w:r>
        <w:rPr>
          <w:rFonts w:asciiTheme="minorHAnsi" w:hAnsiTheme="minorHAnsi"/>
        </w:rPr>
        <w:t>an</w:t>
      </w:r>
      <w:r w:rsidRPr="00127C14">
        <w:rPr>
          <w:rFonts w:asciiTheme="minorHAnsi" w:hAnsiTheme="minorHAnsi"/>
        </w:rPr>
        <w:t xml:space="preserve"> interest holder </w:t>
      </w:r>
      <w:r>
        <w:rPr>
          <w:rFonts w:asciiTheme="minorHAnsi" w:hAnsiTheme="minorHAnsi"/>
        </w:rPr>
        <w:t>must</w:t>
      </w:r>
      <w:r w:rsidRPr="00127C14">
        <w:rPr>
          <w:rFonts w:asciiTheme="minorHAnsi" w:hAnsiTheme="minorHAnsi"/>
        </w:rPr>
        <w:t xml:space="preserve"> maintain an insurance pol</w:t>
      </w:r>
      <w:r>
        <w:rPr>
          <w:rFonts w:asciiTheme="minorHAnsi" w:hAnsiTheme="minorHAnsi"/>
        </w:rPr>
        <w:t>icy as required by the Minister</w:t>
      </w:r>
      <w:r w:rsidR="00E81AED">
        <w:rPr>
          <w:rFonts w:asciiTheme="minorHAnsi" w:hAnsiTheme="minorHAnsi"/>
        </w:rPr>
        <w:t>. A</w:t>
      </w:r>
      <w:r>
        <w:rPr>
          <w:rFonts w:asciiTheme="minorHAnsi" w:hAnsiTheme="minorHAnsi"/>
        </w:rPr>
        <w:t>t the time of commencement</w:t>
      </w:r>
      <w:r w:rsidR="00E81AED">
        <w:rPr>
          <w:rFonts w:asciiTheme="minorHAnsi" w:hAnsiTheme="minorHAnsi"/>
        </w:rPr>
        <w:t>,</w:t>
      </w:r>
      <w:r>
        <w:rPr>
          <w:rFonts w:asciiTheme="minorHAnsi" w:hAnsiTheme="minorHAnsi"/>
        </w:rPr>
        <w:t xml:space="preserve"> </w:t>
      </w:r>
      <w:r w:rsidR="00E81AED">
        <w:rPr>
          <w:rFonts w:asciiTheme="minorHAnsi" w:hAnsiTheme="minorHAnsi"/>
        </w:rPr>
        <w:t xml:space="preserve">existing requirements for </w:t>
      </w:r>
      <w:r>
        <w:rPr>
          <w:rFonts w:asciiTheme="minorHAnsi" w:hAnsiTheme="minorHAnsi"/>
        </w:rPr>
        <w:t xml:space="preserve">insurance </w:t>
      </w:r>
      <w:r w:rsidR="00E81AED">
        <w:rPr>
          <w:rFonts w:asciiTheme="minorHAnsi" w:hAnsiTheme="minorHAnsi"/>
        </w:rPr>
        <w:t xml:space="preserve">remain </w:t>
      </w:r>
      <w:r w:rsidR="00E05AFE">
        <w:rPr>
          <w:rFonts w:asciiTheme="minorHAnsi" w:hAnsiTheme="minorHAnsi"/>
        </w:rPr>
        <w:t>current</w:t>
      </w:r>
      <w:r>
        <w:rPr>
          <w:rFonts w:asciiTheme="minorHAnsi" w:hAnsiTheme="minorHAnsi"/>
        </w:rPr>
        <w:t xml:space="preserve">. </w:t>
      </w:r>
      <w:r w:rsidR="0020726B">
        <w:br w:type="page"/>
      </w:r>
    </w:p>
    <w:p w14:paraId="36E98DC2" w14:textId="77777777" w:rsidR="00C35714" w:rsidRDefault="00C35714" w:rsidP="00C35714">
      <w:pPr>
        <w:pStyle w:val="Heading1"/>
      </w:pPr>
      <w:bookmarkStart w:id="5" w:name="_Toc137719055"/>
      <w:r>
        <w:t>Cost recovery</w:t>
      </w:r>
      <w:bookmarkEnd w:id="5"/>
    </w:p>
    <w:p w14:paraId="38F01DD3" w14:textId="77777777" w:rsidR="00D50ABB" w:rsidRDefault="001B6A1A" w:rsidP="00C35714">
      <w:pPr>
        <w:pStyle w:val="Heading2"/>
        <w:spacing w:before="360"/>
      </w:pPr>
      <w:bookmarkStart w:id="6" w:name="_Toc137719056"/>
      <w:r>
        <w:t xml:space="preserve">Revised </w:t>
      </w:r>
      <w:r w:rsidR="00B570B3">
        <w:t>Fees</w:t>
      </w:r>
      <w:bookmarkEnd w:id="6"/>
    </w:p>
    <w:p w14:paraId="6EB4F307" w14:textId="77777777" w:rsidR="00C138DD" w:rsidRPr="00C138DD" w:rsidRDefault="00C138DD" w:rsidP="00C138DD">
      <w:pPr>
        <w:rPr>
          <w:b/>
        </w:rPr>
      </w:pPr>
      <w:r w:rsidRPr="00C138DD">
        <w:rPr>
          <w:b/>
        </w:rPr>
        <w:t>Administered by the Energy Development Branch, DITT</w:t>
      </w:r>
    </w:p>
    <w:p w14:paraId="2EDC4968" w14:textId="77777777" w:rsidR="00A77822" w:rsidRDefault="00E045B3" w:rsidP="00CD1D96">
      <w:r>
        <w:t xml:space="preserve">The amended </w:t>
      </w:r>
      <w:r w:rsidR="00A01ADA">
        <w:t xml:space="preserve">Petroleum </w:t>
      </w:r>
      <w:r>
        <w:t>Regulations include a</w:t>
      </w:r>
      <w:r w:rsidR="00A45E5D">
        <w:t>n updated</w:t>
      </w:r>
      <w:r w:rsidR="009B01F6" w:rsidRPr="009B01F6">
        <w:t xml:space="preserve"> schedule </w:t>
      </w:r>
      <w:r w:rsidR="001B6A1A">
        <w:t xml:space="preserve">(Schedule 1) </w:t>
      </w:r>
      <w:r w:rsidR="009B01F6" w:rsidRPr="009B01F6">
        <w:t>of fees</w:t>
      </w:r>
      <w:r>
        <w:t xml:space="preserve"> expressed in revenue units</w:t>
      </w:r>
      <w:r w:rsidR="009B01F6" w:rsidRPr="009B01F6">
        <w:t xml:space="preserve">. </w:t>
      </w:r>
      <w:r w:rsidR="001B6A1A">
        <w:t>Table 1 (</w:t>
      </w:r>
      <w:r w:rsidR="001B6A1A" w:rsidRPr="00C00DF4">
        <w:t xml:space="preserve">page </w:t>
      </w:r>
      <w:r w:rsidR="00E05AFE" w:rsidRPr="00C00DF4">
        <w:t>5</w:t>
      </w:r>
      <w:r w:rsidR="001B6A1A">
        <w:t>) lists the ne</w:t>
      </w:r>
      <w:r>
        <w:t>w fees expressed in dollar terms, using the 2023/24 revenue un</w:t>
      </w:r>
      <w:r w:rsidR="001B6A1A">
        <w:t>it value of $1.35</w:t>
      </w:r>
      <w:r w:rsidR="001B6A1A">
        <w:rPr>
          <w:rStyle w:val="FootnoteReference"/>
        </w:rPr>
        <w:footnoteReference w:id="2"/>
      </w:r>
      <w:r>
        <w:t>.</w:t>
      </w:r>
    </w:p>
    <w:p w14:paraId="53F8E9FB" w14:textId="77777777" w:rsidR="00CD1D96" w:rsidRDefault="00A77822" w:rsidP="00CD1D96">
      <w:r>
        <w:t>Most f</w:t>
      </w:r>
      <w:r w:rsidR="009B01F6" w:rsidRPr="009B01F6">
        <w:t xml:space="preserve">ees </w:t>
      </w:r>
      <w:r>
        <w:t xml:space="preserve">relating to the </w:t>
      </w:r>
      <w:r w:rsidR="009B01F6" w:rsidRPr="009B01F6">
        <w:t>general administration of petroleum titles</w:t>
      </w:r>
      <w:r w:rsidR="00C138DD">
        <w:t xml:space="preserve">, including those </w:t>
      </w:r>
      <w:r w:rsidR="00CD1D96" w:rsidRPr="00E01492">
        <w:t xml:space="preserve">for </w:t>
      </w:r>
      <w:r>
        <w:t xml:space="preserve">the </w:t>
      </w:r>
      <w:r w:rsidR="00CD1D96" w:rsidRPr="00E01492">
        <w:t>grant, renewal and variation</w:t>
      </w:r>
      <w:r w:rsidR="00CD1D96">
        <w:t xml:space="preserve"> </w:t>
      </w:r>
      <w:r>
        <w:t>of exploration permits, retention licences and production licences</w:t>
      </w:r>
      <w:r w:rsidR="00E41FA9" w:rsidRPr="00E41FA9">
        <w:t xml:space="preserve"> </w:t>
      </w:r>
      <w:r w:rsidR="00E41FA9">
        <w:t>have been revised to reflect</w:t>
      </w:r>
      <w:r w:rsidR="00E41FA9" w:rsidRPr="00E01492">
        <w:t xml:space="preserve"> direct costs of service provision</w:t>
      </w:r>
      <w:r>
        <w:t xml:space="preserve">. </w:t>
      </w:r>
    </w:p>
    <w:p w14:paraId="0F351BCD" w14:textId="77777777" w:rsidR="00CD1D96" w:rsidRDefault="00E41FA9" w:rsidP="00CD1D96">
      <w:r>
        <w:t>Annual fees will remain at current levels.</w:t>
      </w:r>
      <w:r w:rsidRPr="00C138DD">
        <w:t xml:space="preserve"> </w:t>
      </w:r>
      <w:r w:rsidR="00CD1D96" w:rsidRPr="008B015E">
        <w:t>The annual fee is payable in advance on the commencement of the exploration permit</w:t>
      </w:r>
      <w:r w:rsidR="00CD1D96">
        <w:t>, retention or production licence,</w:t>
      </w:r>
      <w:r w:rsidR="00CD1D96" w:rsidRPr="008B015E">
        <w:t xml:space="preserve"> and e</w:t>
      </w:r>
      <w:r w:rsidR="00CD1D96">
        <w:t>ach subsequent</w:t>
      </w:r>
      <w:r w:rsidR="00CD1D96" w:rsidRPr="008B015E">
        <w:t xml:space="preserve"> </w:t>
      </w:r>
      <w:r w:rsidR="00CD1D96">
        <w:t>anniversary or its last renewal</w:t>
      </w:r>
      <w:r w:rsidR="000E165E">
        <w:t xml:space="preserve"> and is based on the number of blocks held under title</w:t>
      </w:r>
      <w:r w:rsidR="00CD1D96">
        <w:t>.</w:t>
      </w:r>
    </w:p>
    <w:p w14:paraId="0378443E" w14:textId="77777777" w:rsidR="00CD1D96" w:rsidRDefault="00B570B3" w:rsidP="00C35714">
      <w:pPr>
        <w:pStyle w:val="Heading2"/>
        <w:spacing w:before="360"/>
      </w:pPr>
      <w:bookmarkStart w:id="7" w:name="_Toc137719057"/>
      <w:r>
        <w:t>Fees for resource management, activity and infrastructure plans</w:t>
      </w:r>
      <w:bookmarkEnd w:id="7"/>
    </w:p>
    <w:p w14:paraId="37DEBDEA" w14:textId="77777777" w:rsidR="00C138DD" w:rsidRPr="00C138DD" w:rsidRDefault="00C138DD" w:rsidP="00AA091B">
      <w:pPr>
        <w:keepNext/>
        <w:rPr>
          <w:b/>
        </w:rPr>
      </w:pPr>
      <w:r w:rsidRPr="00C138DD">
        <w:rPr>
          <w:b/>
        </w:rPr>
        <w:t>Administered by the Energy Development Branch, DITT</w:t>
      </w:r>
    </w:p>
    <w:p w14:paraId="7728871B" w14:textId="77777777" w:rsidR="00D50ABB" w:rsidRPr="00D50ABB" w:rsidRDefault="00D50ABB" w:rsidP="00D50ABB">
      <w:pPr>
        <w:rPr>
          <w:i/>
        </w:rPr>
      </w:pPr>
      <w:r>
        <w:t xml:space="preserve">The </w:t>
      </w:r>
      <w:r w:rsidR="005844E2">
        <w:t xml:space="preserve">amending </w:t>
      </w:r>
      <w:r>
        <w:t xml:space="preserve">Act </w:t>
      </w:r>
      <w:r w:rsidR="00C138DD">
        <w:t>inserts</w:t>
      </w:r>
      <w:r>
        <w:t xml:space="preserve"> new </w:t>
      </w:r>
      <w:r w:rsidR="00C138DD" w:rsidRPr="00B570B3">
        <w:t>Schedule 1</w:t>
      </w:r>
      <w:r w:rsidR="00C138DD">
        <w:t xml:space="preserve">A into the </w:t>
      </w:r>
      <w:r w:rsidR="00C138DD" w:rsidRPr="007A2466">
        <w:t>Petroleum Regulations</w:t>
      </w:r>
      <w:r w:rsidR="00C138DD" w:rsidRPr="00D50ABB">
        <w:rPr>
          <w:i/>
        </w:rPr>
        <w:t xml:space="preserve"> </w:t>
      </w:r>
      <w:r w:rsidR="00C138DD">
        <w:t xml:space="preserve">to </w:t>
      </w:r>
      <w:r w:rsidR="000E165E">
        <w:t>pr</w:t>
      </w:r>
      <w:r w:rsidR="00C138DD">
        <w:t>escribe</w:t>
      </w:r>
      <w:r>
        <w:t xml:space="preserve"> fees</w:t>
      </w:r>
      <w:r w:rsidR="00C138DD">
        <w:t xml:space="preserve"> and calculation processes</w:t>
      </w:r>
      <w:r>
        <w:t xml:space="preserve"> for resource management, activity and infrastructure plans</w:t>
      </w:r>
      <w:r w:rsidR="00C138DD">
        <w:t xml:space="preserve">. </w:t>
      </w:r>
    </w:p>
    <w:p w14:paraId="68D4137D" w14:textId="77777777" w:rsidR="00655B7A" w:rsidRDefault="00C138DD" w:rsidP="00864CC0">
      <w:r>
        <w:t>These n</w:t>
      </w:r>
      <w:r w:rsidR="004D7350">
        <w:t>ew f</w:t>
      </w:r>
      <w:r w:rsidR="004D7350" w:rsidRPr="004D7350">
        <w:t xml:space="preserve">ees </w:t>
      </w:r>
      <w:r w:rsidR="000E165E">
        <w:t>are application fees for approval of</w:t>
      </w:r>
      <w:r>
        <w:t xml:space="preserve"> the</w:t>
      </w:r>
      <w:r w:rsidR="004D7350">
        <w:t xml:space="preserve"> new </w:t>
      </w:r>
      <w:r>
        <w:t xml:space="preserve">permissioning plans described in </w:t>
      </w:r>
      <w:r w:rsidR="004D7350">
        <w:t>section 60</w:t>
      </w:r>
      <w:r w:rsidR="00B570B3">
        <w:t xml:space="preserve"> of the </w:t>
      </w:r>
      <w:r w:rsidR="005844E2">
        <w:t xml:space="preserve">amending </w:t>
      </w:r>
      <w:r w:rsidR="00B570B3">
        <w:t>Act</w:t>
      </w:r>
      <w:r w:rsidR="004D7350">
        <w:t>, which include: a</w:t>
      </w:r>
      <w:r w:rsidR="004D7350" w:rsidRPr="004D7350">
        <w:t xml:space="preserve"> Well Operation Management Plan (WOMP), Petroleum Surface Infrastructure (PSIP) and Field Management Plans (FMPs)</w:t>
      </w:r>
      <w:r w:rsidR="004D7350">
        <w:t xml:space="preserve">. </w:t>
      </w:r>
    </w:p>
    <w:p w14:paraId="2AFC85D7" w14:textId="77777777" w:rsidR="00B570B3" w:rsidRDefault="004D7350" w:rsidP="00864CC0">
      <w:r>
        <w:t>F</w:t>
      </w:r>
      <w:r w:rsidRPr="00864CC0">
        <w:t xml:space="preserve">ees have been categorised to differentiate between simple </w:t>
      </w:r>
      <w:r>
        <w:t>and highly complex proposals.</w:t>
      </w:r>
      <w:r w:rsidR="007A7F1A">
        <w:t xml:space="preserve"> The applicable fees are listed in Table 2 </w:t>
      </w:r>
      <w:r w:rsidR="00E05AFE">
        <w:t>(</w:t>
      </w:r>
      <w:r w:rsidR="00E05AFE" w:rsidRPr="00C00DF4">
        <w:t>page 6</w:t>
      </w:r>
      <w:r w:rsidR="00E05AFE">
        <w:t>)</w:t>
      </w:r>
      <w:r w:rsidR="007A7F1A">
        <w:t>.</w:t>
      </w:r>
    </w:p>
    <w:p w14:paraId="34A7645F" w14:textId="77777777" w:rsidR="00C138DD" w:rsidRDefault="00B570B3" w:rsidP="00C35714">
      <w:pPr>
        <w:pStyle w:val="Heading2"/>
        <w:spacing w:before="360"/>
      </w:pPr>
      <w:bookmarkStart w:id="8" w:name="_Toc137719058"/>
      <w:r>
        <w:t>Fees for environment management plans</w:t>
      </w:r>
      <w:r w:rsidR="00C138DD">
        <w:t xml:space="preserve"> (EMPs)</w:t>
      </w:r>
      <w:bookmarkEnd w:id="8"/>
    </w:p>
    <w:p w14:paraId="14C24D22" w14:textId="77777777" w:rsidR="00C138DD" w:rsidRPr="00C138DD" w:rsidRDefault="00C138DD" w:rsidP="00C138DD">
      <w:pPr>
        <w:rPr>
          <w:b/>
        </w:rPr>
      </w:pPr>
      <w:r w:rsidRPr="00C138DD">
        <w:rPr>
          <w:b/>
        </w:rPr>
        <w:t>Administered by the Petroleum Operations Branch, DEPWS</w:t>
      </w:r>
    </w:p>
    <w:p w14:paraId="7D15C2CD" w14:textId="77777777" w:rsidR="00C138DD" w:rsidRPr="00D50ABB" w:rsidRDefault="00C138DD" w:rsidP="00C138DD">
      <w:pPr>
        <w:rPr>
          <w:i/>
        </w:rPr>
      </w:pPr>
      <w:r>
        <w:t xml:space="preserve">The </w:t>
      </w:r>
      <w:r w:rsidR="005844E2">
        <w:t xml:space="preserve">amending </w:t>
      </w:r>
      <w:r>
        <w:t xml:space="preserve">Act inserts new </w:t>
      </w:r>
      <w:r w:rsidRPr="00B570B3">
        <w:t>Schedule 1</w:t>
      </w:r>
      <w:r>
        <w:t xml:space="preserve">B into the </w:t>
      </w:r>
      <w:r w:rsidRPr="007A2466">
        <w:t>Petroleum Regulations</w:t>
      </w:r>
      <w:r w:rsidRPr="00D50ABB">
        <w:rPr>
          <w:i/>
        </w:rPr>
        <w:t xml:space="preserve"> </w:t>
      </w:r>
      <w:r>
        <w:t xml:space="preserve">to describe fees and calculation processes for EMPs. </w:t>
      </w:r>
    </w:p>
    <w:p w14:paraId="46DF2E2E" w14:textId="77777777" w:rsidR="00655B7A" w:rsidRDefault="00C138DD" w:rsidP="00B570B3">
      <w:r>
        <w:t>EMPs</w:t>
      </w:r>
      <w:r w:rsidR="004D7350">
        <w:t xml:space="preserve">, required </w:t>
      </w:r>
      <w:r>
        <w:t>by</w:t>
      </w:r>
      <w:r w:rsidR="004D7350">
        <w:t xml:space="preserve"> the</w:t>
      </w:r>
      <w:r w:rsidR="007A2466">
        <w:t xml:space="preserve"> PER 2016</w:t>
      </w:r>
      <w:r w:rsidR="00174961">
        <w:rPr>
          <w:i/>
        </w:rPr>
        <w:t>,</w:t>
      </w:r>
      <w:r w:rsidR="00864CC0" w:rsidRPr="00864CC0">
        <w:t xml:space="preserve"> will also adopt a complexity-fee that will vary based on the number </w:t>
      </w:r>
      <w:r w:rsidR="004D7350">
        <w:t>of activities proposed</w:t>
      </w:r>
      <w:r w:rsidR="00771DC5">
        <w:t xml:space="preserve"> and the number of titles covered by the EMP</w:t>
      </w:r>
      <w:r w:rsidR="004D7350">
        <w:t>.</w:t>
      </w:r>
      <w:r w:rsidR="00B570B3" w:rsidRPr="00B570B3">
        <w:t xml:space="preserve"> </w:t>
      </w:r>
    </w:p>
    <w:p w14:paraId="76F44A2D" w14:textId="7D9B6F37" w:rsidR="00976837" w:rsidRDefault="00B570B3" w:rsidP="00B570B3">
      <w:r w:rsidRPr="009B01F6">
        <w:t>Plan assessment and approval fees will be calculated based on the number and type of activities proposed in plans to ensure that charges will match the size and complexity of different operations.</w:t>
      </w:r>
    </w:p>
    <w:p w14:paraId="211AFEDB" w14:textId="48C0580C" w:rsidR="00771DC5" w:rsidRDefault="00E05AFE" w:rsidP="00976837">
      <w:pPr>
        <w:rPr>
          <w:noProof/>
        </w:rPr>
      </w:pPr>
      <w:r>
        <w:t>The applicable fees are listed in Table 3 (</w:t>
      </w:r>
      <w:r w:rsidRPr="00C00DF4">
        <w:t>page 7</w:t>
      </w:r>
      <w:r>
        <w:t>).</w:t>
      </w:r>
      <w:r w:rsidR="00207B41">
        <w:t xml:space="preserve"> </w:t>
      </w:r>
      <w:r w:rsidR="00655B7A" w:rsidRPr="00A45E5D">
        <w:rPr>
          <w:noProof/>
        </w:rPr>
        <w:t xml:space="preserve">A User Guide and Calculator </w:t>
      </w:r>
      <w:r w:rsidR="0061381B">
        <w:rPr>
          <w:noProof/>
        </w:rPr>
        <w:t xml:space="preserve">tool </w:t>
      </w:r>
      <w:r w:rsidR="00655B7A" w:rsidRPr="00A45E5D">
        <w:rPr>
          <w:noProof/>
        </w:rPr>
        <w:t>have been developed to assist in calculating this fee.</w:t>
      </w:r>
    </w:p>
    <w:p w14:paraId="23AFDEBE" w14:textId="77777777" w:rsidR="00174961" w:rsidRDefault="00174961" w:rsidP="00B570B3">
      <w:pPr>
        <w:pStyle w:val="Heading2"/>
      </w:pPr>
      <w:bookmarkStart w:id="9" w:name="_Toc137719059"/>
      <w:r>
        <w:t>Monitoring and Compliance levy</w:t>
      </w:r>
      <w:bookmarkEnd w:id="9"/>
    </w:p>
    <w:p w14:paraId="2D00E7EE" w14:textId="77777777" w:rsidR="00DE7CBF" w:rsidRPr="00C138DD" w:rsidRDefault="001A399F" w:rsidP="00DE7CBF">
      <w:pPr>
        <w:rPr>
          <w:b/>
        </w:rPr>
      </w:pPr>
      <w:r>
        <w:rPr>
          <w:b/>
        </w:rPr>
        <w:t>Accepted for consideration</w:t>
      </w:r>
      <w:r w:rsidR="00A01ADA">
        <w:rPr>
          <w:b/>
        </w:rPr>
        <w:t xml:space="preserve"> by</w:t>
      </w:r>
      <w:r w:rsidR="00DE7CBF">
        <w:rPr>
          <w:b/>
        </w:rPr>
        <w:t xml:space="preserve"> the </w:t>
      </w:r>
      <w:r w:rsidR="00DE7CBF" w:rsidRPr="00C138DD">
        <w:rPr>
          <w:b/>
        </w:rPr>
        <w:t>Petroleum Operations Branch, DEPWS</w:t>
      </w:r>
      <w:r>
        <w:rPr>
          <w:b/>
        </w:rPr>
        <w:t>, then approved and</w:t>
      </w:r>
      <w:r w:rsidR="00DE7CBF">
        <w:rPr>
          <w:b/>
        </w:rPr>
        <w:t xml:space="preserve"> invoiced </w:t>
      </w:r>
      <w:r w:rsidR="00DE7CBF" w:rsidRPr="00C138DD">
        <w:rPr>
          <w:b/>
        </w:rPr>
        <w:t xml:space="preserve">by the </w:t>
      </w:r>
      <w:r w:rsidR="00DE7CBF">
        <w:rPr>
          <w:b/>
        </w:rPr>
        <w:t>Energy Development Branch, DITT</w:t>
      </w:r>
      <w:r w:rsidR="00B61FB3">
        <w:rPr>
          <w:b/>
        </w:rPr>
        <w:t xml:space="preserve"> on the advice of DEPWS.</w:t>
      </w:r>
    </w:p>
    <w:p w14:paraId="16CE6530" w14:textId="77777777" w:rsidR="00EB456F" w:rsidRDefault="00EB456F" w:rsidP="00EB456F">
      <w:r>
        <w:t xml:space="preserve">The </w:t>
      </w:r>
      <w:r w:rsidR="005844E2">
        <w:t xml:space="preserve">amending </w:t>
      </w:r>
      <w:r>
        <w:t xml:space="preserve">Act inserts new </w:t>
      </w:r>
      <w:r w:rsidRPr="00B570B3">
        <w:t xml:space="preserve">Schedule </w:t>
      </w:r>
      <w:r>
        <w:t xml:space="preserve">4A; Monitoring and compliance levy into the </w:t>
      </w:r>
      <w:r w:rsidRPr="007A2466">
        <w:t>Petroleum Regulations</w:t>
      </w:r>
      <w:r w:rsidRPr="00D50ABB">
        <w:rPr>
          <w:i/>
        </w:rPr>
        <w:t xml:space="preserve"> </w:t>
      </w:r>
      <w:r>
        <w:t>to describe the components and calculation processes for this</w:t>
      </w:r>
      <w:r w:rsidR="00174961" w:rsidRPr="00174961">
        <w:rPr>
          <w:bCs/>
        </w:rPr>
        <w:t xml:space="preserve"> new l</w:t>
      </w:r>
      <w:r w:rsidR="00174961" w:rsidRPr="00174961">
        <w:t>evy</w:t>
      </w:r>
      <w:r>
        <w:t>.</w:t>
      </w:r>
    </w:p>
    <w:p w14:paraId="070CA01B" w14:textId="02831B04" w:rsidR="003D33A3" w:rsidRDefault="00EB456F" w:rsidP="00EB456F">
      <w:r>
        <w:t>The monitoring and compliance levy is</w:t>
      </w:r>
      <w:r w:rsidR="00174961" w:rsidRPr="00174961">
        <w:t xml:space="preserve"> payable annually based on</w:t>
      </w:r>
      <w:r w:rsidR="00BE0885">
        <w:t xml:space="preserve"> the</w:t>
      </w:r>
      <w:r w:rsidR="00174961" w:rsidRPr="00174961">
        <w:t xml:space="preserve"> number and type of activities approved in </w:t>
      </w:r>
      <w:r w:rsidR="003D33A3">
        <w:t xml:space="preserve">an </w:t>
      </w:r>
      <w:r w:rsidR="00207B41">
        <w:t>in-force</w:t>
      </w:r>
      <w:r w:rsidR="00207B41" w:rsidRPr="00174961">
        <w:t xml:space="preserve"> </w:t>
      </w:r>
      <w:r w:rsidR="00174961" w:rsidRPr="00174961">
        <w:t>EMP</w:t>
      </w:r>
      <w:r w:rsidR="003D33A3">
        <w:t xml:space="preserve"> (to be carried out during the relevant financial year)</w:t>
      </w:r>
      <w:r w:rsidR="00174961" w:rsidRPr="00174961">
        <w:t>.</w:t>
      </w:r>
      <w:r w:rsidR="00174961">
        <w:t xml:space="preserve"> </w:t>
      </w:r>
      <w:r w:rsidR="003D33A3">
        <w:t xml:space="preserve">An additional levy may be imposed </w:t>
      </w:r>
      <w:r w:rsidR="00103A80">
        <w:t xml:space="preserve">on a pro-rata basis </w:t>
      </w:r>
      <w:r w:rsidR="00052DE2">
        <w:t>during a financial year if additional activities are approved during the financial year.</w:t>
      </w:r>
    </w:p>
    <w:p w14:paraId="0A66F218" w14:textId="77777777" w:rsidR="00F22316" w:rsidRPr="00F53BEF" w:rsidRDefault="00174961" w:rsidP="00EB456F">
      <w:r w:rsidRPr="00174961">
        <w:t>The</w:t>
      </w:r>
      <w:r>
        <w:t xml:space="preserve"> monitoring and compliance </w:t>
      </w:r>
      <w:r w:rsidRPr="00174961">
        <w:t xml:space="preserve">levy is intended to recover the costs of a range of DITT and DEPWS monitoring and compliance activities. </w:t>
      </w:r>
      <w:r w:rsidR="00F22316">
        <w:t xml:space="preserve">As with EMPs, </w:t>
      </w:r>
      <w:r w:rsidR="00A01ADA">
        <w:t>t</w:t>
      </w:r>
      <w:r w:rsidR="00F22316">
        <w:t>he monitoring and compliance levy is based on</w:t>
      </w:r>
      <w:r w:rsidR="00F22316" w:rsidRPr="00174961">
        <w:t xml:space="preserve"> activity weightings.</w:t>
      </w:r>
    </w:p>
    <w:p w14:paraId="2A6244BB" w14:textId="17C35FA8" w:rsidR="00F22316" w:rsidRDefault="0000141D" w:rsidP="0000141D">
      <w:r>
        <w:t xml:space="preserve">EMPs have been used to calculate relevant monitoring and compliance levies because they must address all regulated activities included in </w:t>
      </w:r>
      <w:r w:rsidR="00207B41">
        <w:t xml:space="preserve">regulations </w:t>
      </w:r>
      <w:r>
        <w:t>5</w:t>
      </w:r>
      <w:r w:rsidR="00207B41">
        <w:t>(1)-</w:t>
      </w:r>
      <w:r>
        <w:t>(2) of the</w:t>
      </w:r>
      <w:r w:rsidR="007A2466">
        <w:t xml:space="preserve"> PER 2016,</w:t>
      </w:r>
      <w:r>
        <w:t xml:space="preserve"> </w:t>
      </w:r>
      <w:r w:rsidR="00F22316">
        <w:t>including</w:t>
      </w:r>
      <w:r>
        <w:t xml:space="preserve"> the </w:t>
      </w:r>
      <w:r w:rsidRPr="0000141D">
        <w:t>construction, operation, modification, decommissioning, dismantling or removal of a well, pipeline or other facility</w:t>
      </w:r>
      <w:r w:rsidR="00F22316">
        <w:t xml:space="preserve"> (which are also </w:t>
      </w:r>
      <w:r w:rsidRPr="0000141D">
        <w:t>included in a WOMP or PSIP</w:t>
      </w:r>
      <w:r w:rsidR="00E22F60">
        <w:t>)</w:t>
      </w:r>
      <w:r w:rsidRPr="0000141D">
        <w:t xml:space="preserve">. </w:t>
      </w:r>
    </w:p>
    <w:p w14:paraId="16F394C0" w14:textId="77777777" w:rsidR="0000141D" w:rsidRPr="00CB67F2" w:rsidRDefault="00F22316" w:rsidP="00861923">
      <w:r w:rsidRPr="00CB67F2">
        <w:t xml:space="preserve">Because EMPs are administered, accepted and assessed </w:t>
      </w:r>
      <w:r w:rsidR="0000141D" w:rsidRPr="00CB67F2">
        <w:t xml:space="preserve">by the Petroleum Operations Branch, DEPWS, </w:t>
      </w:r>
      <w:r w:rsidR="006E7CDA" w:rsidRPr="00CB67F2">
        <w:t xml:space="preserve">DEPWS will also be responsible for assessing and </w:t>
      </w:r>
      <w:r w:rsidR="001A399F" w:rsidRPr="00CB67F2">
        <w:t xml:space="preserve">endorsing </w:t>
      </w:r>
      <w:r w:rsidR="006E7CDA" w:rsidRPr="00CB67F2">
        <w:t>nominated levy amounts</w:t>
      </w:r>
      <w:r w:rsidR="001A399F" w:rsidRPr="00CB67F2">
        <w:t xml:space="preserve"> against the relevant EMPs</w:t>
      </w:r>
      <w:r w:rsidR="00655B7A">
        <w:t>.</w:t>
      </w:r>
    </w:p>
    <w:p w14:paraId="199E42EC" w14:textId="77777777" w:rsidR="00CB67F2" w:rsidRPr="00CB67F2" w:rsidRDefault="006E7CDA" w:rsidP="00CB67F2">
      <w:pPr>
        <w:rPr>
          <w:rFonts w:asciiTheme="minorHAnsi" w:eastAsiaTheme="minorHAnsi" w:hAnsiTheme="minorHAnsi" w:cstheme="minorBidi"/>
        </w:rPr>
      </w:pPr>
      <w:r w:rsidRPr="00CB67F2">
        <w:rPr>
          <w:rFonts w:asciiTheme="minorHAnsi" w:eastAsiaTheme="minorHAnsi" w:hAnsiTheme="minorHAnsi" w:cstheme="minorBidi"/>
        </w:rPr>
        <w:t>Notably</w:t>
      </w:r>
      <w:r w:rsidR="00A01ADA">
        <w:rPr>
          <w:rFonts w:asciiTheme="minorHAnsi" w:eastAsiaTheme="minorHAnsi" w:hAnsiTheme="minorHAnsi" w:cstheme="minorBidi"/>
        </w:rPr>
        <w:t>,</w:t>
      </w:r>
      <w:r w:rsidRPr="00CB67F2">
        <w:rPr>
          <w:rFonts w:asciiTheme="minorHAnsi" w:eastAsiaTheme="minorHAnsi" w:hAnsiTheme="minorHAnsi" w:cstheme="minorBidi"/>
        </w:rPr>
        <w:t xml:space="preserve"> an EMP that includes different types of regulated activities over a larger number of titles will generally result in a higher levy</w:t>
      </w:r>
      <w:r w:rsidR="00655B7A" w:rsidRPr="00CB67F2">
        <w:rPr>
          <w:rFonts w:asciiTheme="minorHAnsi" w:eastAsiaTheme="minorHAnsi" w:hAnsiTheme="minorHAnsi" w:cstheme="minorBidi"/>
        </w:rPr>
        <w:t xml:space="preserve">, </w:t>
      </w:r>
      <w:r w:rsidR="00655B7A">
        <w:rPr>
          <w:rFonts w:asciiTheme="minorHAnsi" w:eastAsiaTheme="minorHAnsi" w:hAnsiTheme="minorHAnsi" w:cstheme="minorBidi"/>
        </w:rPr>
        <w:t>however</w:t>
      </w:r>
      <w:r w:rsidR="00CB67F2">
        <w:rPr>
          <w:rFonts w:asciiTheme="minorHAnsi" w:eastAsiaTheme="minorHAnsi" w:hAnsiTheme="minorHAnsi" w:cstheme="minorBidi"/>
        </w:rPr>
        <w:t xml:space="preserve"> </w:t>
      </w:r>
      <w:r w:rsidR="00CB67F2" w:rsidRPr="00CB67F2">
        <w:rPr>
          <w:rFonts w:asciiTheme="minorHAnsi" w:eastAsiaTheme="minorHAnsi" w:hAnsiTheme="minorHAnsi" w:cstheme="minorBidi"/>
        </w:rPr>
        <w:t xml:space="preserve">a number </w:t>
      </w:r>
      <w:r w:rsidR="00074F8C" w:rsidRPr="00CB67F2">
        <w:rPr>
          <w:rFonts w:asciiTheme="minorHAnsi" w:eastAsiaTheme="minorHAnsi" w:hAnsiTheme="minorHAnsi" w:cstheme="minorBidi"/>
        </w:rPr>
        <w:t>of caps</w:t>
      </w:r>
      <w:r w:rsidR="00CB67F2" w:rsidRPr="00CB67F2">
        <w:rPr>
          <w:rFonts w:asciiTheme="minorHAnsi" w:eastAsiaTheme="minorHAnsi" w:hAnsiTheme="minorHAnsi" w:cstheme="minorBidi"/>
        </w:rPr>
        <w:t xml:space="preserve"> have been</w:t>
      </w:r>
      <w:r w:rsidR="00074F8C">
        <w:rPr>
          <w:rFonts w:asciiTheme="minorHAnsi" w:eastAsiaTheme="minorHAnsi" w:hAnsiTheme="minorHAnsi" w:cstheme="minorBidi"/>
        </w:rPr>
        <w:t xml:space="preserve"> incorporated into the calculation </w:t>
      </w:r>
      <w:r w:rsidR="00655B7A">
        <w:rPr>
          <w:rFonts w:asciiTheme="minorHAnsi" w:eastAsiaTheme="minorHAnsi" w:hAnsiTheme="minorHAnsi" w:cstheme="minorBidi"/>
        </w:rPr>
        <w:t>methodology</w:t>
      </w:r>
      <w:r w:rsidR="00CB67F2" w:rsidRPr="00CB67F2">
        <w:rPr>
          <w:rFonts w:asciiTheme="minorHAnsi" w:eastAsiaTheme="minorHAnsi" w:hAnsiTheme="minorHAnsi" w:cstheme="minorBidi"/>
        </w:rPr>
        <w:t xml:space="preserve"> </w:t>
      </w:r>
      <w:r w:rsidR="00FA377D">
        <w:rPr>
          <w:rFonts w:asciiTheme="minorHAnsi" w:eastAsiaTheme="minorHAnsi" w:hAnsiTheme="minorHAnsi" w:cstheme="minorBidi"/>
        </w:rPr>
        <w:t>to recognise efficiencies that</w:t>
      </w:r>
      <w:r w:rsidR="00FA377D" w:rsidRPr="00BF3918">
        <w:rPr>
          <w:rFonts w:asciiTheme="minorHAnsi" w:eastAsiaTheme="minorHAnsi" w:hAnsiTheme="minorHAnsi" w:cstheme="minorBidi"/>
        </w:rPr>
        <w:t xml:space="preserve"> apply to the regulator's costs of monitoring and compliance in </w:t>
      </w:r>
      <w:r w:rsidR="00FA377D">
        <w:rPr>
          <w:rFonts w:asciiTheme="minorHAnsi" w:eastAsiaTheme="minorHAnsi" w:hAnsiTheme="minorHAnsi" w:cstheme="minorBidi"/>
        </w:rPr>
        <w:t>certain</w:t>
      </w:r>
      <w:r w:rsidR="00FA377D" w:rsidRPr="00BF3918">
        <w:rPr>
          <w:rFonts w:asciiTheme="minorHAnsi" w:eastAsiaTheme="minorHAnsi" w:hAnsiTheme="minorHAnsi" w:cstheme="minorBidi"/>
        </w:rPr>
        <w:t xml:space="preserve"> circumstances</w:t>
      </w:r>
      <w:r w:rsidR="00CB67F2" w:rsidRPr="00CB67F2">
        <w:rPr>
          <w:rFonts w:asciiTheme="minorHAnsi" w:eastAsiaTheme="minorHAnsi" w:hAnsiTheme="minorHAnsi" w:cstheme="minorBidi"/>
        </w:rPr>
        <w:t>:</w:t>
      </w:r>
    </w:p>
    <w:p w14:paraId="677A21E9" w14:textId="77777777" w:rsidR="00CB67F2" w:rsidRPr="00CB67F2" w:rsidRDefault="006E7CDA" w:rsidP="00CB67F2">
      <w:pPr>
        <w:pStyle w:val="ListParagraph"/>
        <w:numPr>
          <w:ilvl w:val="0"/>
          <w:numId w:val="43"/>
        </w:numPr>
        <w:rPr>
          <w:rFonts w:asciiTheme="minorHAnsi" w:eastAsiaTheme="minorHAnsi" w:hAnsiTheme="minorHAnsi" w:cstheme="minorBidi"/>
        </w:rPr>
      </w:pPr>
      <w:r w:rsidRPr="00CB67F2">
        <w:rPr>
          <w:rFonts w:asciiTheme="minorHAnsi" w:eastAsiaTheme="minorHAnsi" w:hAnsiTheme="minorHAnsi" w:cstheme="minorBidi"/>
        </w:rPr>
        <w:t xml:space="preserve">the cost of monitoring and compliance for a regulated activity </w:t>
      </w:r>
      <w:r w:rsidR="00CB67F2" w:rsidRPr="00CB67F2">
        <w:rPr>
          <w:rFonts w:asciiTheme="minorHAnsi" w:eastAsiaTheme="minorHAnsi" w:hAnsiTheme="minorHAnsi" w:cstheme="minorBidi"/>
        </w:rPr>
        <w:t xml:space="preserve">will be calculated </w:t>
      </w:r>
      <w:r w:rsidRPr="00CB67F2">
        <w:rPr>
          <w:rFonts w:asciiTheme="minorHAnsi" w:eastAsiaTheme="minorHAnsi" w:hAnsiTheme="minorHAnsi" w:cstheme="minorBidi"/>
        </w:rPr>
        <w:t>for a maximum of two titles</w:t>
      </w:r>
      <w:r w:rsidR="00CB67F2" w:rsidRPr="00CB67F2">
        <w:rPr>
          <w:rFonts w:asciiTheme="minorHAnsi" w:eastAsiaTheme="minorHAnsi" w:hAnsiTheme="minorHAnsi" w:cstheme="minorBidi"/>
        </w:rPr>
        <w:t>;</w:t>
      </w:r>
    </w:p>
    <w:p w14:paraId="5373E11A" w14:textId="77777777" w:rsidR="00CB67F2" w:rsidRPr="00CB67F2" w:rsidRDefault="00CB67F2" w:rsidP="00CB67F2">
      <w:pPr>
        <w:pStyle w:val="ListParagraph"/>
        <w:numPr>
          <w:ilvl w:val="0"/>
          <w:numId w:val="43"/>
        </w:numPr>
        <w:rPr>
          <w:rFonts w:asciiTheme="minorHAnsi" w:eastAsiaTheme="minorHAnsi" w:hAnsiTheme="minorHAnsi" w:cstheme="minorBidi"/>
        </w:rPr>
      </w:pPr>
      <w:r w:rsidRPr="00CB67F2">
        <w:rPr>
          <w:rFonts w:asciiTheme="minorHAnsi" w:eastAsiaTheme="minorHAnsi" w:hAnsiTheme="minorHAnsi" w:cstheme="minorBidi"/>
        </w:rPr>
        <w:t xml:space="preserve">if two or more activities on a title area fall into the same activity category, for example land clearing and earthworks, that category will only be counted once in relation to that title area; </w:t>
      </w:r>
    </w:p>
    <w:p w14:paraId="1F8F8D25" w14:textId="77777777" w:rsidR="00CB67F2" w:rsidRPr="00CB67F2" w:rsidRDefault="00A01ADA" w:rsidP="00CB67F2">
      <w:pPr>
        <w:pStyle w:val="ListParagraph"/>
        <w:numPr>
          <w:ilvl w:val="0"/>
          <w:numId w:val="43"/>
        </w:numPr>
        <w:rPr>
          <w:rFonts w:asciiTheme="minorHAnsi" w:eastAsiaTheme="minorHAnsi" w:hAnsiTheme="minorHAnsi" w:cstheme="minorBidi"/>
        </w:rPr>
      </w:pPr>
      <w:r>
        <w:rPr>
          <w:rFonts w:asciiTheme="minorHAnsi" w:eastAsiaTheme="minorHAnsi" w:hAnsiTheme="minorHAnsi" w:cstheme="minorBidi"/>
        </w:rPr>
        <w:t>i</w:t>
      </w:r>
      <w:r w:rsidR="00CB67F2" w:rsidRPr="00CB67F2">
        <w:rPr>
          <w:rFonts w:asciiTheme="minorHAnsi" w:eastAsiaTheme="minorHAnsi" w:hAnsiTheme="minorHAnsi" w:cstheme="minorBidi"/>
        </w:rPr>
        <w:t xml:space="preserve">f two or more seismic surveys are to be undertaken in a title area, </w:t>
      </w:r>
      <w:r w:rsidR="00074F8C">
        <w:rPr>
          <w:rFonts w:asciiTheme="minorHAnsi" w:eastAsiaTheme="minorHAnsi" w:hAnsiTheme="minorHAnsi" w:cstheme="minorBidi"/>
        </w:rPr>
        <w:t>a</w:t>
      </w:r>
      <w:r w:rsidR="00CB67F2" w:rsidRPr="00CB67F2">
        <w:rPr>
          <w:rFonts w:asciiTheme="minorHAnsi" w:eastAsiaTheme="minorHAnsi" w:hAnsiTheme="minorHAnsi" w:cstheme="minorBidi"/>
        </w:rPr>
        <w:t xml:space="preserve"> </w:t>
      </w:r>
      <w:r w:rsidR="00074F8C">
        <w:rPr>
          <w:rFonts w:asciiTheme="minorHAnsi" w:eastAsiaTheme="minorHAnsi" w:hAnsiTheme="minorHAnsi" w:cstheme="minorBidi"/>
        </w:rPr>
        <w:t xml:space="preserve">maximum </w:t>
      </w:r>
      <w:r w:rsidR="00CB67F2" w:rsidRPr="00CB67F2">
        <w:rPr>
          <w:rFonts w:asciiTheme="minorHAnsi" w:eastAsiaTheme="minorHAnsi" w:hAnsiTheme="minorHAnsi" w:cstheme="minorBidi"/>
        </w:rPr>
        <w:t>compliance rating of four will be applied</w:t>
      </w:r>
      <w:r w:rsidR="00074F8C">
        <w:rPr>
          <w:rFonts w:asciiTheme="minorHAnsi" w:eastAsiaTheme="minorHAnsi" w:hAnsiTheme="minorHAnsi" w:cstheme="minorBidi"/>
        </w:rPr>
        <w:t xml:space="preserve"> to any combined survey length exceeding 100</w:t>
      </w:r>
      <w:r w:rsidR="00207B41">
        <w:rPr>
          <w:rFonts w:asciiTheme="minorHAnsi" w:eastAsiaTheme="minorHAnsi" w:hAnsiTheme="minorHAnsi" w:cstheme="minorBidi"/>
        </w:rPr>
        <w:t xml:space="preserve"> </w:t>
      </w:r>
      <w:r w:rsidR="00074F8C">
        <w:rPr>
          <w:rFonts w:asciiTheme="minorHAnsi" w:eastAsiaTheme="minorHAnsi" w:hAnsiTheme="minorHAnsi" w:cstheme="minorBidi"/>
        </w:rPr>
        <w:t>km in length, irrespective of the number of surveys</w:t>
      </w:r>
      <w:r w:rsidR="00CB67F2" w:rsidRPr="00CB67F2">
        <w:rPr>
          <w:rFonts w:asciiTheme="minorHAnsi" w:eastAsiaTheme="minorHAnsi" w:hAnsiTheme="minorHAnsi" w:cstheme="minorBidi"/>
        </w:rPr>
        <w:t xml:space="preserve">. </w:t>
      </w:r>
    </w:p>
    <w:p w14:paraId="61269117" w14:textId="77777777" w:rsidR="00EB456F" w:rsidRDefault="00EB456F" w:rsidP="00EB456F">
      <w:r>
        <w:t xml:space="preserve">Regulated activities in the Beetaloo Sub-basin will incur an </w:t>
      </w:r>
      <w:r w:rsidRPr="00174961">
        <w:rPr>
          <w:b/>
        </w:rPr>
        <w:t>uplift factor</w:t>
      </w:r>
      <w:r>
        <w:t xml:space="preserve"> to recover costs that have been incurred by the Northern Territory Government to meet Inquiry Recommendations that required a Strategic Regional Environment Baseline Assessment (SREBA). The uplift factor will only be charged until such time as costs required for the SREBA have been recuperated.</w:t>
      </w:r>
    </w:p>
    <w:p w14:paraId="1F991897" w14:textId="77777777" w:rsidR="003375AC" w:rsidRPr="00A01ADA" w:rsidRDefault="00655B7A" w:rsidP="003375AC">
      <w:pPr>
        <w:pStyle w:val="Paragraph"/>
        <w:keepLines/>
        <w:spacing w:before="120" w:after="60"/>
        <w:ind w:left="0" w:firstLine="0"/>
        <w:jc w:val="left"/>
        <w:rPr>
          <w:rFonts w:asciiTheme="minorHAnsi" w:hAnsiTheme="minorHAnsi"/>
          <w:noProof/>
          <w:sz w:val="22"/>
          <w:szCs w:val="22"/>
        </w:rPr>
      </w:pPr>
      <w:r w:rsidRPr="00A01ADA">
        <w:rPr>
          <w:rFonts w:asciiTheme="minorHAnsi" w:hAnsiTheme="minorHAnsi"/>
          <w:noProof/>
          <w:sz w:val="22"/>
          <w:szCs w:val="22"/>
        </w:rPr>
        <w:t>A User Guide and Ca</w:t>
      </w:r>
      <w:r w:rsidR="003375AC" w:rsidRPr="00A01ADA">
        <w:rPr>
          <w:rFonts w:asciiTheme="minorHAnsi" w:hAnsiTheme="minorHAnsi"/>
          <w:noProof/>
          <w:sz w:val="22"/>
          <w:szCs w:val="22"/>
        </w:rPr>
        <w:t xml:space="preserve">lculator </w:t>
      </w:r>
      <w:r w:rsidR="00771DC5">
        <w:rPr>
          <w:rFonts w:asciiTheme="minorHAnsi" w:hAnsiTheme="minorHAnsi"/>
          <w:noProof/>
          <w:sz w:val="22"/>
          <w:szCs w:val="22"/>
        </w:rPr>
        <w:t xml:space="preserve">tool </w:t>
      </w:r>
      <w:r w:rsidR="003375AC" w:rsidRPr="00A01ADA">
        <w:rPr>
          <w:rFonts w:asciiTheme="minorHAnsi" w:hAnsiTheme="minorHAnsi"/>
          <w:noProof/>
          <w:sz w:val="22"/>
          <w:szCs w:val="22"/>
        </w:rPr>
        <w:t>have been developed to a</w:t>
      </w:r>
      <w:r w:rsidR="00E05AFE" w:rsidRPr="00A01ADA">
        <w:rPr>
          <w:rFonts w:asciiTheme="minorHAnsi" w:hAnsiTheme="minorHAnsi"/>
          <w:noProof/>
          <w:sz w:val="22"/>
          <w:szCs w:val="22"/>
        </w:rPr>
        <w:t>ssist in calculating this levy.</w:t>
      </w:r>
    </w:p>
    <w:p w14:paraId="4F512EA6" w14:textId="77777777" w:rsidR="0049421B" w:rsidRDefault="0049421B">
      <w:pPr>
        <w:rPr>
          <w:rFonts w:ascii="Helvetica" w:eastAsia="Times New Roman" w:hAnsi="Helvetica"/>
          <w:b/>
          <w:noProof/>
          <w:sz w:val="24"/>
          <w:szCs w:val="28"/>
          <w:lang w:eastAsia="en-AU"/>
        </w:rPr>
      </w:pPr>
      <w:bookmarkStart w:id="10" w:name="_Toc120784054"/>
      <w:r>
        <w:rPr>
          <w:noProof/>
          <w:sz w:val="24"/>
        </w:rPr>
        <w:br w:type="page"/>
      </w:r>
    </w:p>
    <w:p w14:paraId="78776F51" w14:textId="77777777" w:rsidR="00E2499F" w:rsidRPr="00215904" w:rsidRDefault="0049421B" w:rsidP="00E2499F">
      <w:pPr>
        <w:pStyle w:val="NewPartHeading"/>
        <w:rPr>
          <w:noProof/>
          <w:sz w:val="24"/>
        </w:rPr>
      </w:pPr>
      <w:r>
        <w:rPr>
          <w:noProof/>
          <w:sz w:val="24"/>
        </w:rPr>
        <w:t>Table 1</w:t>
      </w:r>
      <w:r w:rsidR="00A01ADA">
        <w:rPr>
          <w:noProof/>
          <w:sz w:val="24"/>
        </w:rPr>
        <w:t>: Schedule 1</w:t>
      </w:r>
      <w:r w:rsidR="008F0E58">
        <w:rPr>
          <w:noProof/>
          <w:sz w:val="24"/>
        </w:rPr>
        <w:t xml:space="preserve"> </w:t>
      </w:r>
      <w:r w:rsidR="00E2499F" w:rsidRPr="00215904">
        <w:rPr>
          <w:noProof/>
          <w:sz w:val="24"/>
        </w:rPr>
        <w:t>Fees and amounts for Act and Regulations</w:t>
      </w:r>
      <w:bookmarkEnd w:id="10"/>
      <w:r>
        <w:rPr>
          <w:noProof/>
          <w:sz w:val="24"/>
        </w:rPr>
        <w:t xml:space="preserve"> </w:t>
      </w:r>
    </w:p>
    <w:tbl>
      <w:tblPr>
        <w:tblW w:w="100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5387"/>
        <w:gridCol w:w="567"/>
        <w:gridCol w:w="1242"/>
        <w:gridCol w:w="1560"/>
      </w:tblGrid>
      <w:tr w:rsidR="004652AA" w:rsidRPr="003D42D5" w14:paraId="1F57637E" w14:textId="77777777" w:rsidTr="00737DCE">
        <w:trPr>
          <w:tblHeader/>
        </w:trPr>
        <w:tc>
          <w:tcPr>
            <w:tcW w:w="1276" w:type="dxa"/>
            <w:tcBorders>
              <w:top w:val="single" w:sz="4" w:space="0" w:color="auto"/>
              <w:left w:val="nil"/>
              <w:bottom w:val="single" w:sz="4" w:space="0" w:color="auto"/>
            </w:tcBorders>
          </w:tcPr>
          <w:p w14:paraId="18F66E8A" w14:textId="77777777" w:rsidR="00106585" w:rsidRPr="00106585" w:rsidRDefault="004652AA" w:rsidP="00106585">
            <w:pPr>
              <w:widowControl w:val="0"/>
              <w:spacing w:before="40" w:after="40"/>
              <w:jc w:val="center"/>
              <w:rPr>
                <w:rFonts w:asciiTheme="minorHAnsi" w:hAnsiTheme="minorHAnsi" w:cs="Helvetica"/>
                <w:b/>
                <w:noProof/>
                <w:sz w:val="21"/>
                <w:szCs w:val="21"/>
              </w:rPr>
            </w:pPr>
            <w:r w:rsidRPr="00106585">
              <w:rPr>
                <w:rFonts w:asciiTheme="minorHAnsi" w:hAnsiTheme="minorHAnsi" w:cs="Helvetica"/>
                <w:b/>
                <w:noProof/>
                <w:sz w:val="21"/>
                <w:szCs w:val="21"/>
              </w:rPr>
              <w:t>Provision</w:t>
            </w:r>
          </w:p>
        </w:tc>
        <w:tc>
          <w:tcPr>
            <w:tcW w:w="5387" w:type="dxa"/>
            <w:tcBorders>
              <w:top w:val="single" w:sz="4" w:space="0" w:color="auto"/>
              <w:bottom w:val="single" w:sz="4" w:space="0" w:color="auto"/>
            </w:tcBorders>
          </w:tcPr>
          <w:p w14:paraId="40FB5E34" w14:textId="77777777" w:rsidR="004652AA" w:rsidRPr="00106585" w:rsidRDefault="004652AA" w:rsidP="00106585">
            <w:pPr>
              <w:widowControl w:val="0"/>
              <w:spacing w:before="40" w:after="40"/>
              <w:jc w:val="center"/>
              <w:rPr>
                <w:rFonts w:asciiTheme="minorHAnsi" w:hAnsiTheme="minorHAnsi" w:cs="Helvetica"/>
                <w:b/>
                <w:noProof/>
                <w:sz w:val="21"/>
                <w:szCs w:val="21"/>
              </w:rPr>
            </w:pPr>
            <w:r w:rsidRPr="00106585">
              <w:rPr>
                <w:rFonts w:asciiTheme="minorHAnsi" w:hAnsiTheme="minorHAnsi" w:cs="Helvetica"/>
                <w:b/>
                <w:noProof/>
                <w:sz w:val="21"/>
                <w:szCs w:val="21"/>
              </w:rPr>
              <w:t>Description</w:t>
            </w:r>
          </w:p>
        </w:tc>
        <w:tc>
          <w:tcPr>
            <w:tcW w:w="1809" w:type="dxa"/>
            <w:gridSpan w:val="2"/>
            <w:tcBorders>
              <w:top w:val="single" w:sz="4" w:space="0" w:color="auto"/>
              <w:bottom w:val="single" w:sz="4" w:space="0" w:color="auto"/>
              <w:right w:val="nil"/>
            </w:tcBorders>
          </w:tcPr>
          <w:p w14:paraId="0659C1F8" w14:textId="77777777" w:rsidR="004652AA" w:rsidRPr="00106585" w:rsidRDefault="004652AA" w:rsidP="00106585">
            <w:pPr>
              <w:widowControl w:val="0"/>
              <w:spacing w:before="40" w:after="40"/>
              <w:jc w:val="center"/>
              <w:rPr>
                <w:rFonts w:asciiTheme="minorHAnsi" w:hAnsiTheme="minorHAnsi" w:cs="Helvetica"/>
                <w:b/>
                <w:noProof/>
                <w:sz w:val="21"/>
                <w:szCs w:val="21"/>
              </w:rPr>
            </w:pPr>
            <w:r w:rsidRPr="00106585">
              <w:rPr>
                <w:rFonts w:asciiTheme="minorHAnsi" w:hAnsiTheme="minorHAnsi" w:cs="Helvetica"/>
                <w:b/>
                <w:noProof/>
                <w:sz w:val="21"/>
                <w:szCs w:val="21"/>
              </w:rPr>
              <w:t>Revenue units</w:t>
            </w:r>
          </w:p>
        </w:tc>
        <w:tc>
          <w:tcPr>
            <w:tcW w:w="1560" w:type="dxa"/>
            <w:tcBorders>
              <w:top w:val="single" w:sz="4" w:space="0" w:color="auto"/>
              <w:bottom w:val="single" w:sz="4" w:space="0" w:color="auto"/>
              <w:right w:val="nil"/>
            </w:tcBorders>
          </w:tcPr>
          <w:p w14:paraId="3C72E8BD" w14:textId="77777777" w:rsidR="004652AA" w:rsidRPr="00106585" w:rsidRDefault="004652AA" w:rsidP="00106585">
            <w:pPr>
              <w:widowControl w:val="0"/>
              <w:spacing w:before="40" w:after="40"/>
              <w:jc w:val="center"/>
              <w:rPr>
                <w:rFonts w:asciiTheme="minorHAnsi" w:hAnsiTheme="minorHAnsi" w:cs="Helvetica"/>
                <w:b/>
                <w:noProof/>
                <w:sz w:val="21"/>
                <w:szCs w:val="21"/>
              </w:rPr>
            </w:pPr>
            <w:r w:rsidRPr="00106585">
              <w:rPr>
                <w:rFonts w:asciiTheme="minorHAnsi" w:hAnsiTheme="minorHAnsi" w:cs="Helvetica"/>
                <w:b/>
                <w:noProof/>
                <w:sz w:val="21"/>
                <w:szCs w:val="21"/>
              </w:rPr>
              <w:t>Fee ($)</w:t>
            </w:r>
            <w:r w:rsidR="00DE7F90">
              <w:rPr>
                <w:rFonts w:asciiTheme="minorHAnsi" w:hAnsiTheme="minorHAnsi" w:cs="Helvetica"/>
                <w:b/>
                <w:noProof/>
                <w:sz w:val="21"/>
                <w:szCs w:val="21"/>
              </w:rPr>
              <w:t xml:space="preserve"> 23/24</w:t>
            </w:r>
            <w:r w:rsidRPr="00106585">
              <w:rPr>
                <w:rFonts w:asciiTheme="minorHAnsi" w:hAnsiTheme="minorHAnsi" w:cs="Helvetica"/>
                <w:b/>
                <w:noProof/>
                <w:sz w:val="21"/>
                <w:szCs w:val="21"/>
              </w:rPr>
              <w:t xml:space="preserve"> </w:t>
            </w:r>
          </w:p>
        </w:tc>
      </w:tr>
      <w:tr w:rsidR="004652AA" w:rsidRPr="003D42D5" w14:paraId="73C04F85" w14:textId="77777777" w:rsidTr="00737DCE">
        <w:tc>
          <w:tcPr>
            <w:tcW w:w="1276" w:type="dxa"/>
            <w:tcBorders>
              <w:top w:val="nil"/>
              <w:left w:val="nil"/>
            </w:tcBorders>
          </w:tcPr>
          <w:p w14:paraId="7690A187" w14:textId="77777777" w:rsidR="004652AA" w:rsidRPr="00106585" w:rsidRDefault="00106585"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 xml:space="preserve">S </w:t>
            </w:r>
            <w:r w:rsidR="004652AA" w:rsidRPr="00106585">
              <w:rPr>
                <w:rFonts w:asciiTheme="minorHAnsi" w:hAnsiTheme="minorHAnsi" w:cs="Helvetica"/>
                <w:noProof/>
                <w:sz w:val="21"/>
                <w:szCs w:val="21"/>
              </w:rPr>
              <w:t>16</w:t>
            </w:r>
          </w:p>
        </w:tc>
        <w:tc>
          <w:tcPr>
            <w:tcW w:w="5954" w:type="dxa"/>
            <w:gridSpan w:val="2"/>
            <w:tcBorders>
              <w:top w:val="nil"/>
            </w:tcBorders>
          </w:tcPr>
          <w:p w14:paraId="2591A032" w14:textId="77777777" w:rsidR="004652AA" w:rsidRPr="00106585" w:rsidRDefault="004652AA"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Application for grant of permit</w:t>
            </w:r>
          </w:p>
        </w:tc>
        <w:tc>
          <w:tcPr>
            <w:tcW w:w="1242" w:type="dxa"/>
            <w:tcBorders>
              <w:top w:val="nil"/>
              <w:right w:val="nil"/>
            </w:tcBorders>
          </w:tcPr>
          <w:p w14:paraId="5EBB6438" w14:textId="77777777" w:rsidR="004652AA" w:rsidRPr="00106585" w:rsidRDefault="004652AA" w:rsidP="00106585">
            <w:pPr>
              <w:widowControl w:val="0"/>
              <w:spacing w:before="40" w:after="40"/>
              <w:jc w:val="right"/>
              <w:rPr>
                <w:rFonts w:asciiTheme="minorHAnsi" w:hAnsiTheme="minorHAnsi" w:cs="Helvetica"/>
                <w:noProof/>
                <w:sz w:val="21"/>
                <w:szCs w:val="21"/>
              </w:rPr>
            </w:pPr>
            <w:r w:rsidRPr="00106585">
              <w:rPr>
                <w:rFonts w:asciiTheme="minorHAnsi" w:hAnsiTheme="minorHAnsi" w:cs="Helvetica"/>
                <w:noProof/>
                <w:sz w:val="21"/>
                <w:szCs w:val="21"/>
              </w:rPr>
              <w:t>15 748</w:t>
            </w:r>
          </w:p>
        </w:tc>
        <w:tc>
          <w:tcPr>
            <w:tcW w:w="1560" w:type="dxa"/>
            <w:tcBorders>
              <w:top w:val="nil"/>
              <w:right w:val="nil"/>
            </w:tcBorders>
          </w:tcPr>
          <w:p w14:paraId="5600B22D" w14:textId="77777777" w:rsidR="004652AA" w:rsidRPr="00106585" w:rsidRDefault="0067448C" w:rsidP="005B0B66">
            <w:pPr>
              <w:widowControl w:val="0"/>
              <w:spacing w:before="40" w:after="40"/>
              <w:jc w:val="right"/>
              <w:rPr>
                <w:rFonts w:asciiTheme="minorHAnsi" w:hAnsiTheme="minorHAnsi" w:cs="Helvetica"/>
                <w:noProof/>
                <w:sz w:val="21"/>
                <w:szCs w:val="21"/>
              </w:rPr>
            </w:pPr>
            <w:r>
              <w:rPr>
                <w:rFonts w:asciiTheme="minorHAnsi" w:hAnsiTheme="minorHAnsi" w:cs="Helvetica"/>
                <w:noProof/>
                <w:sz w:val="21"/>
                <w:szCs w:val="21"/>
              </w:rPr>
              <w:t>$</w:t>
            </w:r>
            <w:r w:rsidR="005B0B66">
              <w:rPr>
                <w:rFonts w:asciiTheme="minorHAnsi" w:hAnsiTheme="minorHAnsi" w:cs="Helvetica"/>
                <w:noProof/>
                <w:sz w:val="21"/>
                <w:szCs w:val="21"/>
              </w:rPr>
              <w:t>21 259</w:t>
            </w:r>
          </w:p>
        </w:tc>
      </w:tr>
      <w:tr w:rsidR="004652AA" w:rsidRPr="003D42D5" w14:paraId="3AAF00CA" w14:textId="77777777" w:rsidTr="00737DCE">
        <w:tc>
          <w:tcPr>
            <w:tcW w:w="1276" w:type="dxa"/>
            <w:tcBorders>
              <w:left w:val="nil"/>
              <w:bottom w:val="nil"/>
            </w:tcBorders>
          </w:tcPr>
          <w:p w14:paraId="33B7A617" w14:textId="77777777" w:rsidR="004652AA" w:rsidRPr="00106585" w:rsidRDefault="00106585"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 xml:space="preserve">S </w:t>
            </w:r>
            <w:r w:rsidR="004652AA" w:rsidRPr="00106585">
              <w:rPr>
                <w:rFonts w:asciiTheme="minorHAnsi" w:hAnsiTheme="minorHAnsi" w:cs="Helvetica"/>
                <w:noProof/>
                <w:sz w:val="21"/>
                <w:szCs w:val="21"/>
              </w:rPr>
              <w:t>23</w:t>
            </w:r>
          </w:p>
        </w:tc>
        <w:tc>
          <w:tcPr>
            <w:tcW w:w="5387" w:type="dxa"/>
            <w:tcBorders>
              <w:bottom w:val="nil"/>
            </w:tcBorders>
          </w:tcPr>
          <w:p w14:paraId="276B951A" w14:textId="77777777" w:rsidR="004652AA" w:rsidRPr="00106585" w:rsidRDefault="004652AA"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Application for renewal of permit</w:t>
            </w:r>
          </w:p>
        </w:tc>
        <w:tc>
          <w:tcPr>
            <w:tcW w:w="1809" w:type="dxa"/>
            <w:gridSpan w:val="2"/>
            <w:tcBorders>
              <w:bottom w:val="nil"/>
              <w:right w:val="nil"/>
            </w:tcBorders>
          </w:tcPr>
          <w:p w14:paraId="6543CAA1" w14:textId="77777777" w:rsidR="004652AA" w:rsidRPr="00106585" w:rsidRDefault="004652AA" w:rsidP="00106585">
            <w:pPr>
              <w:widowControl w:val="0"/>
              <w:spacing w:before="40" w:after="40"/>
              <w:jc w:val="right"/>
              <w:rPr>
                <w:rFonts w:asciiTheme="minorHAnsi" w:hAnsiTheme="minorHAnsi" w:cs="Helvetica"/>
                <w:noProof/>
                <w:sz w:val="21"/>
                <w:szCs w:val="21"/>
              </w:rPr>
            </w:pPr>
            <w:r w:rsidRPr="00106585">
              <w:rPr>
                <w:rFonts w:asciiTheme="minorHAnsi" w:hAnsiTheme="minorHAnsi" w:cs="Helvetica"/>
                <w:noProof/>
                <w:sz w:val="21"/>
                <w:szCs w:val="21"/>
              </w:rPr>
              <w:t>8 184</w:t>
            </w:r>
          </w:p>
        </w:tc>
        <w:tc>
          <w:tcPr>
            <w:tcW w:w="1560" w:type="dxa"/>
            <w:tcBorders>
              <w:bottom w:val="nil"/>
              <w:right w:val="nil"/>
            </w:tcBorders>
          </w:tcPr>
          <w:p w14:paraId="74C16790" w14:textId="77777777" w:rsidR="004652AA" w:rsidRPr="00106585" w:rsidRDefault="0067448C" w:rsidP="005B0B66">
            <w:pPr>
              <w:widowControl w:val="0"/>
              <w:spacing w:before="40" w:after="40"/>
              <w:jc w:val="right"/>
              <w:rPr>
                <w:rFonts w:asciiTheme="minorHAnsi" w:hAnsiTheme="minorHAnsi" w:cs="Helvetica"/>
                <w:noProof/>
                <w:sz w:val="21"/>
                <w:szCs w:val="21"/>
              </w:rPr>
            </w:pPr>
            <w:r>
              <w:rPr>
                <w:rFonts w:asciiTheme="minorHAnsi" w:hAnsiTheme="minorHAnsi" w:cs="Helvetica"/>
                <w:noProof/>
                <w:sz w:val="21"/>
                <w:szCs w:val="21"/>
              </w:rPr>
              <w:t>$</w:t>
            </w:r>
            <w:r w:rsidR="005B0B66">
              <w:rPr>
                <w:rFonts w:asciiTheme="minorHAnsi" w:hAnsiTheme="minorHAnsi" w:cs="Helvetica"/>
                <w:noProof/>
                <w:sz w:val="21"/>
                <w:szCs w:val="21"/>
              </w:rPr>
              <w:t>11 048</w:t>
            </w:r>
          </w:p>
        </w:tc>
      </w:tr>
      <w:tr w:rsidR="004652AA" w:rsidRPr="003D42D5" w14:paraId="3385E39E" w14:textId="77777777" w:rsidTr="00737DCE">
        <w:tc>
          <w:tcPr>
            <w:tcW w:w="1276" w:type="dxa"/>
            <w:tcBorders>
              <w:top w:val="nil"/>
              <w:left w:val="nil"/>
              <w:bottom w:val="nil"/>
            </w:tcBorders>
          </w:tcPr>
          <w:p w14:paraId="66BE1A6D" w14:textId="77777777" w:rsidR="004652AA" w:rsidRPr="00106585" w:rsidRDefault="00106585"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 xml:space="preserve">S </w:t>
            </w:r>
            <w:r w:rsidR="004652AA" w:rsidRPr="00106585">
              <w:rPr>
                <w:rFonts w:asciiTheme="minorHAnsi" w:hAnsiTheme="minorHAnsi" w:cs="Helvetica"/>
                <w:noProof/>
                <w:sz w:val="21"/>
                <w:szCs w:val="21"/>
              </w:rPr>
              <w:t>26</w:t>
            </w:r>
          </w:p>
        </w:tc>
        <w:tc>
          <w:tcPr>
            <w:tcW w:w="5387" w:type="dxa"/>
            <w:tcBorders>
              <w:top w:val="nil"/>
              <w:bottom w:val="nil"/>
            </w:tcBorders>
          </w:tcPr>
          <w:p w14:paraId="2608A7A8" w14:textId="77777777" w:rsidR="004652AA" w:rsidRPr="00106585" w:rsidRDefault="004652AA"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Annual fee in relation to a permit per block per annum</w:t>
            </w:r>
          </w:p>
        </w:tc>
        <w:tc>
          <w:tcPr>
            <w:tcW w:w="1809" w:type="dxa"/>
            <w:gridSpan w:val="2"/>
            <w:tcBorders>
              <w:top w:val="nil"/>
              <w:bottom w:val="nil"/>
              <w:right w:val="nil"/>
            </w:tcBorders>
          </w:tcPr>
          <w:p w14:paraId="3514ACA0" w14:textId="77777777" w:rsidR="004652AA" w:rsidRPr="00106585" w:rsidRDefault="004652AA" w:rsidP="00106585">
            <w:pPr>
              <w:widowControl w:val="0"/>
              <w:spacing w:before="40" w:after="40"/>
              <w:jc w:val="right"/>
              <w:rPr>
                <w:rFonts w:asciiTheme="minorHAnsi" w:hAnsiTheme="minorHAnsi" w:cs="Helvetica"/>
                <w:noProof/>
                <w:sz w:val="21"/>
                <w:szCs w:val="21"/>
              </w:rPr>
            </w:pPr>
            <w:r w:rsidRPr="00106585">
              <w:rPr>
                <w:rFonts w:asciiTheme="minorHAnsi" w:hAnsiTheme="minorHAnsi" w:cs="Helvetica"/>
                <w:noProof/>
                <w:sz w:val="21"/>
                <w:szCs w:val="21"/>
              </w:rPr>
              <w:t>435</w:t>
            </w:r>
          </w:p>
        </w:tc>
        <w:tc>
          <w:tcPr>
            <w:tcW w:w="1560" w:type="dxa"/>
            <w:tcBorders>
              <w:top w:val="nil"/>
              <w:bottom w:val="nil"/>
              <w:right w:val="nil"/>
            </w:tcBorders>
          </w:tcPr>
          <w:p w14:paraId="752F52BC" w14:textId="77777777" w:rsidR="004652AA" w:rsidRPr="00106585" w:rsidRDefault="0067448C" w:rsidP="005B0B66">
            <w:pPr>
              <w:widowControl w:val="0"/>
              <w:spacing w:before="40" w:after="40"/>
              <w:jc w:val="right"/>
              <w:rPr>
                <w:rFonts w:asciiTheme="minorHAnsi" w:hAnsiTheme="minorHAnsi" w:cs="Helvetica"/>
                <w:noProof/>
                <w:sz w:val="21"/>
                <w:szCs w:val="21"/>
              </w:rPr>
            </w:pPr>
            <w:r>
              <w:rPr>
                <w:rFonts w:asciiTheme="minorHAnsi" w:hAnsiTheme="minorHAnsi" w:cs="Helvetica"/>
                <w:noProof/>
                <w:sz w:val="21"/>
                <w:szCs w:val="21"/>
              </w:rPr>
              <w:t>$5</w:t>
            </w:r>
            <w:r w:rsidR="005B0B66">
              <w:rPr>
                <w:rFonts w:asciiTheme="minorHAnsi" w:hAnsiTheme="minorHAnsi" w:cs="Helvetica"/>
                <w:noProof/>
                <w:sz w:val="21"/>
                <w:szCs w:val="21"/>
              </w:rPr>
              <w:t>87</w:t>
            </w:r>
          </w:p>
        </w:tc>
      </w:tr>
      <w:tr w:rsidR="004652AA" w:rsidRPr="003D42D5" w14:paraId="3E5E2473" w14:textId="77777777" w:rsidTr="00737DCE">
        <w:tc>
          <w:tcPr>
            <w:tcW w:w="1276" w:type="dxa"/>
            <w:tcBorders>
              <w:top w:val="nil"/>
              <w:left w:val="nil"/>
              <w:bottom w:val="nil"/>
            </w:tcBorders>
          </w:tcPr>
          <w:p w14:paraId="3279FED7" w14:textId="77777777" w:rsidR="004652AA" w:rsidRPr="00106585" w:rsidRDefault="00106585"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 xml:space="preserve">S </w:t>
            </w:r>
            <w:r w:rsidR="004652AA" w:rsidRPr="00106585">
              <w:rPr>
                <w:rFonts w:asciiTheme="minorHAnsi" w:hAnsiTheme="minorHAnsi" w:cs="Helvetica"/>
                <w:noProof/>
                <w:sz w:val="21"/>
                <w:szCs w:val="21"/>
              </w:rPr>
              <w:t>28</w:t>
            </w:r>
          </w:p>
        </w:tc>
        <w:tc>
          <w:tcPr>
            <w:tcW w:w="5387" w:type="dxa"/>
            <w:tcBorders>
              <w:top w:val="nil"/>
              <w:bottom w:val="nil"/>
            </w:tcBorders>
          </w:tcPr>
          <w:p w14:paraId="0D323ACD" w14:textId="77777777" w:rsidR="004652AA" w:rsidRPr="00106585" w:rsidRDefault="004652AA"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Variation, suspension or waiver of condition of permit</w:t>
            </w:r>
          </w:p>
        </w:tc>
        <w:tc>
          <w:tcPr>
            <w:tcW w:w="1809" w:type="dxa"/>
            <w:gridSpan w:val="2"/>
            <w:tcBorders>
              <w:top w:val="nil"/>
              <w:bottom w:val="nil"/>
              <w:right w:val="nil"/>
            </w:tcBorders>
          </w:tcPr>
          <w:p w14:paraId="5B0682E4" w14:textId="77777777" w:rsidR="004652AA" w:rsidRPr="00106585" w:rsidRDefault="004652AA" w:rsidP="00106585">
            <w:pPr>
              <w:widowControl w:val="0"/>
              <w:spacing w:before="40" w:after="40"/>
              <w:jc w:val="right"/>
              <w:rPr>
                <w:rFonts w:asciiTheme="minorHAnsi" w:hAnsiTheme="minorHAnsi" w:cs="Helvetica"/>
                <w:noProof/>
                <w:sz w:val="21"/>
                <w:szCs w:val="21"/>
              </w:rPr>
            </w:pPr>
            <w:r w:rsidRPr="00106585">
              <w:rPr>
                <w:rFonts w:asciiTheme="minorHAnsi" w:hAnsiTheme="minorHAnsi" w:cs="Helvetica"/>
                <w:noProof/>
                <w:sz w:val="21"/>
                <w:szCs w:val="21"/>
              </w:rPr>
              <w:t>6 034</w:t>
            </w:r>
          </w:p>
        </w:tc>
        <w:tc>
          <w:tcPr>
            <w:tcW w:w="1560" w:type="dxa"/>
            <w:tcBorders>
              <w:top w:val="nil"/>
              <w:bottom w:val="nil"/>
              <w:right w:val="nil"/>
            </w:tcBorders>
          </w:tcPr>
          <w:p w14:paraId="23D85C6A" w14:textId="77777777" w:rsidR="004652AA" w:rsidRPr="00106585" w:rsidRDefault="0067448C" w:rsidP="00FA377D">
            <w:pPr>
              <w:widowControl w:val="0"/>
              <w:spacing w:before="40" w:after="40"/>
              <w:jc w:val="right"/>
              <w:rPr>
                <w:rFonts w:asciiTheme="minorHAnsi" w:hAnsiTheme="minorHAnsi" w:cs="Helvetica"/>
                <w:noProof/>
                <w:sz w:val="21"/>
                <w:szCs w:val="21"/>
              </w:rPr>
            </w:pPr>
            <w:r>
              <w:rPr>
                <w:rFonts w:asciiTheme="minorHAnsi" w:hAnsiTheme="minorHAnsi" w:cs="Helvetica"/>
                <w:noProof/>
                <w:sz w:val="21"/>
                <w:szCs w:val="21"/>
              </w:rPr>
              <w:t>$</w:t>
            </w:r>
            <w:r w:rsidR="005B0B66">
              <w:rPr>
                <w:rFonts w:asciiTheme="minorHAnsi" w:hAnsiTheme="minorHAnsi" w:cs="Helvetica"/>
                <w:noProof/>
                <w:sz w:val="21"/>
                <w:szCs w:val="21"/>
              </w:rPr>
              <w:t>814</w:t>
            </w:r>
            <w:r w:rsidR="00FA377D">
              <w:rPr>
                <w:rFonts w:asciiTheme="minorHAnsi" w:hAnsiTheme="minorHAnsi" w:cs="Helvetica"/>
                <w:noProof/>
                <w:sz w:val="21"/>
                <w:szCs w:val="21"/>
              </w:rPr>
              <w:t>5</w:t>
            </w:r>
          </w:p>
        </w:tc>
      </w:tr>
      <w:tr w:rsidR="004652AA" w:rsidRPr="003D42D5" w14:paraId="10E11444" w14:textId="77777777" w:rsidTr="00737DCE">
        <w:tc>
          <w:tcPr>
            <w:tcW w:w="1276" w:type="dxa"/>
            <w:tcBorders>
              <w:top w:val="nil"/>
              <w:left w:val="nil"/>
              <w:bottom w:val="nil"/>
            </w:tcBorders>
          </w:tcPr>
          <w:p w14:paraId="3CA936BB" w14:textId="77777777" w:rsidR="004652AA" w:rsidRPr="00106585" w:rsidRDefault="00106585"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 xml:space="preserve">S </w:t>
            </w:r>
            <w:r w:rsidR="004652AA" w:rsidRPr="00106585">
              <w:rPr>
                <w:rFonts w:asciiTheme="minorHAnsi" w:hAnsiTheme="minorHAnsi" w:cs="Helvetica"/>
                <w:noProof/>
                <w:sz w:val="21"/>
                <w:szCs w:val="21"/>
              </w:rPr>
              <w:t>32</w:t>
            </w:r>
          </w:p>
        </w:tc>
        <w:tc>
          <w:tcPr>
            <w:tcW w:w="5387" w:type="dxa"/>
            <w:tcBorders>
              <w:top w:val="nil"/>
              <w:bottom w:val="nil"/>
            </w:tcBorders>
          </w:tcPr>
          <w:p w14:paraId="42A56D70" w14:textId="77777777" w:rsidR="004652AA" w:rsidRPr="00106585" w:rsidRDefault="004652AA"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Application for retention licence</w:t>
            </w:r>
          </w:p>
        </w:tc>
        <w:tc>
          <w:tcPr>
            <w:tcW w:w="1809" w:type="dxa"/>
            <w:gridSpan w:val="2"/>
            <w:tcBorders>
              <w:top w:val="nil"/>
              <w:bottom w:val="nil"/>
              <w:right w:val="nil"/>
            </w:tcBorders>
          </w:tcPr>
          <w:p w14:paraId="5F6442CB" w14:textId="77777777" w:rsidR="004652AA" w:rsidRPr="00106585" w:rsidRDefault="004652AA" w:rsidP="00106585">
            <w:pPr>
              <w:widowControl w:val="0"/>
              <w:spacing w:before="40" w:after="40"/>
              <w:jc w:val="right"/>
              <w:rPr>
                <w:rFonts w:asciiTheme="minorHAnsi" w:hAnsiTheme="minorHAnsi" w:cs="Helvetica"/>
                <w:noProof/>
                <w:sz w:val="21"/>
                <w:szCs w:val="21"/>
              </w:rPr>
            </w:pPr>
            <w:r w:rsidRPr="00106585">
              <w:rPr>
                <w:rFonts w:asciiTheme="minorHAnsi" w:hAnsiTheme="minorHAnsi" w:cs="Helvetica"/>
                <w:noProof/>
                <w:sz w:val="21"/>
                <w:szCs w:val="21"/>
              </w:rPr>
              <w:t>17 504</w:t>
            </w:r>
          </w:p>
        </w:tc>
        <w:tc>
          <w:tcPr>
            <w:tcW w:w="1560" w:type="dxa"/>
            <w:tcBorders>
              <w:top w:val="nil"/>
              <w:bottom w:val="nil"/>
              <w:right w:val="nil"/>
            </w:tcBorders>
          </w:tcPr>
          <w:p w14:paraId="24634F2C" w14:textId="77777777" w:rsidR="004652AA" w:rsidRPr="00106585" w:rsidRDefault="009535F9" w:rsidP="005B0B66">
            <w:pPr>
              <w:widowControl w:val="0"/>
              <w:spacing w:before="40" w:after="40"/>
              <w:jc w:val="right"/>
              <w:rPr>
                <w:rFonts w:asciiTheme="minorHAnsi" w:hAnsiTheme="minorHAnsi" w:cs="Helvetica"/>
                <w:noProof/>
                <w:sz w:val="21"/>
                <w:szCs w:val="21"/>
              </w:rPr>
            </w:pPr>
            <w:r>
              <w:rPr>
                <w:rFonts w:asciiTheme="minorHAnsi" w:hAnsiTheme="minorHAnsi" w:cs="Helvetica"/>
                <w:noProof/>
                <w:sz w:val="21"/>
                <w:szCs w:val="21"/>
              </w:rPr>
              <w:t>$</w:t>
            </w:r>
            <w:r w:rsidR="005B0B66">
              <w:rPr>
                <w:rFonts w:asciiTheme="minorHAnsi" w:hAnsiTheme="minorHAnsi" w:cs="Helvetica"/>
                <w:noProof/>
                <w:sz w:val="21"/>
                <w:szCs w:val="21"/>
              </w:rPr>
              <w:t>23 630</w:t>
            </w:r>
          </w:p>
        </w:tc>
      </w:tr>
      <w:tr w:rsidR="004652AA" w:rsidRPr="003D42D5" w14:paraId="6EF83E2B" w14:textId="77777777" w:rsidTr="00737DCE">
        <w:tc>
          <w:tcPr>
            <w:tcW w:w="1276" w:type="dxa"/>
            <w:tcBorders>
              <w:top w:val="nil"/>
              <w:left w:val="nil"/>
              <w:bottom w:val="nil"/>
            </w:tcBorders>
          </w:tcPr>
          <w:p w14:paraId="25D340E8" w14:textId="77777777" w:rsidR="004652AA" w:rsidRPr="00106585" w:rsidRDefault="00106585"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 xml:space="preserve">S </w:t>
            </w:r>
            <w:r w:rsidR="004652AA" w:rsidRPr="00106585">
              <w:rPr>
                <w:rFonts w:asciiTheme="minorHAnsi" w:hAnsiTheme="minorHAnsi" w:cs="Helvetica"/>
                <w:noProof/>
                <w:sz w:val="21"/>
                <w:szCs w:val="21"/>
              </w:rPr>
              <w:t>37</w:t>
            </w:r>
          </w:p>
        </w:tc>
        <w:tc>
          <w:tcPr>
            <w:tcW w:w="5387" w:type="dxa"/>
            <w:tcBorders>
              <w:top w:val="nil"/>
              <w:bottom w:val="nil"/>
            </w:tcBorders>
          </w:tcPr>
          <w:p w14:paraId="346DD3B5" w14:textId="77777777" w:rsidR="004652AA" w:rsidRPr="00106585" w:rsidRDefault="004652AA"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Application for renewal of retention licence</w:t>
            </w:r>
          </w:p>
        </w:tc>
        <w:tc>
          <w:tcPr>
            <w:tcW w:w="1809" w:type="dxa"/>
            <w:gridSpan w:val="2"/>
            <w:tcBorders>
              <w:top w:val="nil"/>
              <w:bottom w:val="nil"/>
              <w:right w:val="nil"/>
            </w:tcBorders>
          </w:tcPr>
          <w:p w14:paraId="745F8EE8" w14:textId="77777777" w:rsidR="004652AA" w:rsidRPr="00106585" w:rsidRDefault="004652AA" w:rsidP="00106585">
            <w:pPr>
              <w:widowControl w:val="0"/>
              <w:spacing w:before="40" w:after="40"/>
              <w:jc w:val="right"/>
              <w:rPr>
                <w:rFonts w:asciiTheme="minorHAnsi" w:hAnsiTheme="minorHAnsi" w:cs="Helvetica"/>
                <w:noProof/>
                <w:sz w:val="21"/>
                <w:szCs w:val="21"/>
              </w:rPr>
            </w:pPr>
            <w:r w:rsidRPr="00106585">
              <w:rPr>
                <w:rFonts w:asciiTheme="minorHAnsi" w:hAnsiTheme="minorHAnsi" w:cs="Helvetica"/>
                <w:noProof/>
                <w:sz w:val="21"/>
                <w:szCs w:val="21"/>
              </w:rPr>
              <w:t>8 087</w:t>
            </w:r>
          </w:p>
        </w:tc>
        <w:tc>
          <w:tcPr>
            <w:tcW w:w="1560" w:type="dxa"/>
            <w:tcBorders>
              <w:top w:val="nil"/>
              <w:bottom w:val="nil"/>
              <w:right w:val="nil"/>
            </w:tcBorders>
          </w:tcPr>
          <w:p w14:paraId="10FA576A" w14:textId="77777777" w:rsidR="004652AA" w:rsidRPr="00106585" w:rsidRDefault="009535F9" w:rsidP="005B0B66">
            <w:pPr>
              <w:widowControl w:val="0"/>
              <w:spacing w:before="40" w:after="40"/>
              <w:jc w:val="right"/>
              <w:rPr>
                <w:rFonts w:asciiTheme="minorHAnsi" w:hAnsiTheme="minorHAnsi" w:cs="Helvetica"/>
                <w:noProof/>
                <w:sz w:val="21"/>
                <w:szCs w:val="21"/>
              </w:rPr>
            </w:pPr>
            <w:r>
              <w:rPr>
                <w:rFonts w:asciiTheme="minorHAnsi" w:hAnsiTheme="minorHAnsi" w:cs="Helvetica"/>
                <w:noProof/>
                <w:sz w:val="21"/>
                <w:szCs w:val="21"/>
              </w:rPr>
              <w:t xml:space="preserve">$10 </w:t>
            </w:r>
            <w:r w:rsidR="005B0B66">
              <w:rPr>
                <w:rFonts w:asciiTheme="minorHAnsi" w:hAnsiTheme="minorHAnsi" w:cs="Helvetica"/>
                <w:noProof/>
                <w:sz w:val="21"/>
                <w:szCs w:val="21"/>
              </w:rPr>
              <w:t>917</w:t>
            </w:r>
          </w:p>
        </w:tc>
      </w:tr>
      <w:tr w:rsidR="004652AA" w:rsidRPr="003D42D5" w14:paraId="714EBDFB" w14:textId="77777777" w:rsidTr="00737DCE">
        <w:tc>
          <w:tcPr>
            <w:tcW w:w="1276" w:type="dxa"/>
            <w:tcBorders>
              <w:top w:val="nil"/>
              <w:left w:val="nil"/>
              <w:bottom w:val="nil"/>
            </w:tcBorders>
          </w:tcPr>
          <w:p w14:paraId="4475EE75" w14:textId="77777777" w:rsidR="004652AA" w:rsidRPr="00106585" w:rsidRDefault="00106585"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 xml:space="preserve">S </w:t>
            </w:r>
            <w:r w:rsidR="004652AA" w:rsidRPr="00106585">
              <w:rPr>
                <w:rFonts w:asciiTheme="minorHAnsi" w:hAnsiTheme="minorHAnsi" w:cs="Helvetica"/>
                <w:noProof/>
                <w:sz w:val="21"/>
                <w:szCs w:val="21"/>
              </w:rPr>
              <w:t>39</w:t>
            </w:r>
          </w:p>
        </w:tc>
        <w:tc>
          <w:tcPr>
            <w:tcW w:w="5387" w:type="dxa"/>
            <w:tcBorders>
              <w:top w:val="nil"/>
              <w:bottom w:val="nil"/>
            </w:tcBorders>
          </w:tcPr>
          <w:p w14:paraId="7B49DBA3" w14:textId="77777777" w:rsidR="004652AA" w:rsidRPr="00106585" w:rsidRDefault="004652AA"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Annual fee in relation to a retention licence per block per annum</w:t>
            </w:r>
          </w:p>
        </w:tc>
        <w:tc>
          <w:tcPr>
            <w:tcW w:w="1809" w:type="dxa"/>
            <w:gridSpan w:val="2"/>
            <w:tcBorders>
              <w:top w:val="nil"/>
              <w:bottom w:val="nil"/>
              <w:right w:val="nil"/>
            </w:tcBorders>
          </w:tcPr>
          <w:p w14:paraId="5B7BF3F3" w14:textId="77777777" w:rsidR="004652AA" w:rsidRPr="00106585" w:rsidRDefault="004652AA" w:rsidP="00106585">
            <w:pPr>
              <w:widowControl w:val="0"/>
              <w:spacing w:before="40" w:after="40"/>
              <w:jc w:val="right"/>
              <w:rPr>
                <w:rFonts w:asciiTheme="minorHAnsi" w:hAnsiTheme="minorHAnsi" w:cs="Helvetica"/>
                <w:noProof/>
                <w:sz w:val="21"/>
                <w:szCs w:val="21"/>
              </w:rPr>
            </w:pPr>
            <w:r w:rsidRPr="00106585">
              <w:rPr>
                <w:rFonts w:asciiTheme="minorHAnsi" w:hAnsiTheme="minorHAnsi" w:cs="Helvetica"/>
                <w:noProof/>
                <w:sz w:val="21"/>
                <w:szCs w:val="21"/>
              </w:rPr>
              <w:t>9 415</w:t>
            </w:r>
          </w:p>
        </w:tc>
        <w:tc>
          <w:tcPr>
            <w:tcW w:w="1560" w:type="dxa"/>
            <w:tcBorders>
              <w:top w:val="nil"/>
              <w:bottom w:val="nil"/>
              <w:right w:val="nil"/>
            </w:tcBorders>
          </w:tcPr>
          <w:p w14:paraId="3D4A954F" w14:textId="77777777" w:rsidR="004652AA" w:rsidRPr="00106585" w:rsidRDefault="009535F9" w:rsidP="005B0B66">
            <w:pPr>
              <w:widowControl w:val="0"/>
              <w:spacing w:before="40" w:after="40"/>
              <w:jc w:val="right"/>
              <w:rPr>
                <w:rFonts w:asciiTheme="minorHAnsi" w:hAnsiTheme="minorHAnsi" w:cs="Helvetica"/>
                <w:noProof/>
                <w:sz w:val="21"/>
                <w:szCs w:val="21"/>
              </w:rPr>
            </w:pPr>
            <w:r>
              <w:rPr>
                <w:rFonts w:asciiTheme="minorHAnsi" w:hAnsiTheme="minorHAnsi" w:cs="Helvetica"/>
                <w:noProof/>
                <w:sz w:val="21"/>
                <w:szCs w:val="21"/>
              </w:rPr>
              <w:t>$1</w:t>
            </w:r>
            <w:r w:rsidR="005B0B66">
              <w:rPr>
                <w:rFonts w:asciiTheme="minorHAnsi" w:hAnsiTheme="minorHAnsi" w:cs="Helvetica"/>
                <w:noProof/>
                <w:sz w:val="21"/>
                <w:szCs w:val="21"/>
              </w:rPr>
              <w:t xml:space="preserve">2 </w:t>
            </w:r>
            <w:r w:rsidR="00DE7F90">
              <w:rPr>
                <w:rFonts w:asciiTheme="minorHAnsi" w:hAnsiTheme="minorHAnsi" w:cs="Helvetica"/>
                <w:noProof/>
                <w:sz w:val="21"/>
                <w:szCs w:val="21"/>
              </w:rPr>
              <w:t>710</w:t>
            </w:r>
          </w:p>
        </w:tc>
      </w:tr>
      <w:tr w:rsidR="004652AA" w:rsidRPr="003D42D5" w14:paraId="3C51CD47" w14:textId="77777777" w:rsidTr="00737DCE">
        <w:tc>
          <w:tcPr>
            <w:tcW w:w="1276" w:type="dxa"/>
            <w:tcBorders>
              <w:top w:val="nil"/>
              <w:left w:val="nil"/>
              <w:bottom w:val="nil"/>
            </w:tcBorders>
          </w:tcPr>
          <w:p w14:paraId="74DB2E8E" w14:textId="77777777" w:rsidR="004652AA" w:rsidRPr="00106585" w:rsidRDefault="00106585"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 xml:space="preserve">S </w:t>
            </w:r>
            <w:r w:rsidR="004652AA" w:rsidRPr="00106585">
              <w:rPr>
                <w:rFonts w:asciiTheme="minorHAnsi" w:hAnsiTheme="minorHAnsi" w:cs="Helvetica"/>
                <w:noProof/>
                <w:sz w:val="21"/>
                <w:szCs w:val="21"/>
              </w:rPr>
              <w:t>41</w:t>
            </w:r>
          </w:p>
        </w:tc>
        <w:tc>
          <w:tcPr>
            <w:tcW w:w="5387" w:type="dxa"/>
            <w:tcBorders>
              <w:top w:val="nil"/>
              <w:bottom w:val="nil"/>
            </w:tcBorders>
          </w:tcPr>
          <w:p w14:paraId="1795FED7" w14:textId="77777777" w:rsidR="004652AA" w:rsidRPr="00106585" w:rsidRDefault="004652AA"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Variation of condition of retention licence</w:t>
            </w:r>
          </w:p>
        </w:tc>
        <w:tc>
          <w:tcPr>
            <w:tcW w:w="1809" w:type="dxa"/>
            <w:gridSpan w:val="2"/>
            <w:tcBorders>
              <w:top w:val="nil"/>
              <w:bottom w:val="nil"/>
              <w:right w:val="nil"/>
            </w:tcBorders>
          </w:tcPr>
          <w:p w14:paraId="705E3E51" w14:textId="77777777" w:rsidR="004652AA" w:rsidRPr="00106585" w:rsidRDefault="004652AA" w:rsidP="00106585">
            <w:pPr>
              <w:widowControl w:val="0"/>
              <w:spacing w:before="40" w:after="40"/>
              <w:jc w:val="right"/>
              <w:rPr>
                <w:rFonts w:asciiTheme="minorHAnsi" w:hAnsiTheme="minorHAnsi" w:cs="Helvetica"/>
                <w:noProof/>
                <w:sz w:val="21"/>
                <w:szCs w:val="21"/>
              </w:rPr>
            </w:pPr>
            <w:r w:rsidRPr="00106585">
              <w:rPr>
                <w:rFonts w:asciiTheme="minorHAnsi" w:hAnsiTheme="minorHAnsi" w:cs="Helvetica"/>
                <w:noProof/>
                <w:sz w:val="21"/>
                <w:szCs w:val="21"/>
              </w:rPr>
              <w:t>6 263</w:t>
            </w:r>
          </w:p>
        </w:tc>
        <w:tc>
          <w:tcPr>
            <w:tcW w:w="1560" w:type="dxa"/>
            <w:tcBorders>
              <w:top w:val="nil"/>
              <w:bottom w:val="nil"/>
              <w:right w:val="nil"/>
            </w:tcBorders>
          </w:tcPr>
          <w:p w14:paraId="6A899CD0" w14:textId="77777777" w:rsidR="004652AA" w:rsidRPr="00106585" w:rsidRDefault="009535F9" w:rsidP="005B0B66">
            <w:pPr>
              <w:widowControl w:val="0"/>
              <w:spacing w:before="40" w:after="40"/>
              <w:jc w:val="right"/>
              <w:rPr>
                <w:rFonts w:asciiTheme="minorHAnsi" w:hAnsiTheme="minorHAnsi" w:cs="Helvetica"/>
                <w:noProof/>
                <w:sz w:val="21"/>
                <w:szCs w:val="21"/>
              </w:rPr>
            </w:pPr>
            <w:r>
              <w:rPr>
                <w:rFonts w:asciiTheme="minorHAnsi" w:hAnsiTheme="minorHAnsi" w:cs="Helvetica"/>
                <w:noProof/>
                <w:sz w:val="21"/>
                <w:szCs w:val="21"/>
              </w:rPr>
              <w:t>$</w:t>
            </w:r>
            <w:r w:rsidR="005B0B66">
              <w:rPr>
                <w:rFonts w:asciiTheme="minorHAnsi" w:hAnsiTheme="minorHAnsi" w:cs="Helvetica"/>
                <w:noProof/>
                <w:sz w:val="21"/>
                <w:szCs w:val="21"/>
              </w:rPr>
              <w:t>8455</w:t>
            </w:r>
          </w:p>
        </w:tc>
      </w:tr>
      <w:tr w:rsidR="004652AA" w:rsidRPr="003D42D5" w14:paraId="22E00E8F" w14:textId="77777777" w:rsidTr="00737DCE">
        <w:tc>
          <w:tcPr>
            <w:tcW w:w="1276" w:type="dxa"/>
            <w:tcBorders>
              <w:top w:val="nil"/>
              <w:left w:val="nil"/>
              <w:bottom w:val="nil"/>
            </w:tcBorders>
          </w:tcPr>
          <w:p w14:paraId="293CDDFB" w14:textId="77777777" w:rsidR="004652AA" w:rsidRPr="00106585" w:rsidRDefault="00106585"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 xml:space="preserve">S </w:t>
            </w:r>
            <w:r w:rsidR="004652AA" w:rsidRPr="00106585">
              <w:rPr>
                <w:rFonts w:asciiTheme="minorHAnsi" w:hAnsiTheme="minorHAnsi" w:cs="Helvetica"/>
                <w:noProof/>
                <w:sz w:val="21"/>
                <w:szCs w:val="21"/>
              </w:rPr>
              <w:t>45</w:t>
            </w:r>
          </w:p>
        </w:tc>
        <w:tc>
          <w:tcPr>
            <w:tcW w:w="5387" w:type="dxa"/>
            <w:tcBorders>
              <w:top w:val="nil"/>
              <w:bottom w:val="nil"/>
            </w:tcBorders>
          </w:tcPr>
          <w:p w14:paraId="1F1CC113" w14:textId="77777777" w:rsidR="004652AA" w:rsidRPr="00106585" w:rsidRDefault="004652AA"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Application for production licence</w:t>
            </w:r>
          </w:p>
        </w:tc>
        <w:tc>
          <w:tcPr>
            <w:tcW w:w="1809" w:type="dxa"/>
            <w:gridSpan w:val="2"/>
            <w:tcBorders>
              <w:top w:val="nil"/>
              <w:bottom w:val="nil"/>
              <w:right w:val="nil"/>
            </w:tcBorders>
          </w:tcPr>
          <w:p w14:paraId="2D27B60B" w14:textId="77777777" w:rsidR="004652AA" w:rsidRPr="00106585" w:rsidRDefault="004652AA" w:rsidP="00106585">
            <w:pPr>
              <w:widowControl w:val="0"/>
              <w:spacing w:before="40" w:after="40"/>
              <w:jc w:val="right"/>
              <w:rPr>
                <w:rFonts w:asciiTheme="minorHAnsi" w:hAnsiTheme="minorHAnsi" w:cs="Helvetica"/>
                <w:noProof/>
                <w:sz w:val="21"/>
                <w:szCs w:val="21"/>
              </w:rPr>
            </w:pPr>
            <w:r w:rsidRPr="00106585">
              <w:rPr>
                <w:rFonts w:asciiTheme="minorHAnsi" w:hAnsiTheme="minorHAnsi" w:cs="Helvetica"/>
                <w:noProof/>
                <w:sz w:val="21"/>
                <w:szCs w:val="21"/>
              </w:rPr>
              <w:t>36 316</w:t>
            </w:r>
          </w:p>
        </w:tc>
        <w:tc>
          <w:tcPr>
            <w:tcW w:w="1560" w:type="dxa"/>
            <w:tcBorders>
              <w:top w:val="nil"/>
              <w:bottom w:val="nil"/>
              <w:right w:val="nil"/>
            </w:tcBorders>
          </w:tcPr>
          <w:p w14:paraId="677F8A0D" w14:textId="77777777" w:rsidR="004652AA" w:rsidRPr="00106585" w:rsidRDefault="009535F9" w:rsidP="005B0B66">
            <w:pPr>
              <w:widowControl w:val="0"/>
              <w:spacing w:before="40" w:after="40"/>
              <w:jc w:val="right"/>
              <w:rPr>
                <w:rFonts w:asciiTheme="minorHAnsi" w:hAnsiTheme="minorHAnsi" w:cs="Helvetica"/>
                <w:noProof/>
                <w:sz w:val="21"/>
                <w:szCs w:val="21"/>
              </w:rPr>
            </w:pPr>
            <w:r>
              <w:rPr>
                <w:rFonts w:asciiTheme="minorHAnsi" w:hAnsiTheme="minorHAnsi" w:cs="Helvetica"/>
                <w:noProof/>
                <w:sz w:val="21"/>
                <w:szCs w:val="21"/>
              </w:rPr>
              <w:t>$4</w:t>
            </w:r>
            <w:r w:rsidR="005B0B66">
              <w:rPr>
                <w:rFonts w:asciiTheme="minorHAnsi" w:hAnsiTheme="minorHAnsi" w:cs="Helvetica"/>
                <w:noProof/>
                <w:sz w:val="21"/>
                <w:szCs w:val="21"/>
              </w:rPr>
              <w:t>9 026</w:t>
            </w:r>
          </w:p>
        </w:tc>
      </w:tr>
      <w:tr w:rsidR="004652AA" w:rsidRPr="003D42D5" w14:paraId="124F295F" w14:textId="77777777" w:rsidTr="00737DCE">
        <w:tc>
          <w:tcPr>
            <w:tcW w:w="1276" w:type="dxa"/>
            <w:tcBorders>
              <w:top w:val="nil"/>
              <w:left w:val="nil"/>
              <w:bottom w:val="nil"/>
            </w:tcBorders>
          </w:tcPr>
          <w:p w14:paraId="089B44C4" w14:textId="77777777" w:rsidR="004652AA" w:rsidRPr="00106585" w:rsidRDefault="00106585"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 xml:space="preserve">S </w:t>
            </w:r>
            <w:r w:rsidR="004652AA" w:rsidRPr="00106585">
              <w:rPr>
                <w:rFonts w:asciiTheme="minorHAnsi" w:hAnsiTheme="minorHAnsi" w:cs="Helvetica"/>
                <w:noProof/>
                <w:sz w:val="21"/>
                <w:szCs w:val="21"/>
              </w:rPr>
              <w:t>51</w:t>
            </w:r>
          </w:p>
        </w:tc>
        <w:tc>
          <w:tcPr>
            <w:tcW w:w="5387" w:type="dxa"/>
            <w:tcBorders>
              <w:top w:val="nil"/>
              <w:bottom w:val="nil"/>
            </w:tcBorders>
          </w:tcPr>
          <w:p w14:paraId="47A9CB40" w14:textId="77777777" w:rsidR="004652AA" w:rsidRPr="00106585" w:rsidRDefault="004652AA"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Application for renewal of production licence</w:t>
            </w:r>
          </w:p>
        </w:tc>
        <w:tc>
          <w:tcPr>
            <w:tcW w:w="1809" w:type="dxa"/>
            <w:gridSpan w:val="2"/>
            <w:tcBorders>
              <w:top w:val="nil"/>
              <w:bottom w:val="nil"/>
              <w:right w:val="nil"/>
            </w:tcBorders>
          </w:tcPr>
          <w:p w14:paraId="57E72AFE" w14:textId="77777777" w:rsidR="004652AA" w:rsidRPr="00106585" w:rsidRDefault="004652AA" w:rsidP="00106585">
            <w:pPr>
              <w:widowControl w:val="0"/>
              <w:spacing w:before="40" w:after="40"/>
              <w:jc w:val="right"/>
              <w:rPr>
                <w:rFonts w:asciiTheme="minorHAnsi" w:hAnsiTheme="minorHAnsi" w:cs="Helvetica"/>
                <w:noProof/>
                <w:sz w:val="21"/>
                <w:szCs w:val="21"/>
              </w:rPr>
            </w:pPr>
            <w:r w:rsidRPr="00106585">
              <w:rPr>
                <w:rFonts w:asciiTheme="minorHAnsi" w:hAnsiTheme="minorHAnsi" w:cs="Helvetica"/>
                <w:noProof/>
                <w:sz w:val="21"/>
                <w:szCs w:val="21"/>
              </w:rPr>
              <w:t>6 671</w:t>
            </w:r>
          </w:p>
        </w:tc>
        <w:tc>
          <w:tcPr>
            <w:tcW w:w="1560" w:type="dxa"/>
            <w:tcBorders>
              <w:top w:val="nil"/>
              <w:bottom w:val="nil"/>
              <w:right w:val="nil"/>
            </w:tcBorders>
          </w:tcPr>
          <w:p w14:paraId="5A693CD2" w14:textId="77777777" w:rsidR="004652AA" w:rsidRPr="00106585" w:rsidRDefault="009535F9" w:rsidP="00FA377D">
            <w:pPr>
              <w:widowControl w:val="0"/>
              <w:spacing w:before="40" w:after="40"/>
              <w:jc w:val="right"/>
              <w:rPr>
                <w:rFonts w:asciiTheme="minorHAnsi" w:hAnsiTheme="minorHAnsi" w:cs="Helvetica"/>
                <w:noProof/>
                <w:sz w:val="21"/>
                <w:szCs w:val="21"/>
              </w:rPr>
            </w:pPr>
            <w:r>
              <w:rPr>
                <w:rFonts w:asciiTheme="minorHAnsi" w:hAnsiTheme="minorHAnsi" w:cs="Helvetica"/>
                <w:noProof/>
                <w:sz w:val="21"/>
                <w:szCs w:val="21"/>
              </w:rPr>
              <w:t>$</w:t>
            </w:r>
            <w:r w:rsidR="00DE7F90">
              <w:rPr>
                <w:rFonts w:asciiTheme="minorHAnsi" w:hAnsiTheme="minorHAnsi" w:cs="Helvetica"/>
                <w:noProof/>
                <w:sz w:val="21"/>
                <w:szCs w:val="21"/>
              </w:rPr>
              <w:t>900</w:t>
            </w:r>
            <w:r w:rsidR="00FA377D">
              <w:rPr>
                <w:rFonts w:asciiTheme="minorHAnsi" w:hAnsiTheme="minorHAnsi" w:cs="Helvetica"/>
                <w:noProof/>
                <w:sz w:val="21"/>
                <w:szCs w:val="21"/>
              </w:rPr>
              <w:t>5</w:t>
            </w:r>
          </w:p>
        </w:tc>
      </w:tr>
      <w:tr w:rsidR="004652AA" w:rsidRPr="003D42D5" w14:paraId="3586C1D2" w14:textId="77777777" w:rsidTr="00737DCE">
        <w:tc>
          <w:tcPr>
            <w:tcW w:w="1276" w:type="dxa"/>
            <w:tcBorders>
              <w:top w:val="nil"/>
              <w:left w:val="nil"/>
              <w:bottom w:val="nil"/>
            </w:tcBorders>
          </w:tcPr>
          <w:p w14:paraId="01F2D644" w14:textId="77777777" w:rsidR="004652AA" w:rsidRPr="00106585" w:rsidRDefault="00106585"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 xml:space="preserve">S </w:t>
            </w:r>
            <w:r w:rsidR="004652AA" w:rsidRPr="00106585">
              <w:rPr>
                <w:rFonts w:asciiTheme="minorHAnsi" w:hAnsiTheme="minorHAnsi" w:cs="Helvetica"/>
                <w:noProof/>
                <w:sz w:val="21"/>
                <w:szCs w:val="21"/>
              </w:rPr>
              <w:t>53</w:t>
            </w:r>
          </w:p>
        </w:tc>
        <w:tc>
          <w:tcPr>
            <w:tcW w:w="5387" w:type="dxa"/>
            <w:tcBorders>
              <w:top w:val="nil"/>
              <w:bottom w:val="nil"/>
            </w:tcBorders>
          </w:tcPr>
          <w:p w14:paraId="5C129D62" w14:textId="77777777" w:rsidR="004652AA" w:rsidRPr="00106585" w:rsidRDefault="004652AA"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Annual fee in relation to a production licence per block or part of a block per annum</w:t>
            </w:r>
          </w:p>
        </w:tc>
        <w:tc>
          <w:tcPr>
            <w:tcW w:w="1809" w:type="dxa"/>
            <w:gridSpan w:val="2"/>
            <w:tcBorders>
              <w:top w:val="nil"/>
              <w:bottom w:val="nil"/>
              <w:right w:val="nil"/>
            </w:tcBorders>
          </w:tcPr>
          <w:p w14:paraId="512C98A9" w14:textId="77777777" w:rsidR="004652AA" w:rsidRPr="00106585" w:rsidRDefault="004652AA" w:rsidP="00106585">
            <w:pPr>
              <w:widowControl w:val="0"/>
              <w:spacing w:before="40" w:after="40"/>
              <w:jc w:val="right"/>
              <w:rPr>
                <w:rFonts w:asciiTheme="minorHAnsi" w:hAnsiTheme="minorHAnsi" w:cs="Helvetica"/>
                <w:noProof/>
                <w:sz w:val="21"/>
                <w:szCs w:val="21"/>
              </w:rPr>
            </w:pPr>
            <w:r w:rsidRPr="00106585">
              <w:rPr>
                <w:rFonts w:asciiTheme="minorHAnsi" w:hAnsiTheme="minorHAnsi" w:cs="Helvetica"/>
                <w:noProof/>
                <w:sz w:val="21"/>
                <w:szCs w:val="21"/>
              </w:rPr>
              <w:t>11 500</w:t>
            </w:r>
          </w:p>
        </w:tc>
        <w:tc>
          <w:tcPr>
            <w:tcW w:w="1560" w:type="dxa"/>
            <w:tcBorders>
              <w:top w:val="nil"/>
              <w:bottom w:val="nil"/>
              <w:right w:val="nil"/>
            </w:tcBorders>
          </w:tcPr>
          <w:p w14:paraId="36E976FE" w14:textId="77777777" w:rsidR="004652AA" w:rsidRPr="00106585" w:rsidRDefault="009535F9" w:rsidP="00DE7F90">
            <w:pPr>
              <w:widowControl w:val="0"/>
              <w:spacing w:before="40" w:after="40"/>
              <w:jc w:val="right"/>
              <w:rPr>
                <w:rFonts w:asciiTheme="minorHAnsi" w:hAnsiTheme="minorHAnsi" w:cs="Helvetica"/>
                <w:noProof/>
                <w:sz w:val="21"/>
                <w:szCs w:val="21"/>
              </w:rPr>
            </w:pPr>
            <w:r>
              <w:rPr>
                <w:rFonts w:asciiTheme="minorHAnsi" w:hAnsiTheme="minorHAnsi" w:cs="Helvetica"/>
                <w:noProof/>
                <w:sz w:val="21"/>
                <w:szCs w:val="21"/>
              </w:rPr>
              <w:t>$</w:t>
            </w:r>
            <w:r w:rsidR="00DE7F90">
              <w:rPr>
                <w:rFonts w:asciiTheme="minorHAnsi" w:hAnsiTheme="minorHAnsi" w:cs="Helvetica"/>
                <w:noProof/>
                <w:sz w:val="21"/>
                <w:szCs w:val="21"/>
              </w:rPr>
              <w:t>15525</w:t>
            </w:r>
          </w:p>
        </w:tc>
      </w:tr>
      <w:tr w:rsidR="004652AA" w:rsidRPr="003D42D5" w14:paraId="05408FB7" w14:textId="77777777" w:rsidTr="00737DCE">
        <w:tc>
          <w:tcPr>
            <w:tcW w:w="1276" w:type="dxa"/>
            <w:tcBorders>
              <w:top w:val="nil"/>
              <w:left w:val="nil"/>
              <w:bottom w:val="nil"/>
            </w:tcBorders>
          </w:tcPr>
          <w:p w14:paraId="0DC65D13" w14:textId="77777777" w:rsidR="004652AA" w:rsidRPr="00106585" w:rsidRDefault="00106585"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 xml:space="preserve">S </w:t>
            </w:r>
            <w:r w:rsidR="004652AA" w:rsidRPr="00106585">
              <w:rPr>
                <w:rFonts w:asciiTheme="minorHAnsi" w:hAnsiTheme="minorHAnsi" w:cs="Helvetica"/>
                <w:noProof/>
                <w:sz w:val="21"/>
                <w:szCs w:val="21"/>
              </w:rPr>
              <w:t>55</w:t>
            </w:r>
          </w:p>
        </w:tc>
        <w:tc>
          <w:tcPr>
            <w:tcW w:w="5387" w:type="dxa"/>
            <w:tcBorders>
              <w:top w:val="nil"/>
              <w:bottom w:val="nil"/>
            </w:tcBorders>
          </w:tcPr>
          <w:p w14:paraId="0DED55D5" w14:textId="77777777" w:rsidR="004652AA" w:rsidRPr="00106585" w:rsidRDefault="004652AA"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Variation of condition of production licence</w:t>
            </w:r>
          </w:p>
        </w:tc>
        <w:tc>
          <w:tcPr>
            <w:tcW w:w="1809" w:type="dxa"/>
            <w:gridSpan w:val="2"/>
            <w:tcBorders>
              <w:top w:val="nil"/>
              <w:bottom w:val="nil"/>
              <w:right w:val="nil"/>
            </w:tcBorders>
          </w:tcPr>
          <w:p w14:paraId="65027B22" w14:textId="77777777" w:rsidR="004652AA" w:rsidRPr="00106585" w:rsidRDefault="004652AA" w:rsidP="00106585">
            <w:pPr>
              <w:widowControl w:val="0"/>
              <w:spacing w:before="40" w:after="40"/>
              <w:jc w:val="right"/>
              <w:rPr>
                <w:rFonts w:asciiTheme="minorHAnsi" w:hAnsiTheme="minorHAnsi" w:cs="Helvetica"/>
                <w:noProof/>
                <w:sz w:val="21"/>
                <w:szCs w:val="21"/>
              </w:rPr>
            </w:pPr>
            <w:r w:rsidRPr="00106585">
              <w:rPr>
                <w:rFonts w:asciiTheme="minorHAnsi" w:hAnsiTheme="minorHAnsi" w:cs="Helvetica"/>
                <w:noProof/>
                <w:sz w:val="21"/>
                <w:szCs w:val="21"/>
              </w:rPr>
              <w:t>4 847</w:t>
            </w:r>
          </w:p>
        </w:tc>
        <w:tc>
          <w:tcPr>
            <w:tcW w:w="1560" w:type="dxa"/>
            <w:tcBorders>
              <w:top w:val="nil"/>
              <w:bottom w:val="nil"/>
              <w:right w:val="nil"/>
            </w:tcBorders>
          </w:tcPr>
          <w:p w14:paraId="2B3AAE61" w14:textId="77777777" w:rsidR="004652AA" w:rsidRPr="00DE7F90" w:rsidRDefault="009535F9" w:rsidP="005B0B66">
            <w:pPr>
              <w:widowControl w:val="0"/>
              <w:spacing w:before="40" w:after="40"/>
              <w:jc w:val="right"/>
              <w:rPr>
                <w:rFonts w:asciiTheme="minorHAnsi" w:hAnsiTheme="minorHAnsi" w:cs="Helvetica"/>
                <w:noProof/>
                <w:sz w:val="21"/>
                <w:szCs w:val="21"/>
              </w:rPr>
            </w:pPr>
            <w:r w:rsidRPr="00DE7F90">
              <w:rPr>
                <w:rFonts w:asciiTheme="minorHAnsi" w:hAnsiTheme="minorHAnsi" w:cs="Helvetica"/>
                <w:noProof/>
                <w:sz w:val="21"/>
                <w:szCs w:val="21"/>
              </w:rPr>
              <w:t>$</w:t>
            </w:r>
            <w:r w:rsidR="005B0B66" w:rsidRPr="00DE7F90">
              <w:rPr>
                <w:rFonts w:asciiTheme="minorHAnsi" w:hAnsiTheme="minorHAnsi" w:cs="Helvetica"/>
                <w:noProof/>
                <w:sz w:val="21"/>
                <w:szCs w:val="21"/>
              </w:rPr>
              <w:t>6543</w:t>
            </w:r>
          </w:p>
        </w:tc>
      </w:tr>
      <w:tr w:rsidR="004652AA" w:rsidRPr="003D42D5" w14:paraId="703DB136" w14:textId="77777777" w:rsidTr="00737DCE">
        <w:tc>
          <w:tcPr>
            <w:tcW w:w="1276" w:type="dxa"/>
            <w:tcBorders>
              <w:top w:val="nil"/>
              <w:left w:val="nil"/>
              <w:bottom w:val="nil"/>
            </w:tcBorders>
          </w:tcPr>
          <w:p w14:paraId="18D6161B" w14:textId="77777777" w:rsidR="004652AA" w:rsidRPr="00106585" w:rsidRDefault="00106585"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 xml:space="preserve">S </w:t>
            </w:r>
            <w:r w:rsidR="004652AA" w:rsidRPr="00106585">
              <w:rPr>
                <w:rFonts w:asciiTheme="minorHAnsi" w:hAnsiTheme="minorHAnsi" w:cs="Helvetica"/>
                <w:noProof/>
                <w:sz w:val="21"/>
                <w:szCs w:val="21"/>
              </w:rPr>
              <w:t>57A</w:t>
            </w:r>
          </w:p>
        </w:tc>
        <w:tc>
          <w:tcPr>
            <w:tcW w:w="5387" w:type="dxa"/>
            <w:tcBorders>
              <w:top w:val="nil"/>
              <w:bottom w:val="nil"/>
            </w:tcBorders>
          </w:tcPr>
          <w:p w14:paraId="681ACD3E" w14:textId="77777777" w:rsidR="004652AA" w:rsidRPr="00106585" w:rsidRDefault="004652AA"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Application for grant of access authority</w:t>
            </w:r>
          </w:p>
        </w:tc>
        <w:tc>
          <w:tcPr>
            <w:tcW w:w="1809" w:type="dxa"/>
            <w:gridSpan w:val="2"/>
            <w:tcBorders>
              <w:top w:val="nil"/>
              <w:bottom w:val="nil"/>
              <w:right w:val="nil"/>
            </w:tcBorders>
          </w:tcPr>
          <w:p w14:paraId="6740AFA5" w14:textId="77777777" w:rsidR="004652AA" w:rsidRPr="00106585" w:rsidRDefault="004652AA" w:rsidP="00106585">
            <w:pPr>
              <w:widowControl w:val="0"/>
              <w:spacing w:before="40" w:after="40"/>
              <w:jc w:val="right"/>
              <w:rPr>
                <w:rFonts w:asciiTheme="minorHAnsi" w:hAnsiTheme="minorHAnsi" w:cs="Helvetica"/>
                <w:noProof/>
                <w:sz w:val="21"/>
                <w:szCs w:val="21"/>
              </w:rPr>
            </w:pPr>
            <w:r w:rsidRPr="00106585">
              <w:rPr>
                <w:rFonts w:asciiTheme="minorHAnsi" w:hAnsiTheme="minorHAnsi" w:cs="Helvetica"/>
                <w:noProof/>
                <w:sz w:val="21"/>
                <w:szCs w:val="21"/>
              </w:rPr>
              <w:t>5 006</w:t>
            </w:r>
          </w:p>
        </w:tc>
        <w:tc>
          <w:tcPr>
            <w:tcW w:w="1560" w:type="dxa"/>
            <w:tcBorders>
              <w:top w:val="nil"/>
              <w:bottom w:val="nil"/>
              <w:right w:val="nil"/>
            </w:tcBorders>
          </w:tcPr>
          <w:p w14:paraId="379F2AE7" w14:textId="77777777" w:rsidR="004652AA" w:rsidRPr="00DE7F90" w:rsidRDefault="009535F9" w:rsidP="005B0B66">
            <w:pPr>
              <w:widowControl w:val="0"/>
              <w:spacing w:before="40" w:after="40"/>
              <w:jc w:val="right"/>
              <w:rPr>
                <w:rFonts w:asciiTheme="minorHAnsi" w:hAnsiTheme="minorHAnsi" w:cs="Helvetica"/>
                <w:noProof/>
                <w:sz w:val="21"/>
                <w:szCs w:val="21"/>
              </w:rPr>
            </w:pPr>
            <w:r w:rsidRPr="00DE7F90">
              <w:rPr>
                <w:rFonts w:asciiTheme="minorHAnsi" w:hAnsiTheme="minorHAnsi" w:cs="Helvetica"/>
                <w:noProof/>
                <w:sz w:val="21"/>
                <w:szCs w:val="21"/>
              </w:rPr>
              <w:t>$6</w:t>
            </w:r>
            <w:r w:rsidR="005B0B66" w:rsidRPr="00DE7F90">
              <w:rPr>
                <w:rFonts w:asciiTheme="minorHAnsi" w:hAnsiTheme="minorHAnsi" w:cs="Helvetica"/>
                <w:noProof/>
                <w:sz w:val="21"/>
                <w:szCs w:val="21"/>
              </w:rPr>
              <w:t>758</w:t>
            </w:r>
          </w:p>
        </w:tc>
      </w:tr>
      <w:tr w:rsidR="004652AA" w:rsidRPr="003E433A" w14:paraId="613D9A58" w14:textId="77777777" w:rsidTr="00737DCE">
        <w:tc>
          <w:tcPr>
            <w:tcW w:w="1276" w:type="dxa"/>
            <w:tcBorders>
              <w:top w:val="nil"/>
              <w:left w:val="nil"/>
              <w:bottom w:val="nil"/>
            </w:tcBorders>
          </w:tcPr>
          <w:p w14:paraId="09C467E5" w14:textId="77777777" w:rsidR="004652AA" w:rsidRPr="00106585" w:rsidRDefault="00106585"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 xml:space="preserve">S </w:t>
            </w:r>
            <w:r w:rsidR="004652AA" w:rsidRPr="00106585">
              <w:rPr>
                <w:rFonts w:asciiTheme="minorHAnsi" w:hAnsiTheme="minorHAnsi" w:cs="Helvetica"/>
                <w:noProof/>
                <w:sz w:val="21"/>
                <w:szCs w:val="21"/>
              </w:rPr>
              <w:t>57AAA</w:t>
            </w:r>
          </w:p>
        </w:tc>
        <w:tc>
          <w:tcPr>
            <w:tcW w:w="5387" w:type="dxa"/>
            <w:tcBorders>
              <w:top w:val="nil"/>
              <w:bottom w:val="nil"/>
            </w:tcBorders>
          </w:tcPr>
          <w:p w14:paraId="4ED278A8" w14:textId="77777777" w:rsidR="004652AA" w:rsidRPr="00106585" w:rsidRDefault="004652AA"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Application to approve recovery of petroleum on appraisal basis</w:t>
            </w:r>
          </w:p>
        </w:tc>
        <w:tc>
          <w:tcPr>
            <w:tcW w:w="1809" w:type="dxa"/>
            <w:gridSpan w:val="2"/>
            <w:tcBorders>
              <w:top w:val="nil"/>
              <w:bottom w:val="nil"/>
              <w:right w:val="nil"/>
            </w:tcBorders>
          </w:tcPr>
          <w:p w14:paraId="7B6BB545" w14:textId="77777777" w:rsidR="004652AA" w:rsidRPr="00106585" w:rsidRDefault="004652AA" w:rsidP="00106585">
            <w:pPr>
              <w:widowControl w:val="0"/>
              <w:spacing w:before="40" w:after="40"/>
              <w:jc w:val="right"/>
              <w:rPr>
                <w:rFonts w:asciiTheme="minorHAnsi" w:hAnsiTheme="minorHAnsi" w:cs="Helvetica"/>
                <w:noProof/>
                <w:sz w:val="21"/>
                <w:szCs w:val="21"/>
              </w:rPr>
            </w:pPr>
            <w:r w:rsidRPr="00106585">
              <w:rPr>
                <w:rFonts w:asciiTheme="minorHAnsi" w:hAnsiTheme="minorHAnsi" w:cs="Helvetica"/>
                <w:noProof/>
                <w:sz w:val="21"/>
                <w:szCs w:val="21"/>
              </w:rPr>
              <w:t>18 158</w:t>
            </w:r>
          </w:p>
        </w:tc>
        <w:tc>
          <w:tcPr>
            <w:tcW w:w="1560" w:type="dxa"/>
            <w:tcBorders>
              <w:top w:val="nil"/>
              <w:bottom w:val="nil"/>
              <w:right w:val="nil"/>
            </w:tcBorders>
          </w:tcPr>
          <w:p w14:paraId="6E161C03" w14:textId="77777777" w:rsidR="004652AA" w:rsidRPr="00DE7F90" w:rsidRDefault="009535F9" w:rsidP="005B0B66">
            <w:pPr>
              <w:widowControl w:val="0"/>
              <w:spacing w:before="40" w:after="40"/>
              <w:jc w:val="right"/>
              <w:rPr>
                <w:rFonts w:asciiTheme="minorHAnsi" w:hAnsiTheme="minorHAnsi" w:cs="Helvetica"/>
                <w:noProof/>
                <w:sz w:val="21"/>
                <w:szCs w:val="21"/>
              </w:rPr>
            </w:pPr>
            <w:r w:rsidRPr="00DE7F90">
              <w:rPr>
                <w:rFonts w:asciiTheme="minorHAnsi" w:hAnsiTheme="minorHAnsi" w:cs="Helvetica"/>
                <w:noProof/>
                <w:sz w:val="21"/>
                <w:szCs w:val="21"/>
              </w:rPr>
              <w:t>$2</w:t>
            </w:r>
            <w:r w:rsidR="005B0B66" w:rsidRPr="00DE7F90">
              <w:rPr>
                <w:rFonts w:asciiTheme="minorHAnsi" w:hAnsiTheme="minorHAnsi" w:cs="Helvetica"/>
                <w:noProof/>
                <w:sz w:val="21"/>
                <w:szCs w:val="21"/>
              </w:rPr>
              <w:t>4 513</w:t>
            </w:r>
          </w:p>
        </w:tc>
      </w:tr>
      <w:tr w:rsidR="004652AA" w:rsidRPr="003E433A" w14:paraId="50A118FB" w14:textId="77777777" w:rsidTr="00737DCE">
        <w:tc>
          <w:tcPr>
            <w:tcW w:w="1276" w:type="dxa"/>
            <w:tcBorders>
              <w:top w:val="nil"/>
              <w:left w:val="nil"/>
              <w:bottom w:val="nil"/>
            </w:tcBorders>
          </w:tcPr>
          <w:p w14:paraId="13571A88" w14:textId="77777777" w:rsidR="004652AA" w:rsidRPr="00106585" w:rsidRDefault="00106585"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 xml:space="preserve">S </w:t>
            </w:r>
            <w:r w:rsidR="004652AA" w:rsidRPr="00106585">
              <w:rPr>
                <w:rFonts w:asciiTheme="minorHAnsi" w:hAnsiTheme="minorHAnsi" w:cs="Helvetica"/>
                <w:noProof/>
                <w:sz w:val="21"/>
                <w:szCs w:val="21"/>
              </w:rPr>
              <w:t>57AAB</w:t>
            </w:r>
          </w:p>
        </w:tc>
        <w:tc>
          <w:tcPr>
            <w:tcW w:w="5387" w:type="dxa"/>
            <w:tcBorders>
              <w:top w:val="nil"/>
              <w:bottom w:val="nil"/>
            </w:tcBorders>
          </w:tcPr>
          <w:p w14:paraId="0FA190DA" w14:textId="77777777" w:rsidR="004652AA" w:rsidRPr="00106585" w:rsidRDefault="004652AA"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Application to approve transfer of interest in application</w:t>
            </w:r>
          </w:p>
        </w:tc>
        <w:tc>
          <w:tcPr>
            <w:tcW w:w="1809" w:type="dxa"/>
            <w:gridSpan w:val="2"/>
            <w:tcBorders>
              <w:top w:val="nil"/>
              <w:bottom w:val="nil"/>
              <w:right w:val="nil"/>
            </w:tcBorders>
          </w:tcPr>
          <w:p w14:paraId="443EAC93" w14:textId="77777777" w:rsidR="004652AA" w:rsidRPr="00106585" w:rsidRDefault="004652AA" w:rsidP="00106585">
            <w:pPr>
              <w:widowControl w:val="0"/>
              <w:spacing w:before="40" w:after="40"/>
              <w:jc w:val="right"/>
              <w:rPr>
                <w:rFonts w:asciiTheme="minorHAnsi" w:hAnsiTheme="minorHAnsi" w:cs="Helvetica"/>
                <w:noProof/>
                <w:sz w:val="21"/>
                <w:szCs w:val="21"/>
              </w:rPr>
            </w:pPr>
            <w:r w:rsidRPr="00106585">
              <w:rPr>
                <w:rFonts w:asciiTheme="minorHAnsi" w:hAnsiTheme="minorHAnsi" w:cs="Helvetica"/>
                <w:noProof/>
                <w:sz w:val="21"/>
                <w:szCs w:val="21"/>
              </w:rPr>
              <w:t>1 415</w:t>
            </w:r>
          </w:p>
        </w:tc>
        <w:tc>
          <w:tcPr>
            <w:tcW w:w="1560" w:type="dxa"/>
            <w:tcBorders>
              <w:top w:val="nil"/>
              <w:bottom w:val="nil"/>
              <w:right w:val="nil"/>
            </w:tcBorders>
          </w:tcPr>
          <w:p w14:paraId="336F51C7" w14:textId="77777777" w:rsidR="004652AA" w:rsidRPr="00DE7F90" w:rsidRDefault="009535F9" w:rsidP="005B0B66">
            <w:pPr>
              <w:widowControl w:val="0"/>
              <w:spacing w:before="40" w:after="40"/>
              <w:jc w:val="right"/>
              <w:rPr>
                <w:rFonts w:asciiTheme="minorHAnsi" w:hAnsiTheme="minorHAnsi" w:cs="Helvetica"/>
                <w:noProof/>
                <w:sz w:val="21"/>
                <w:szCs w:val="21"/>
              </w:rPr>
            </w:pPr>
            <w:r w:rsidRPr="00DE7F90">
              <w:rPr>
                <w:rFonts w:asciiTheme="minorHAnsi" w:hAnsiTheme="minorHAnsi" w:cs="Helvetica"/>
                <w:noProof/>
                <w:sz w:val="21"/>
                <w:szCs w:val="21"/>
              </w:rPr>
              <w:t>$1</w:t>
            </w:r>
            <w:r w:rsidR="005B0B66" w:rsidRPr="00DE7F90">
              <w:rPr>
                <w:rFonts w:asciiTheme="minorHAnsi" w:hAnsiTheme="minorHAnsi" w:cs="Helvetica"/>
                <w:noProof/>
                <w:sz w:val="21"/>
                <w:szCs w:val="21"/>
              </w:rPr>
              <w:t>910</w:t>
            </w:r>
          </w:p>
        </w:tc>
      </w:tr>
      <w:tr w:rsidR="004652AA" w:rsidRPr="003E433A" w14:paraId="7744ABAA" w14:textId="77777777" w:rsidTr="00737DCE">
        <w:tc>
          <w:tcPr>
            <w:tcW w:w="1276" w:type="dxa"/>
            <w:tcBorders>
              <w:top w:val="nil"/>
              <w:left w:val="nil"/>
              <w:bottom w:val="nil"/>
            </w:tcBorders>
          </w:tcPr>
          <w:p w14:paraId="4F483F48" w14:textId="77777777" w:rsidR="004652AA" w:rsidRPr="00106585" w:rsidRDefault="00106585"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 xml:space="preserve">S </w:t>
            </w:r>
            <w:r w:rsidR="004652AA" w:rsidRPr="00106585">
              <w:rPr>
                <w:rFonts w:asciiTheme="minorHAnsi" w:hAnsiTheme="minorHAnsi" w:cs="Helvetica"/>
                <w:noProof/>
                <w:sz w:val="21"/>
                <w:szCs w:val="21"/>
              </w:rPr>
              <w:t>73</w:t>
            </w:r>
          </w:p>
        </w:tc>
        <w:tc>
          <w:tcPr>
            <w:tcW w:w="5387" w:type="dxa"/>
            <w:tcBorders>
              <w:top w:val="nil"/>
              <w:bottom w:val="nil"/>
            </w:tcBorders>
          </w:tcPr>
          <w:p w14:paraId="21B08ECA" w14:textId="77777777" w:rsidR="004652AA" w:rsidRPr="00106585" w:rsidRDefault="004652AA"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Application to surrender all or part of permit area</w:t>
            </w:r>
          </w:p>
        </w:tc>
        <w:tc>
          <w:tcPr>
            <w:tcW w:w="1809" w:type="dxa"/>
            <w:gridSpan w:val="2"/>
            <w:tcBorders>
              <w:top w:val="nil"/>
              <w:bottom w:val="nil"/>
              <w:right w:val="nil"/>
            </w:tcBorders>
          </w:tcPr>
          <w:p w14:paraId="0D62A8DD" w14:textId="77777777" w:rsidR="004652AA" w:rsidRPr="00106585" w:rsidRDefault="004652AA" w:rsidP="00106585">
            <w:pPr>
              <w:widowControl w:val="0"/>
              <w:spacing w:before="40" w:after="40"/>
              <w:jc w:val="right"/>
              <w:rPr>
                <w:rFonts w:asciiTheme="minorHAnsi" w:hAnsiTheme="minorHAnsi" w:cs="Helvetica"/>
                <w:noProof/>
                <w:sz w:val="21"/>
                <w:szCs w:val="21"/>
              </w:rPr>
            </w:pPr>
            <w:r w:rsidRPr="00106585">
              <w:rPr>
                <w:rFonts w:asciiTheme="minorHAnsi" w:hAnsiTheme="minorHAnsi" w:cs="Helvetica"/>
                <w:noProof/>
                <w:sz w:val="21"/>
                <w:szCs w:val="21"/>
              </w:rPr>
              <w:t>761</w:t>
            </w:r>
          </w:p>
        </w:tc>
        <w:tc>
          <w:tcPr>
            <w:tcW w:w="1560" w:type="dxa"/>
            <w:tcBorders>
              <w:top w:val="nil"/>
              <w:bottom w:val="nil"/>
              <w:right w:val="nil"/>
            </w:tcBorders>
          </w:tcPr>
          <w:p w14:paraId="1CF4D2B8" w14:textId="77777777" w:rsidR="004652AA" w:rsidRPr="00DE7F90" w:rsidRDefault="009535F9" w:rsidP="005B0B66">
            <w:pPr>
              <w:widowControl w:val="0"/>
              <w:spacing w:before="40" w:after="40"/>
              <w:jc w:val="right"/>
              <w:rPr>
                <w:rFonts w:asciiTheme="minorHAnsi" w:hAnsiTheme="minorHAnsi" w:cs="Helvetica"/>
                <w:noProof/>
                <w:sz w:val="21"/>
                <w:szCs w:val="21"/>
              </w:rPr>
            </w:pPr>
            <w:r w:rsidRPr="00DE7F90">
              <w:rPr>
                <w:rFonts w:asciiTheme="minorHAnsi" w:hAnsiTheme="minorHAnsi" w:cs="Helvetica"/>
                <w:noProof/>
                <w:sz w:val="21"/>
                <w:szCs w:val="21"/>
              </w:rPr>
              <w:t>$</w:t>
            </w:r>
            <w:r w:rsidR="005B0B66" w:rsidRPr="00DE7F90">
              <w:rPr>
                <w:rFonts w:asciiTheme="minorHAnsi" w:hAnsiTheme="minorHAnsi" w:cs="Helvetica"/>
                <w:noProof/>
                <w:sz w:val="21"/>
                <w:szCs w:val="21"/>
              </w:rPr>
              <w:t>1027</w:t>
            </w:r>
          </w:p>
        </w:tc>
      </w:tr>
      <w:tr w:rsidR="004652AA" w:rsidRPr="003E433A" w14:paraId="48A77DF9" w14:textId="77777777" w:rsidTr="00737DCE">
        <w:tc>
          <w:tcPr>
            <w:tcW w:w="1276" w:type="dxa"/>
            <w:tcBorders>
              <w:top w:val="nil"/>
              <w:left w:val="nil"/>
              <w:bottom w:val="nil"/>
            </w:tcBorders>
          </w:tcPr>
          <w:p w14:paraId="207A9C42" w14:textId="77777777" w:rsidR="004652AA" w:rsidRPr="00106585" w:rsidRDefault="00106585"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 xml:space="preserve">S </w:t>
            </w:r>
            <w:r w:rsidR="004652AA" w:rsidRPr="00106585">
              <w:rPr>
                <w:rFonts w:asciiTheme="minorHAnsi" w:hAnsiTheme="minorHAnsi" w:cs="Helvetica"/>
                <w:noProof/>
                <w:sz w:val="21"/>
                <w:szCs w:val="21"/>
              </w:rPr>
              <w:t>73</w:t>
            </w:r>
          </w:p>
        </w:tc>
        <w:tc>
          <w:tcPr>
            <w:tcW w:w="5387" w:type="dxa"/>
            <w:tcBorders>
              <w:top w:val="nil"/>
              <w:bottom w:val="nil"/>
            </w:tcBorders>
          </w:tcPr>
          <w:p w14:paraId="1AC9616D" w14:textId="77777777" w:rsidR="004652AA" w:rsidRPr="00106585" w:rsidRDefault="004652AA"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Application to surrender all or part of licence area</w:t>
            </w:r>
          </w:p>
        </w:tc>
        <w:tc>
          <w:tcPr>
            <w:tcW w:w="1809" w:type="dxa"/>
            <w:gridSpan w:val="2"/>
            <w:tcBorders>
              <w:top w:val="nil"/>
              <w:bottom w:val="nil"/>
              <w:right w:val="nil"/>
            </w:tcBorders>
          </w:tcPr>
          <w:p w14:paraId="3AAB5715" w14:textId="77777777" w:rsidR="004652AA" w:rsidRPr="00106585" w:rsidRDefault="004652AA" w:rsidP="00106585">
            <w:pPr>
              <w:widowControl w:val="0"/>
              <w:spacing w:before="40" w:after="40"/>
              <w:jc w:val="right"/>
              <w:rPr>
                <w:rFonts w:asciiTheme="minorHAnsi" w:hAnsiTheme="minorHAnsi" w:cs="Helvetica"/>
                <w:noProof/>
                <w:sz w:val="21"/>
                <w:szCs w:val="21"/>
              </w:rPr>
            </w:pPr>
            <w:r w:rsidRPr="00106585">
              <w:rPr>
                <w:rFonts w:asciiTheme="minorHAnsi" w:hAnsiTheme="minorHAnsi" w:cs="Helvetica"/>
                <w:noProof/>
                <w:sz w:val="21"/>
                <w:szCs w:val="21"/>
              </w:rPr>
              <w:t>761</w:t>
            </w:r>
          </w:p>
        </w:tc>
        <w:tc>
          <w:tcPr>
            <w:tcW w:w="1560" w:type="dxa"/>
            <w:tcBorders>
              <w:top w:val="nil"/>
              <w:bottom w:val="nil"/>
              <w:right w:val="nil"/>
            </w:tcBorders>
          </w:tcPr>
          <w:p w14:paraId="5A389B37" w14:textId="77777777" w:rsidR="004652AA" w:rsidRPr="00DE7F90" w:rsidRDefault="009535F9" w:rsidP="005B0B66">
            <w:pPr>
              <w:widowControl w:val="0"/>
              <w:spacing w:before="40" w:after="40"/>
              <w:jc w:val="right"/>
              <w:rPr>
                <w:rFonts w:asciiTheme="minorHAnsi" w:hAnsiTheme="minorHAnsi" w:cs="Helvetica"/>
                <w:noProof/>
                <w:sz w:val="21"/>
                <w:szCs w:val="21"/>
              </w:rPr>
            </w:pPr>
            <w:r w:rsidRPr="00DE7F90">
              <w:rPr>
                <w:rFonts w:asciiTheme="minorHAnsi" w:hAnsiTheme="minorHAnsi" w:cs="Helvetica"/>
                <w:noProof/>
                <w:sz w:val="21"/>
                <w:szCs w:val="21"/>
              </w:rPr>
              <w:t>$</w:t>
            </w:r>
            <w:r w:rsidR="005B0B66" w:rsidRPr="00DE7F90">
              <w:rPr>
                <w:rFonts w:asciiTheme="minorHAnsi" w:hAnsiTheme="minorHAnsi" w:cs="Helvetica"/>
                <w:noProof/>
                <w:sz w:val="21"/>
                <w:szCs w:val="21"/>
              </w:rPr>
              <w:t>1027</w:t>
            </w:r>
          </w:p>
        </w:tc>
      </w:tr>
      <w:tr w:rsidR="004652AA" w:rsidRPr="003D42D5" w14:paraId="28031F83" w14:textId="77777777" w:rsidTr="00737DCE">
        <w:tc>
          <w:tcPr>
            <w:tcW w:w="1276" w:type="dxa"/>
            <w:tcBorders>
              <w:top w:val="nil"/>
              <w:left w:val="nil"/>
              <w:bottom w:val="nil"/>
            </w:tcBorders>
          </w:tcPr>
          <w:p w14:paraId="5C988FFF" w14:textId="77777777" w:rsidR="004652AA" w:rsidRPr="00106585" w:rsidRDefault="00106585"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 xml:space="preserve">S </w:t>
            </w:r>
            <w:r w:rsidR="004652AA" w:rsidRPr="00106585">
              <w:rPr>
                <w:rFonts w:asciiTheme="minorHAnsi" w:hAnsiTheme="minorHAnsi" w:cs="Helvetica"/>
                <w:noProof/>
                <w:sz w:val="21"/>
                <w:szCs w:val="21"/>
              </w:rPr>
              <w:t>93</w:t>
            </w:r>
          </w:p>
        </w:tc>
        <w:tc>
          <w:tcPr>
            <w:tcW w:w="5387" w:type="dxa"/>
            <w:tcBorders>
              <w:top w:val="nil"/>
              <w:bottom w:val="nil"/>
            </w:tcBorders>
          </w:tcPr>
          <w:p w14:paraId="63D921F8" w14:textId="77777777" w:rsidR="004652AA" w:rsidRPr="00106585" w:rsidRDefault="004652AA"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Application to approve transfer of an interest</w:t>
            </w:r>
          </w:p>
        </w:tc>
        <w:tc>
          <w:tcPr>
            <w:tcW w:w="1809" w:type="dxa"/>
            <w:gridSpan w:val="2"/>
            <w:tcBorders>
              <w:top w:val="nil"/>
              <w:bottom w:val="nil"/>
              <w:right w:val="nil"/>
            </w:tcBorders>
          </w:tcPr>
          <w:p w14:paraId="1BF91C5C" w14:textId="77777777" w:rsidR="004652AA" w:rsidRPr="00106585" w:rsidRDefault="004652AA" w:rsidP="00106585">
            <w:pPr>
              <w:widowControl w:val="0"/>
              <w:spacing w:before="40" w:after="40"/>
              <w:jc w:val="right"/>
              <w:rPr>
                <w:rFonts w:asciiTheme="minorHAnsi" w:hAnsiTheme="minorHAnsi" w:cs="Helvetica"/>
                <w:noProof/>
                <w:sz w:val="21"/>
                <w:szCs w:val="21"/>
              </w:rPr>
            </w:pPr>
            <w:r w:rsidRPr="00106585">
              <w:rPr>
                <w:rFonts w:asciiTheme="minorHAnsi" w:hAnsiTheme="minorHAnsi" w:cs="Helvetica"/>
                <w:noProof/>
                <w:sz w:val="21"/>
                <w:szCs w:val="21"/>
              </w:rPr>
              <w:t>1 934</w:t>
            </w:r>
          </w:p>
        </w:tc>
        <w:tc>
          <w:tcPr>
            <w:tcW w:w="1560" w:type="dxa"/>
            <w:tcBorders>
              <w:top w:val="nil"/>
              <w:bottom w:val="nil"/>
              <w:right w:val="nil"/>
            </w:tcBorders>
          </w:tcPr>
          <w:p w14:paraId="3EC1B32A" w14:textId="77777777" w:rsidR="004652AA" w:rsidRPr="00106585" w:rsidRDefault="009535F9" w:rsidP="00FA377D">
            <w:pPr>
              <w:widowControl w:val="0"/>
              <w:spacing w:before="40" w:after="40"/>
              <w:jc w:val="right"/>
              <w:rPr>
                <w:rFonts w:asciiTheme="minorHAnsi" w:hAnsiTheme="minorHAnsi" w:cs="Helvetica"/>
                <w:noProof/>
                <w:sz w:val="21"/>
                <w:szCs w:val="21"/>
              </w:rPr>
            </w:pPr>
            <w:r>
              <w:rPr>
                <w:rFonts w:asciiTheme="minorHAnsi" w:hAnsiTheme="minorHAnsi" w:cs="Helvetica"/>
                <w:noProof/>
                <w:sz w:val="21"/>
                <w:szCs w:val="21"/>
              </w:rPr>
              <w:t>$2</w:t>
            </w:r>
            <w:r w:rsidR="005B0B66">
              <w:rPr>
                <w:rFonts w:asciiTheme="minorHAnsi" w:hAnsiTheme="minorHAnsi" w:cs="Helvetica"/>
                <w:noProof/>
                <w:sz w:val="21"/>
                <w:szCs w:val="21"/>
              </w:rPr>
              <w:t>61</w:t>
            </w:r>
            <w:r w:rsidR="00FA377D">
              <w:rPr>
                <w:rFonts w:asciiTheme="minorHAnsi" w:hAnsiTheme="minorHAnsi" w:cs="Helvetica"/>
                <w:noProof/>
                <w:sz w:val="21"/>
                <w:szCs w:val="21"/>
              </w:rPr>
              <w:t>0</w:t>
            </w:r>
          </w:p>
        </w:tc>
      </w:tr>
      <w:tr w:rsidR="004652AA" w:rsidRPr="003D42D5" w14:paraId="0B903BF2" w14:textId="77777777" w:rsidTr="00737DCE">
        <w:tc>
          <w:tcPr>
            <w:tcW w:w="1276" w:type="dxa"/>
            <w:tcBorders>
              <w:top w:val="nil"/>
              <w:left w:val="nil"/>
              <w:bottom w:val="nil"/>
            </w:tcBorders>
          </w:tcPr>
          <w:p w14:paraId="1ADCA27C" w14:textId="77777777" w:rsidR="004652AA" w:rsidRPr="00106585" w:rsidRDefault="00106585"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 xml:space="preserve">S </w:t>
            </w:r>
            <w:r w:rsidR="004652AA" w:rsidRPr="00106585">
              <w:rPr>
                <w:rFonts w:asciiTheme="minorHAnsi" w:hAnsiTheme="minorHAnsi" w:cs="Helvetica"/>
                <w:noProof/>
                <w:sz w:val="21"/>
                <w:szCs w:val="21"/>
              </w:rPr>
              <w:t>94(2)</w:t>
            </w:r>
          </w:p>
        </w:tc>
        <w:tc>
          <w:tcPr>
            <w:tcW w:w="5387" w:type="dxa"/>
            <w:tcBorders>
              <w:top w:val="nil"/>
              <w:bottom w:val="nil"/>
            </w:tcBorders>
          </w:tcPr>
          <w:p w14:paraId="1D5223E0" w14:textId="77777777" w:rsidR="004652AA" w:rsidRPr="00106585" w:rsidRDefault="004652AA"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Entry in Register of name of applicant as permittee or licensee</w:t>
            </w:r>
          </w:p>
        </w:tc>
        <w:tc>
          <w:tcPr>
            <w:tcW w:w="1809" w:type="dxa"/>
            <w:gridSpan w:val="2"/>
            <w:tcBorders>
              <w:top w:val="nil"/>
              <w:bottom w:val="nil"/>
              <w:right w:val="nil"/>
            </w:tcBorders>
          </w:tcPr>
          <w:p w14:paraId="7336FE05" w14:textId="77777777" w:rsidR="004652AA" w:rsidRPr="00106585" w:rsidRDefault="004652AA" w:rsidP="00106585">
            <w:pPr>
              <w:widowControl w:val="0"/>
              <w:spacing w:before="40" w:after="40"/>
              <w:jc w:val="right"/>
              <w:rPr>
                <w:rFonts w:asciiTheme="minorHAnsi" w:hAnsiTheme="minorHAnsi" w:cs="Helvetica"/>
                <w:noProof/>
                <w:sz w:val="21"/>
                <w:szCs w:val="21"/>
              </w:rPr>
            </w:pPr>
            <w:r w:rsidRPr="00106585">
              <w:rPr>
                <w:rFonts w:asciiTheme="minorHAnsi" w:hAnsiTheme="minorHAnsi" w:cs="Helvetica"/>
                <w:noProof/>
                <w:sz w:val="21"/>
                <w:szCs w:val="21"/>
              </w:rPr>
              <w:t>57</w:t>
            </w:r>
          </w:p>
        </w:tc>
        <w:tc>
          <w:tcPr>
            <w:tcW w:w="1560" w:type="dxa"/>
            <w:tcBorders>
              <w:top w:val="nil"/>
              <w:bottom w:val="nil"/>
              <w:right w:val="nil"/>
            </w:tcBorders>
          </w:tcPr>
          <w:p w14:paraId="1FBC081E" w14:textId="77777777" w:rsidR="004652AA" w:rsidRPr="00106585" w:rsidRDefault="009535F9" w:rsidP="00FA377D">
            <w:pPr>
              <w:widowControl w:val="0"/>
              <w:spacing w:before="40" w:after="40"/>
              <w:jc w:val="right"/>
              <w:rPr>
                <w:rFonts w:asciiTheme="minorHAnsi" w:hAnsiTheme="minorHAnsi" w:cs="Helvetica"/>
                <w:noProof/>
                <w:sz w:val="21"/>
                <w:szCs w:val="21"/>
              </w:rPr>
            </w:pPr>
            <w:r>
              <w:rPr>
                <w:rFonts w:asciiTheme="minorHAnsi" w:hAnsiTheme="minorHAnsi" w:cs="Helvetica"/>
                <w:noProof/>
                <w:sz w:val="21"/>
                <w:szCs w:val="21"/>
              </w:rPr>
              <w:t>$7</w:t>
            </w:r>
            <w:r w:rsidR="00FA377D">
              <w:rPr>
                <w:rFonts w:asciiTheme="minorHAnsi" w:hAnsiTheme="minorHAnsi" w:cs="Helvetica"/>
                <w:noProof/>
                <w:sz w:val="21"/>
                <w:szCs w:val="21"/>
              </w:rPr>
              <w:t>6</w:t>
            </w:r>
          </w:p>
        </w:tc>
      </w:tr>
      <w:tr w:rsidR="004652AA" w:rsidRPr="003D42D5" w14:paraId="6557F5F7" w14:textId="77777777" w:rsidTr="00737DCE">
        <w:tc>
          <w:tcPr>
            <w:tcW w:w="1276" w:type="dxa"/>
            <w:tcBorders>
              <w:top w:val="nil"/>
              <w:left w:val="nil"/>
              <w:bottom w:val="nil"/>
            </w:tcBorders>
          </w:tcPr>
          <w:p w14:paraId="37586C9C" w14:textId="77777777" w:rsidR="004652AA" w:rsidRPr="00106585" w:rsidRDefault="00106585"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 xml:space="preserve">S </w:t>
            </w:r>
            <w:r w:rsidR="004652AA" w:rsidRPr="00106585">
              <w:rPr>
                <w:rFonts w:asciiTheme="minorHAnsi" w:hAnsiTheme="minorHAnsi" w:cs="Helvetica"/>
                <w:noProof/>
                <w:sz w:val="21"/>
                <w:szCs w:val="21"/>
              </w:rPr>
              <w:t>96(4)</w:t>
            </w:r>
          </w:p>
        </w:tc>
        <w:tc>
          <w:tcPr>
            <w:tcW w:w="5387" w:type="dxa"/>
            <w:tcBorders>
              <w:top w:val="nil"/>
              <w:bottom w:val="nil"/>
            </w:tcBorders>
          </w:tcPr>
          <w:p w14:paraId="564B7144" w14:textId="77777777" w:rsidR="004652AA" w:rsidRPr="00106585" w:rsidRDefault="004652AA"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Approval of instruments relating to interests</w:t>
            </w:r>
          </w:p>
        </w:tc>
        <w:tc>
          <w:tcPr>
            <w:tcW w:w="1809" w:type="dxa"/>
            <w:gridSpan w:val="2"/>
            <w:tcBorders>
              <w:top w:val="nil"/>
              <w:bottom w:val="nil"/>
              <w:right w:val="nil"/>
            </w:tcBorders>
          </w:tcPr>
          <w:p w14:paraId="27451A51" w14:textId="77777777" w:rsidR="004652AA" w:rsidRPr="00106585" w:rsidRDefault="004652AA" w:rsidP="00106585">
            <w:pPr>
              <w:widowControl w:val="0"/>
              <w:spacing w:before="40" w:after="40"/>
              <w:jc w:val="right"/>
              <w:rPr>
                <w:rFonts w:asciiTheme="minorHAnsi" w:hAnsiTheme="minorHAnsi" w:cs="Helvetica"/>
                <w:noProof/>
                <w:sz w:val="21"/>
                <w:szCs w:val="21"/>
              </w:rPr>
            </w:pPr>
            <w:r w:rsidRPr="00106585">
              <w:rPr>
                <w:rFonts w:asciiTheme="minorHAnsi" w:hAnsiTheme="minorHAnsi" w:cs="Helvetica"/>
                <w:noProof/>
                <w:sz w:val="21"/>
                <w:szCs w:val="21"/>
              </w:rPr>
              <w:t>165</w:t>
            </w:r>
          </w:p>
        </w:tc>
        <w:tc>
          <w:tcPr>
            <w:tcW w:w="1560" w:type="dxa"/>
            <w:tcBorders>
              <w:top w:val="nil"/>
              <w:bottom w:val="nil"/>
              <w:right w:val="nil"/>
            </w:tcBorders>
          </w:tcPr>
          <w:p w14:paraId="210F5C63" w14:textId="77777777" w:rsidR="004652AA" w:rsidRPr="00106585" w:rsidRDefault="009535F9" w:rsidP="005B0B66">
            <w:pPr>
              <w:widowControl w:val="0"/>
              <w:spacing w:before="40" w:after="40"/>
              <w:jc w:val="right"/>
              <w:rPr>
                <w:rFonts w:asciiTheme="minorHAnsi" w:hAnsiTheme="minorHAnsi" w:cs="Helvetica"/>
                <w:noProof/>
                <w:sz w:val="21"/>
                <w:szCs w:val="21"/>
              </w:rPr>
            </w:pPr>
            <w:r>
              <w:rPr>
                <w:rFonts w:asciiTheme="minorHAnsi" w:hAnsiTheme="minorHAnsi" w:cs="Helvetica"/>
                <w:noProof/>
                <w:sz w:val="21"/>
                <w:szCs w:val="21"/>
              </w:rPr>
              <w:t>$2</w:t>
            </w:r>
            <w:r w:rsidR="005B0B66">
              <w:rPr>
                <w:rFonts w:asciiTheme="minorHAnsi" w:hAnsiTheme="minorHAnsi" w:cs="Helvetica"/>
                <w:noProof/>
                <w:sz w:val="21"/>
                <w:szCs w:val="21"/>
              </w:rPr>
              <w:t>22</w:t>
            </w:r>
          </w:p>
        </w:tc>
      </w:tr>
      <w:tr w:rsidR="004652AA" w:rsidRPr="003D42D5" w14:paraId="46A2FEF7" w14:textId="77777777" w:rsidTr="00737DCE">
        <w:tc>
          <w:tcPr>
            <w:tcW w:w="1276" w:type="dxa"/>
            <w:tcBorders>
              <w:top w:val="nil"/>
              <w:left w:val="nil"/>
              <w:bottom w:val="nil"/>
            </w:tcBorders>
          </w:tcPr>
          <w:p w14:paraId="7A83E0D0" w14:textId="77777777" w:rsidR="004652AA" w:rsidRPr="00106585" w:rsidRDefault="00106585"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 xml:space="preserve">S </w:t>
            </w:r>
            <w:r w:rsidR="004652AA" w:rsidRPr="00106585">
              <w:rPr>
                <w:rFonts w:asciiTheme="minorHAnsi" w:hAnsiTheme="minorHAnsi" w:cs="Helvetica"/>
                <w:noProof/>
                <w:sz w:val="21"/>
                <w:szCs w:val="21"/>
              </w:rPr>
              <w:t>100</w:t>
            </w:r>
          </w:p>
        </w:tc>
        <w:tc>
          <w:tcPr>
            <w:tcW w:w="5387" w:type="dxa"/>
            <w:tcBorders>
              <w:top w:val="nil"/>
              <w:bottom w:val="nil"/>
            </w:tcBorders>
          </w:tcPr>
          <w:p w14:paraId="305494D5" w14:textId="77777777" w:rsidR="004652AA" w:rsidRPr="00106585" w:rsidRDefault="004652AA"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Inspection of Register and instruments</w:t>
            </w:r>
          </w:p>
        </w:tc>
        <w:tc>
          <w:tcPr>
            <w:tcW w:w="1809" w:type="dxa"/>
            <w:gridSpan w:val="2"/>
            <w:tcBorders>
              <w:top w:val="nil"/>
              <w:bottom w:val="nil"/>
              <w:right w:val="nil"/>
            </w:tcBorders>
          </w:tcPr>
          <w:p w14:paraId="37DE803A" w14:textId="77777777" w:rsidR="004652AA" w:rsidRPr="00106585" w:rsidRDefault="004652AA" w:rsidP="00106585">
            <w:pPr>
              <w:widowControl w:val="0"/>
              <w:spacing w:before="40" w:after="40"/>
              <w:jc w:val="right"/>
              <w:rPr>
                <w:rFonts w:asciiTheme="minorHAnsi" w:hAnsiTheme="minorHAnsi" w:cs="Helvetica"/>
                <w:noProof/>
                <w:sz w:val="21"/>
                <w:szCs w:val="21"/>
              </w:rPr>
            </w:pPr>
            <w:r w:rsidRPr="00106585">
              <w:rPr>
                <w:rFonts w:asciiTheme="minorHAnsi" w:hAnsiTheme="minorHAnsi" w:cs="Helvetica"/>
                <w:noProof/>
                <w:sz w:val="21"/>
                <w:szCs w:val="21"/>
              </w:rPr>
              <w:t>19</w:t>
            </w:r>
          </w:p>
        </w:tc>
        <w:tc>
          <w:tcPr>
            <w:tcW w:w="1560" w:type="dxa"/>
            <w:tcBorders>
              <w:top w:val="nil"/>
              <w:bottom w:val="nil"/>
              <w:right w:val="nil"/>
            </w:tcBorders>
          </w:tcPr>
          <w:p w14:paraId="6DEA0A88" w14:textId="77777777" w:rsidR="004652AA" w:rsidRPr="00106585" w:rsidRDefault="009535F9" w:rsidP="005B0B66">
            <w:pPr>
              <w:widowControl w:val="0"/>
              <w:spacing w:before="40" w:after="40"/>
              <w:jc w:val="right"/>
              <w:rPr>
                <w:rFonts w:asciiTheme="minorHAnsi" w:hAnsiTheme="minorHAnsi" w:cs="Helvetica"/>
                <w:noProof/>
                <w:sz w:val="21"/>
                <w:szCs w:val="21"/>
              </w:rPr>
            </w:pPr>
            <w:r>
              <w:rPr>
                <w:rFonts w:asciiTheme="minorHAnsi" w:hAnsiTheme="minorHAnsi" w:cs="Helvetica"/>
                <w:noProof/>
                <w:sz w:val="21"/>
                <w:szCs w:val="21"/>
              </w:rPr>
              <w:t>$2</w:t>
            </w:r>
            <w:r w:rsidR="005B0B66">
              <w:rPr>
                <w:rFonts w:asciiTheme="minorHAnsi" w:hAnsiTheme="minorHAnsi" w:cs="Helvetica"/>
                <w:noProof/>
                <w:sz w:val="21"/>
                <w:szCs w:val="21"/>
              </w:rPr>
              <w:t>5</w:t>
            </w:r>
          </w:p>
        </w:tc>
      </w:tr>
      <w:tr w:rsidR="004652AA" w:rsidRPr="003D42D5" w14:paraId="06D17FC0" w14:textId="77777777" w:rsidTr="00737DCE">
        <w:tc>
          <w:tcPr>
            <w:tcW w:w="1276" w:type="dxa"/>
            <w:tcBorders>
              <w:top w:val="nil"/>
              <w:left w:val="nil"/>
              <w:bottom w:val="nil"/>
            </w:tcBorders>
          </w:tcPr>
          <w:p w14:paraId="761C116F" w14:textId="77777777" w:rsidR="004652AA" w:rsidRPr="00106585" w:rsidRDefault="00106585"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 xml:space="preserve">S </w:t>
            </w:r>
            <w:r w:rsidR="004652AA" w:rsidRPr="00106585">
              <w:rPr>
                <w:rFonts w:asciiTheme="minorHAnsi" w:hAnsiTheme="minorHAnsi" w:cs="Helvetica"/>
                <w:noProof/>
                <w:sz w:val="21"/>
                <w:szCs w:val="21"/>
              </w:rPr>
              <w:t>102(2)</w:t>
            </w:r>
          </w:p>
        </w:tc>
        <w:tc>
          <w:tcPr>
            <w:tcW w:w="5387" w:type="dxa"/>
            <w:tcBorders>
              <w:top w:val="nil"/>
              <w:bottom w:val="nil"/>
            </w:tcBorders>
          </w:tcPr>
          <w:p w14:paraId="2DD5C902" w14:textId="77777777" w:rsidR="004652AA" w:rsidRPr="00106585" w:rsidRDefault="004652AA"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Copy of or extract from Register or instrument (page)</w:t>
            </w:r>
          </w:p>
        </w:tc>
        <w:tc>
          <w:tcPr>
            <w:tcW w:w="1809" w:type="dxa"/>
            <w:gridSpan w:val="2"/>
            <w:tcBorders>
              <w:top w:val="nil"/>
              <w:bottom w:val="nil"/>
              <w:right w:val="nil"/>
            </w:tcBorders>
          </w:tcPr>
          <w:p w14:paraId="7D8D2AF6" w14:textId="77777777" w:rsidR="004652AA" w:rsidRPr="00106585" w:rsidRDefault="004652AA" w:rsidP="00106585">
            <w:pPr>
              <w:widowControl w:val="0"/>
              <w:spacing w:before="40" w:after="40"/>
              <w:jc w:val="right"/>
              <w:rPr>
                <w:rFonts w:asciiTheme="minorHAnsi" w:hAnsiTheme="minorHAnsi" w:cs="Helvetica"/>
                <w:noProof/>
                <w:sz w:val="21"/>
                <w:szCs w:val="21"/>
              </w:rPr>
            </w:pPr>
            <w:r w:rsidRPr="00106585">
              <w:rPr>
                <w:rFonts w:asciiTheme="minorHAnsi" w:hAnsiTheme="minorHAnsi" w:cs="Helvetica"/>
                <w:noProof/>
                <w:sz w:val="21"/>
                <w:szCs w:val="21"/>
              </w:rPr>
              <w:t>6</w:t>
            </w:r>
          </w:p>
        </w:tc>
        <w:tc>
          <w:tcPr>
            <w:tcW w:w="1560" w:type="dxa"/>
            <w:tcBorders>
              <w:top w:val="nil"/>
              <w:bottom w:val="nil"/>
              <w:right w:val="nil"/>
            </w:tcBorders>
          </w:tcPr>
          <w:p w14:paraId="2BB62C62" w14:textId="77777777" w:rsidR="004652AA" w:rsidRPr="00106585" w:rsidRDefault="00997838" w:rsidP="005B0B66">
            <w:pPr>
              <w:widowControl w:val="0"/>
              <w:spacing w:before="40" w:after="40"/>
              <w:jc w:val="right"/>
              <w:rPr>
                <w:rFonts w:asciiTheme="minorHAnsi" w:hAnsiTheme="minorHAnsi" w:cs="Helvetica"/>
                <w:noProof/>
                <w:sz w:val="21"/>
                <w:szCs w:val="21"/>
              </w:rPr>
            </w:pPr>
            <w:r>
              <w:rPr>
                <w:rFonts w:asciiTheme="minorHAnsi" w:hAnsiTheme="minorHAnsi" w:cs="Helvetica"/>
                <w:noProof/>
                <w:sz w:val="21"/>
                <w:szCs w:val="21"/>
              </w:rPr>
              <w:t>$</w:t>
            </w:r>
            <w:r w:rsidR="005B0B66">
              <w:rPr>
                <w:rFonts w:asciiTheme="minorHAnsi" w:hAnsiTheme="minorHAnsi" w:cs="Helvetica"/>
                <w:noProof/>
                <w:sz w:val="21"/>
                <w:szCs w:val="21"/>
              </w:rPr>
              <w:t>8</w:t>
            </w:r>
          </w:p>
        </w:tc>
      </w:tr>
      <w:tr w:rsidR="004652AA" w:rsidRPr="003D42D5" w14:paraId="70C59DCD" w14:textId="77777777" w:rsidTr="00737DCE">
        <w:tc>
          <w:tcPr>
            <w:tcW w:w="1276" w:type="dxa"/>
            <w:tcBorders>
              <w:top w:val="nil"/>
              <w:left w:val="nil"/>
              <w:bottom w:val="nil"/>
            </w:tcBorders>
          </w:tcPr>
          <w:p w14:paraId="2E1E9B8E" w14:textId="77777777" w:rsidR="004652AA" w:rsidRPr="00106585" w:rsidRDefault="00106585"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 xml:space="preserve">S </w:t>
            </w:r>
            <w:r w:rsidR="004652AA" w:rsidRPr="00106585">
              <w:rPr>
                <w:rFonts w:asciiTheme="minorHAnsi" w:hAnsiTheme="minorHAnsi" w:cs="Helvetica"/>
                <w:noProof/>
                <w:sz w:val="21"/>
                <w:szCs w:val="21"/>
              </w:rPr>
              <w:t>102(3)</w:t>
            </w:r>
          </w:p>
        </w:tc>
        <w:tc>
          <w:tcPr>
            <w:tcW w:w="5387" w:type="dxa"/>
            <w:tcBorders>
              <w:top w:val="nil"/>
              <w:bottom w:val="nil"/>
            </w:tcBorders>
          </w:tcPr>
          <w:p w14:paraId="67424FE7" w14:textId="77777777" w:rsidR="004652AA" w:rsidRPr="00106585" w:rsidRDefault="004652AA"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Certificate issued by Registrar</w:t>
            </w:r>
          </w:p>
        </w:tc>
        <w:tc>
          <w:tcPr>
            <w:tcW w:w="1809" w:type="dxa"/>
            <w:gridSpan w:val="2"/>
            <w:tcBorders>
              <w:top w:val="nil"/>
              <w:bottom w:val="nil"/>
              <w:right w:val="nil"/>
            </w:tcBorders>
          </w:tcPr>
          <w:p w14:paraId="76004F65" w14:textId="77777777" w:rsidR="004652AA" w:rsidRPr="00106585" w:rsidRDefault="004652AA" w:rsidP="00106585">
            <w:pPr>
              <w:widowControl w:val="0"/>
              <w:spacing w:before="40" w:after="40"/>
              <w:jc w:val="right"/>
              <w:rPr>
                <w:rFonts w:asciiTheme="minorHAnsi" w:hAnsiTheme="minorHAnsi" w:cs="Helvetica"/>
                <w:noProof/>
                <w:sz w:val="21"/>
                <w:szCs w:val="21"/>
              </w:rPr>
            </w:pPr>
            <w:r w:rsidRPr="00106585">
              <w:rPr>
                <w:rFonts w:asciiTheme="minorHAnsi" w:hAnsiTheme="minorHAnsi" w:cs="Helvetica"/>
                <w:noProof/>
                <w:sz w:val="21"/>
                <w:szCs w:val="21"/>
              </w:rPr>
              <w:t>33</w:t>
            </w:r>
          </w:p>
        </w:tc>
        <w:tc>
          <w:tcPr>
            <w:tcW w:w="1560" w:type="dxa"/>
            <w:tcBorders>
              <w:top w:val="nil"/>
              <w:bottom w:val="nil"/>
              <w:right w:val="nil"/>
            </w:tcBorders>
          </w:tcPr>
          <w:p w14:paraId="04F2C6E9" w14:textId="77777777" w:rsidR="004652AA" w:rsidRPr="00106585" w:rsidRDefault="00997838" w:rsidP="00FA377D">
            <w:pPr>
              <w:widowControl w:val="0"/>
              <w:spacing w:before="40" w:after="40"/>
              <w:jc w:val="right"/>
              <w:rPr>
                <w:rFonts w:asciiTheme="minorHAnsi" w:hAnsiTheme="minorHAnsi" w:cs="Helvetica"/>
                <w:noProof/>
                <w:sz w:val="21"/>
                <w:szCs w:val="21"/>
              </w:rPr>
            </w:pPr>
            <w:r>
              <w:rPr>
                <w:rFonts w:asciiTheme="minorHAnsi" w:hAnsiTheme="minorHAnsi" w:cs="Helvetica"/>
                <w:noProof/>
                <w:sz w:val="21"/>
                <w:szCs w:val="21"/>
              </w:rPr>
              <w:t>$4</w:t>
            </w:r>
            <w:r w:rsidR="00FA377D">
              <w:rPr>
                <w:rFonts w:asciiTheme="minorHAnsi" w:hAnsiTheme="minorHAnsi" w:cs="Helvetica"/>
                <w:noProof/>
                <w:sz w:val="21"/>
                <w:szCs w:val="21"/>
              </w:rPr>
              <w:t>4</w:t>
            </w:r>
          </w:p>
        </w:tc>
      </w:tr>
      <w:tr w:rsidR="004652AA" w:rsidRPr="003D42D5" w14:paraId="3815C008" w14:textId="77777777" w:rsidTr="00737DCE">
        <w:tc>
          <w:tcPr>
            <w:tcW w:w="1276" w:type="dxa"/>
            <w:tcBorders>
              <w:top w:val="nil"/>
              <w:left w:val="nil"/>
              <w:bottom w:val="nil"/>
            </w:tcBorders>
          </w:tcPr>
          <w:p w14:paraId="6843B469" w14:textId="77777777" w:rsidR="004652AA" w:rsidRPr="00106585" w:rsidRDefault="00106585"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 xml:space="preserve">S </w:t>
            </w:r>
            <w:r w:rsidR="004652AA" w:rsidRPr="00106585">
              <w:rPr>
                <w:rFonts w:asciiTheme="minorHAnsi" w:hAnsiTheme="minorHAnsi" w:cs="Helvetica"/>
                <w:noProof/>
                <w:sz w:val="21"/>
                <w:szCs w:val="21"/>
              </w:rPr>
              <w:t>104E</w:t>
            </w:r>
          </w:p>
        </w:tc>
        <w:tc>
          <w:tcPr>
            <w:tcW w:w="5387" w:type="dxa"/>
            <w:tcBorders>
              <w:top w:val="nil"/>
              <w:bottom w:val="nil"/>
            </w:tcBorders>
          </w:tcPr>
          <w:p w14:paraId="086D1290" w14:textId="77777777" w:rsidR="004652AA" w:rsidRPr="00106585" w:rsidRDefault="004652AA"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Application to approve change in control</w:t>
            </w:r>
          </w:p>
        </w:tc>
        <w:tc>
          <w:tcPr>
            <w:tcW w:w="1809" w:type="dxa"/>
            <w:gridSpan w:val="2"/>
            <w:tcBorders>
              <w:top w:val="nil"/>
              <w:bottom w:val="nil"/>
              <w:right w:val="nil"/>
            </w:tcBorders>
          </w:tcPr>
          <w:p w14:paraId="5B6DDFCC" w14:textId="77777777" w:rsidR="004652AA" w:rsidRPr="00106585" w:rsidRDefault="004652AA" w:rsidP="00106585">
            <w:pPr>
              <w:widowControl w:val="0"/>
              <w:spacing w:before="40" w:after="40"/>
              <w:jc w:val="right"/>
              <w:rPr>
                <w:rFonts w:asciiTheme="minorHAnsi" w:hAnsiTheme="minorHAnsi" w:cs="Helvetica"/>
                <w:noProof/>
                <w:sz w:val="21"/>
                <w:szCs w:val="21"/>
              </w:rPr>
            </w:pPr>
            <w:r w:rsidRPr="00106585">
              <w:rPr>
                <w:rFonts w:asciiTheme="minorHAnsi" w:hAnsiTheme="minorHAnsi" w:cs="Helvetica"/>
                <w:noProof/>
                <w:sz w:val="21"/>
                <w:szCs w:val="21"/>
              </w:rPr>
              <w:t>1 415</w:t>
            </w:r>
          </w:p>
        </w:tc>
        <w:tc>
          <w:tcPr>
            <w:tcW w:w="1560" w:type="dxa"/>
            <w:tcBorders>
              <w:top w:val="nil"/>
              <w:bottom w:val="nil"/>
              <w:right w:val="nil"/>
            </w:tcBorders>
          </w:tcPr>
          <w:p w14:paraId="212F8BDF" w14:textId="77777777" w:rsidR="004652AA" w:rsidRPr="00106585" w:rsidRDefault="00997838" w:rsidP="00DE7F90">
            <w:pPr>
              <w:widowControl w:val="0"/>
              <w:spacing w:before="40" w:after="40"/>
              <w:jc w:val="right"/>
              <w:rPr>
                <w:rFonts w:asciiTheme="minorHAnsi" w:hAnsiTheme="minorHAnsi" w:cs="Helvetica"/>
                <w:noProof/>
                <w:sz w:val="21"/>
                <w:szCs w:val="21"/>
              </w:rPr>
            </w:pPr>
            <w:r>
              <w:rPr>
                <w:rFonts w:asciiTheme="minorHAnsi" w:hAnsiTheme="minorHAnsi" w:cs="Helvetica"/>
                <w:noProof/>
                <w:sz w:val="21"/>
                <w:szCs w:val="21"/>
              </w:rPr>
              <w:t>$</w:t>
            </w:r>
            <w:r w:rsidR="00DE7F90">
              <w:rPr>
                <w:rFonts w:asciiTheme="minorHAnsi" w:hAnsiTheme="minorHAnsi" w:cs="Helvetica"/>
                <w:noProof/>
                <w:sz w:val="21"/>
                <w:szCs w:val="21"/>
              </w:rPr>
              <w:t>1910</w:t>
            </w:r>
          </w:p>
        </w:tc>
      </w:tr>
      <w:tr w:rsidR="004652AA" w:rsidRPr="003D42D5" w14:paraId="51230999" w14:textId="77777777" w:rsidTr="00737DCE">
        <w:tc>
          <w:tcPr>
            <w:tcW w:w="1276" w:type="dxa"/>
            <w:tcBorders>
              <w:top w:val="nil"/>
              <w:left w:val="nil"/>
              <w:bottom w:val="nil"/>
            </w:tcBorders>
          </w:tcPr>
          <w:p w14:paraId="3574BA77" w14:textId="77777777" w:rsidR="004652AA" w:rsidRPr="00106585" w:rsidRDefault="00106585"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Reg</w:t>
            </w:r>
            <w:r w:rsidR="004652AA" w:rsidRPr="00106585">
              <w:rPr>
                <w:rFonts w:asciiTheme="minorHAnsi" w:hAnsiTheme="minorHAnsi" w:cs="Helvetica"/>
                <w:noProof/>
                <w:sz w:val="21"/>
                <w:szCs w:val="21"/>
              </w:rPr>
              <w:t xml:space="preserve"> 31</w:t>
            </w:r>
          </w:p>
        </w:tc>
        <w:tc>
          <w:tcPr>
            <w:tcW w:w="5387" w:type="dxa"/>
            <w:tcBorders>
              <w:top w:val="nil"/>
              <w:bottom w:val="nil"/>
            </w:tcBorders>
          </w:tcPr>
          <w:p w14:paraId="5A222C9D" w14:textId="77777777" w:rsidR="004652AA" w:rsidRPr="00106585" w:rsidRDefault="004652AA"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Application for approval of access agreement</w:t>
            </w:r>
          </w:p>
        </w:tc>
        <w:tc>
          <w:tcPr>
            <w:tcW w:w="1809" w:type="dxa"/>
            <w:gridSpan w:val="2"/>
            <w:tcBorders>
              <w:top w:val="nil"/>
              <w:bottom w:val="nil"/>
              <w:right w:val="nil"/>
            </w:tcBorders>
          </w:tcPr>
          <w:p w14:paraId="6C166484" w14:textId="77777777" w:rsidR="004652AA" w:rsidRPr="00106585" w:rsidRDefault="004652AA" w:rsidP="00106585">
            <w:pPr>
              <w:widowControl w:val="0"/>
              <w:spacing w:before="40" w:after="40"/>
              <w:jc w:val="right"/>
              <w:rPr>
                <w:rFonts w:asciiTheme="minorHAnsi" w:hAnsiTheme="minorHAnsi" w:cs="Helvetica"/>
                <w:noProof/>
                <w:sz w:val="21"/>
                <w:szCs w:val="21"/>
              </w:rPr>
            </w:pPr>
            <w:r w:rsidRPr="00106585">
              <w:rPr>
                <w:rFonts w:asciiTheme="minorHAnsi" w:hAnsiTheme="minorHAnsi" w:cs="Helvetica"/>
                <w:noProof/>
                <w:sz w:val="21"/>
                <w:szCs w:val="21"/>
              </w:rPr>
              <w:t>1 142</w:t>
            </w:r>
          </w:p>
        </w:tc>
        <w:tc>
          <w:tcPr>
            <w:tcW w:w="1560" w:type="dxa"/>
            <w:tcBorders>
              <w:top w:val="nil"/>
              <w:bottom w:val="nil"/>
              <w:right w:val="nil"/>
            </w:tcBorders>
          </w:tcPr>
          <w:p w14:paraId="321B01DB" w14:textId="77777777" w:rsidR="004652AA" w:rsidRPr="00106585" w:rsidRDefault="00997838" w:rsidP="00DE7F90">
            <w:pPr>
              <w:widowControl w:val="0"/>
              <w:spacing w:before="40" w:after="40"/>
              <w:jc w:val="right"/>
              <w:rPr>
                <w:rFonts w:asciiTheme="minorHAnsi" w:hAnsiTheme="minorHAnsi" w:cs="Helvetica"/>
                <w:noProof/>
                <w:sz w:val="21"/>
                <w:szCs w:val="21"/>
              </w:rPr>
            </w:pPr>
            <w:r>
              <w:rPr>
                <w:rFonts w:asciiTheme="minorHAnsi" w:hAnsiTheme="minorHAnsi" w:cs="Helvetica"/>
                <w:noProof/>
                <w:sz w:val="21"/>
                <w:szCs w:val="21"/>
              </w:rPr>
              <w:t>$</w:t>
            </w:r>
            <w:r w:rsidR="00DE7F90">
              <w:rPr>
                <w:rFonts w:asciiTheme="minorHAnsi" w:hAnsiTheme="minorHAnsi" w:cs="Helvetica"/>
                <w:noProof/>
                <w:sz w:val="21"/>
                <w:szCs w:val="21"/>
              </w:rPr>
              <w:t>1541</w:t>
            </w:r>
          </w:p>
        </w:tc>
      </w:tr>
      <w:tr w:rsidR="004652AA" w:rsidRPr="003D42D5" w14:paraId="56ADD1F0" w14:textId="77777777" w:rsidTr="00737DCE">
        <w:tc>
          <w:tcPr>
            <w:tcW w:w="1276" w:type="dxa"/>
            <w:tcBorders>
              <w:top w:val="nil"/>
              <w:left w:val="nil"/>
              <w:bottom w:val="nil"/>
            </w:tcBorders>
          </w:tcPr>
          <w:p w14:paraId="483400A8" w14:textId="77777777" w:rsidR="004652AA" w:rsidRPr="00106585" w:rsidRDefault="00106585"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Reg</w:t>
            </w:r>
            <w:r w:rsidR="004652AA" w:rsidRPr="00106585">
              <w:rPr>
                <w:rFonts w:asciiTheme="minorHAnsi" w:hAnsiTheme="minorHAnsi" w:cs="Helvetica"/>
                <w:noProof/>
                <w:sz w:val="21"/>
                <w:szCs w:val="21"/>
              </w:rPr>
              <w:t xml:space="preserve"> 33</w:t>
            </w:r>
          </w:p>
        </w:tc>
        <w:tc>
          <w:tcPr>
            <w:tcW w:w="5387" w:type="dxa"/>
            <w:tcBorders>
              <w:top w:val="nil"/>
              <w:bottom w:val="nil"/>
            </w:tcBorders>
          </w:tcPr>
          <w:p w14:paraId="0E0A1137" w14:textId="77777777" w:rsidR="004652AA" w:rsidRPr="00106585" w:rsidRDefault="004652AA"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Application for registration of access agreement</w:t>
            </w:r>
          </w:p>
        </w:tc>
        <w:tc>
          <w:tcPr>
            <w:tcW w:w="1809" w:type="dxa"/>
            <w:gridSpan w:val="2"/>
            <w:tcBorders>
              <w:top w:val="nil"/>
              <w:bottom w:val="nil"/>
              <w:right w:val="nil"/>
            </w:tcBorders>
          </w:tcPr>
          <w:p w14:paraId="334318D6" w14:textId="77777777" w:rsidR="004652AA" w:rsidRPr="00106585" w:rsidRDefault="004652AA" w:rsidP="00106585">
            <w:pPr>
              <w:widowControl w:val="0"/>
              <w:spacing w:before="40" w:after="40"/>
              <w:jc w:val="right"/>
              <w:rPr>
                <w:rFonts w:asciiTheme="minorHAnsi" w:hAnsiTheme="minorHAnsi" w:cs="Helvetica"/>
                <w:noProof/>
                <w:sz w:val="21"/>
                <w:szCs w:val="21"/>
              </w:rPr>
            </w:pPr>
            <w:r w:rsidRPr="00106585">
              <w:rPr>
                <w:rFonts w:asciiTheme="minorHAnsi" w:hAnsiTheme="minorHAnsi" w:cs="Helvetica"/>
                <w:noProof/>
                <w:sz w:val="21"/>
                <w:szCs w:val="21"/>
              </w:rPr>
              <w:t>666</w:t>
            </w:r>
          </w:p>
        </w:tc>
        <w:tc>
          <w:tcPr>
            <w:tcW w:w="1560" w:type="dxa"/>
            <w:tcBorders>
              <w:top w:val="nil"/>
              <w:bottom w:val="nil"/>
              <w:right w:val="nil"/>
            </w:tcBorders>
          </w:tcPr>
          <w:p w14:paraId="301CA9E0" w14:textId="77777777" w:rsidR="004652AA" w:rsidRPr="00106585" w:rsidRDefault="00997838" w:rsidP="00FA377D">
            <w:pPr>
              <w:widowControl w:val="0"/>
              <w:spacing w:before="40" w:after="40"/>
              <w:jc w:val="right"/>
              <w:rPr>
                <w:rFonts w:asciiTheme="minorHAnsi" w:hAnsiTheme="minorHAnsi" w:cs="Helvetica"/>
                <w:noProof/>
                <w:sz w:val="21"/>
                <w:szCs w:val="21"/>
              </w:rPr>
            </w:pPr>
            <w:r>
              <w:rPr>
                <w:rFonts w:asciiTheme="minorHAnsi" w:hAnsiTheme="minorHAnsi" w:cs="Helvetica"/>
                <w:noProof/>
                <w:sz w:val="21"/>
                <w:szCs w:val="21"/>
              </w:rPr>
              <w:t>$</w:t>
            </w:r>
            <w:r w:rsidR="00FA377D">
              <w:rPr>
                <w:rFonts w:asciiTheme="minorHAnsi" w:hAnsiTheme="minorHAnsi" w:cs="Helvetica"/>
                <w:noProof/>
                <w:sz w:val="21"/>
                <w:szCs w:val="21"/>
              </w:rPr>
              <w:t>899</w:t>
            </w:r>
          </w:p>
        </w:tc>
      </w:tr>
      <w:tr w:rsidR="004652AA" w:rsidRPr="003D42D5" w14:paraId="3EC01EC5" w14:textId="77777777" w:rsidTr="00737DCE">
        <w:tc>
          <w:tcPr>
            <w:tcW w:w="1276" w:type="dxa"/>
            <w:tcBorders>
              <w:top w:val="nil"/>
              <w:left w:val="nil"/>
              <w:bottom w:val="nil"/>
            </w:tcBorders>
          </w:tcPr>
          <w:p w14:paraId="655BBCAD" w14:textId="77777777" w:rsidR="004652AA" w:rsidRPr="00106585" w:rsidRDefault="00106585"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Reg</w:t>
            </w:r>
            <w:r w:rsidR="004652AA" w:rsidRPr="00106585">
              <w:rPr>
                <w:rFonts w:asciiTheme="minorHAnsi" w:hAnsiTheme="minorHAnsi" w:cs="Helvetica"/>
                <w:noProof/>
                <w:sz w:val="21"/>
                <w:szCs w:val="21"/>
              </w:rPr>
              <w:t xml:space="preserve"> 35</w:t>
            </w:r>
          </w:p>
        </w:tc>
        <w:tc>
          <w:tcPr>
            <w:tcW w:w="5387" w:type="dxa"/>
            <w:tcBorders>
              <w:top w:val="nil"/>
              <w:bottom w:val="nil"/>
            </w:tcBorders>
          </w:tcPr>
          <w:p w14:paraId="0B62268C" w14:textId="77777777" w:rsidR="004652AA" w:rsidRPr="00106585" w:rsidRDefault="004652AA"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Application for inspection of register</w:t>
            </w:r>
          </w:p>
        </w:tc>
        <w:tc>
          <w:tcPr>
            <w:tcW w:w="1809" w:type="dxa"/>
            <w:gridSpan w:val="2"/>
            <w:tcBorders>
              <w:top w:val="nil"/>
              <w:bottom w:val="nil"/>
              <w:right w:val="nil"/>
            </w:tcBorders>
          </w:tcPr>
          <w:p w14:paraId="4F6D7956" w14:textId="77777777" w:rsidR="004652AA" w:rsidRPr="00106585" w:rsidRDefault="004652AA" w:rsidP="00106585">
            <w:pPr>
              <w:widowControl w:val="0"/>
              <w:spacing w:before="40" w:after="40"/>
              <w:jc w:val="right"/>
              <w:rPr>
                <w:rFonts w:asciiTheme="minorHAnsi" w:hAnsiTheme="minorHAnsi" w:cs="Helvetica"/>
                <w:noProof/>
                <w:sz w:val="21"/>
                <w:szCs w:val="21"/>
              </w:rPr>
            </w:pPr>
            <w:r w:rsidRPr="00106585">
              <w:rPr>
                <w:rFonts w:asciiTheme="minorHAnsi" w:hAnsiTheme="minorHAnsi" w:cs="Helvetica"/>
                <w:noProof/>
                <w:sz w:val="21"/>
                <w:szCs w:val="21"/>
              </w:rPr>
              <w:t>19</w:t>
            </w:r>
          </w:p>
        </w:tc>
        <w:tc>
          <w:tcPr>
            <w:tcW w:w="1560" w:type="dxa"/>
            <w:tcBorders>
              <w:top w:val="nil"/>
              <w:bottom w:val="nil"/>
              <w:right w:val="nil"/>
            </w:tcBorders>
          </w:tcPr>
          <w:p w14:paraId="35D4C617" w14:textId="77777777" w:rsidR="004652AA" w:rsidRPr="00106585" w:rsidRDefault="00997838" w:rsidP="00FA377D">
            <w:pPr>
              <w:widowControl w:val="0"/>
              <w:spacing w:before="40" w:after="40"/>
              <w:jc w:val="right"/>
              <w:rPr>
                <w:rFonts w:asciiTheme="minorHAnsi" w:hAnsiTheme="minorHAnsi" w:cs="Helvetica"/>
                <w:noProof/>
                <w:sz w:val="21"/>
                <w:szCs w:val="21"/>
              </w:rPr>
            </w:pPr>
            <w:r>
              <w:rPr>
                <w:rFonts w:asciiTheme="minorHAnsi" w:hAnsiTheme="minorHAnsi" w:cs="Helvetica"/>
                <w:noProof/>
                <w:sz w:val="21"/>
                <w:szCs w:val="21"/>
              </w:rPr>
              <w:t>$</w:t>
            </w:r>
            <w:r w:rsidR="00DE7F90">
              <w:rPr>
                <w:rFonts w:asciiTheme="minorHAnsi" w:hAnsiTheme="minorHAnsi" w:cs="Helvetica"/>
                <w:noProof/>
                <w:sz w:val="21"/>
                <w:szCs w:val="21"/>
              </w:rPr>
              <w:t>2</w:t>
            </w:r>
            <w:r w:rsidR="00FA377D">
              <w:rPr>
                <w:rFonts w:asciiTheme="minorHAnsi" w:hAnsiTheme="minorHAnsi" w:cs="Helvetica"/>
                <w:noProof/>
                <w:sz w:val="21"/>
                <w:szCs w:val="21"/>
              </w:rPr>
              <w:t>5</w:t>
            </w:r>
          </w:p>
        </w:tc>
      </w:tr>
      <w:tr w:rsidR="004652AA" w:rsidRPr="003D42D5" w14:paraId="4C1D4F6D" w14:textId="77777777" w:rsidTr="00737DCE">
        <w:tc>
          <w:tcPr>
            <w:tcW w:w="1276" w:type="dxa"/>
            <w:tcBorders>
              <w:top w:val="nil"/>
              <w:left w:val="nil"/>
              <w:bottom w:val="nil"/>
            </w:tcBorders>
          </w:tcPr>
          <w:p w14:paraId="6B69512B" w14:textId="77777777" w:rsidR="004652AA" w:rsidRPr="00106585" w:rsidRDefault="00106585"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Reg</w:t>
            </w:r>
            <w:r w:rsidR="004652AA" w:rsidRPr="00106585">
              <w:rPr>
                <w:rFonts w:asciiTheme="minorHAnsi" w:hAnsiTheme="minorHAnsi" w:cs="Helvetica"/>
                <w:noProof/>
                <w:sz w:val="21"/>
                <w:szCs w:val="21"/>
              </w:rPr>
              <w:t xml:space="preserve"> 36</w:t>
            </w:r>
          </w:p>
        </w:tc>
        <w:tc>
          <w:tcPr>
            <w:tcW w:w="5387" w:type="dxa"/>
            <w:tcBorders>
              <w:top w:val="nil"/>
              <w:bottom w:val="nil"/>
            </w:tcBorders>
          </w:tcPr>
          <w:p w14:paraId="425BC426" w14:textId="77777777" w:rsidR="004652AA" w:rsidRPr="00106585" w:rsidRDefault="004652AA"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Application for certified copy or certificate</w:t>
            </w:r>
          </w:p>
        </w:tc>
        <w:tc>
          <w:tcPr>
            <w:tcW w:w="1809" w:type="dxa"/>
            <w:gridSpan w:val="2"/>
            <w:tcBorders>
              <w:top w:val="nil"/>
              <w:bottom w:val="nil"/>
              <w:right w:val="nil"/>
            </w:tcBorders>
          </w:tcPr>
          <w:p w14:paraId="5580C470" w14:textId="77777777" w:rsidR="004652AA" w:rsidRPr="00106585" w:rsidRDefault="004652AA" w:rsidP="00106585">
            <w:pPr>
              <w:widowControl w:val="0"/>
              <w:spacing w:before="40" w:after="40"/>
              <w:jc w:val="right"/>
              <w:rPr>
                <w:rFonts w:asciiTheme="minorHAnsi" w:hAnsiTheme="minorHAnsi" w:cs="Helvetica"/>
                <w:noProof/>
                <w:sz w:val="21"/>
                <w:szCs w:val="21"/>
              </w:rPr>
            </w:pPr>
            <w:r w:rsidRPr="00106585">
              <w:rPr>
                <w:rFonts w:asciiTheme="minorHAnsi" w:hAnsiTheme="minorHAnsi" w:cs="Helvetica"/>
                <w:noProof/>
                <w:sz w:val="21"/>
                <w:szCs w:val="21"/>
              </w:rPr>
              <w:t>33</w:t>
            </w:r>
          </w:p>
        </w:tc>
        <w:tc>
          <w:tcPr>
            <w:tcW w:w="1560" w:type="dxa"/>
            <w:tcBorders>
              <w:top w:val="nil"/>
              <w:bottom w:val="nil"/>
              <w:right w:val="nil"/>
            </w:tcBorders>
          </w:tcPr>
          <w:p w14:paraId="47FCE656" w14:textId="77777777" w:rsidR="004652AA" w:rsidRPr="00106585" w:rsidRDefault="00997838" w:rsidP="005B0B66">
            <w:pPr>
              <w:widowControl w:val="0"/>
              <w:spacing w:before="40" w:after="40"/>
              <w:jc w:val="right"/>
              <w:rPr>
                <w:rFonts w:asciiTheme="minorHAnsi" w:hAnsiTheme="minorHAnsi" w:cs="Helvetica"/>
                <w:noProof/>
                <w:sz w:val="21"/>
                <w:szCs w:val="21"/>
              </w:rPr>
            </w:pPr>
            <w:r>
              <w:rPr>
                <w:rFonts w:asciiTheme="minorHAnsi" w:hAnsiTheme="minorHAnsi" w:cs="Helvetica"/>
                <w:noProof/>
                <w:sz w:val="21"/>
                <w:szCs w:val="21"/>
              </w:rPr>
              <w:t>$4</w:t>
            </w:r>
            <w:r w:rsidR="005B0B66">
              <w:rPr>
                <w:rFonts w:asciiTheme="minorHAnsi" w:hAnsiTheme="minorHAnsi" w:cs="Helvetica"/>
                <w:noProof/>
                <w:sz w:val="21"/>
                <w:szCs w:val="21"/>
              </w:rPr>
              <w:t>4</w:t>
            </w:r>
          </w:p>
        </w:tc>
      </w:tr>
      <w:tr w:rsidR="004652AA" w:rsidRPr="003D42D5" w14:paraId="1C0F0C06" w14:textId="77777777" w:rsidTr="00737DCE">
        <w:tc>
          <w:tcPr>
            <w:tcW w:w="1276" w:type="dxa"/>
            <w:tcBorders>
              <w:top w:val="nil"/>
              <w:left w:val="nil"/>
              <w:bottom w:val="nil"/>
            </w:tcBorders>
          </w:tcPr>
          <w:p w14:paraId="1B7CEECD" w14:textId="77777777" w:rsidR="004652AA" w:rsidRPr="00106585" w:rsidRDefault="00106585"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Reg</w:t>
            </w:r>
            <w:r w:rsidR="004652AA" w:rsidRPr="00106585">
              <w:rPr>
                <w:rFonts w:asciiTheme="minorHAnsi" w:hAnsiTheme="minorHAnsi" w:cs="Helvetica"/>
                <w:noProof/>
                <w:sz w:val="21"/>
                <w:szCs w:val="21"/>
              </w:rPr>
              <w:t xml:space="preserve"> 39</w:t>
            </w:r>
          </w:p>
        </w:tc>
        <w:tc>
          <w:tcPr>
            <w:tcW w:w="5387" w:type="dxa"/>
            <w:tcBorders>
              <w:top w:val="nil"/>
              <w:bottom w:val="nil"/>
            </w:tcBorders>
          </w:tcPr>
          <w:p w14:paraId="22E1FF06" w14:textId="77777777" w:rsidR="004652AA" w:rsidRPr="00106585" w:rsidRDefault="004652AA"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Application for approval and registration of variation of access agreement (other than a variation by order of the Tribunal)</w:t>
            </w:r>
          </w:p>
        </w:tc>
        <w:tc>
          <w:tcPr>
            <w:tcW w:w="1809" w:type="dxa"/>
            <w:gridSpan w:val="2"/>
            <w:tcBorders>
              <w:top w:val="nil"/>
              <w:bottom w:val="nil"/>
              <w:right w:val="nil"/>
            </w:tcBorders>
          </w:tcPr>
          <w:p w14:paraId="530146C5" w14:textId="77777777" w:rsidR="004652AA" w:rsidRPr="00106585" w:rsidRDefault="004652AA" w:rsidP="00106585">
            <w:pPr>
              <w:widowControl w:val="0"/>
              <w:spacing w:before="40" w:after="40"/>
              <w:jc w:val="right"/>
              <w:rPr>
                <w:rFonts w:asciiTheme="minorHAnsi" w:hAnsiTheme="minorHAnsi" w:cs="Helvetica"/>
                <w:noProof/>
                <w:sz w:val="21"/>
                <w:szCs w:val="21"/>
              </w:rPr>
            </w:pPr>
            <w:r w:rsidRPr="00106585">
              <w:rPr>
                <w:rFonts w:asciiTheme="minorHAnsi" w:hAnsiTheme="minorHAnsi" w:cs="Helvetica"/>
                <w:noProof/>
                <w:sz w:val="21"/>
                <w:szCs w:val="21"/>
              </w:rPr>
              <w:t>1 142</w:t>
            </w:r>
          </w:p>
        </w:tc>
        <w:tc>
          <w:tcPr>
            <w:tcW w:w="1560" w:type="dxa"/>
            <w:tcBorders>
              <w:top w:val="nil"/>
              <w:bottom w:val="nil"/>
              <w:right w:val="nil"/>
            </w:tcBorders>
          </w:tcPr>
          <w:p w14:paraId="7304D93E" w14:textId="77777777" w:rsidR="004652AA" w:rsidRPr="00106585" w:rsidRDefault="00997838" w:rsidP="005B0B66">
            <w:pPr>
              <w:widowControl w:val="0"/>
              <w:spacing w:before="40" w:after="40"/>
              <w:jc w:val="right"/>
              <w:rPr>
                <w:rFonts w:asciiTheme="minorHAnsi" w:hAnsiTheme="minorHAnsi" w:cs="Helvetica"/>
                <w:noProof/>
                <w:sz w:val="21"/>
                <w:szCs w:val="21"/>
              </w:rPr>
            </w:pPr>
            <w:r>
              <w:rPr>
                <w:rFonts w:asciiTheme="minorHAnsi" w:hAnsiTheme="minorHAnsi" w:cs="Helvetica"/>
                <w:noProof/>
                <w:sz w:val="21"/>
                <w:szCs w:val="21"/>
              </w:rPr>
              <w:t>$1</w:t>
            </w:r>
            <w:r w:rsidR="005B0B66">
              <w:rPr>
                <w:rFonts w:asciiTheme="minorHAnsi" w:hAnsiTheme="minorHAnsi" w:cs="Helvetica"/>
                <w:noProof/>
                <w:sz w:val="21"/>
                <w:szCs w:val="21"/>
              </w:rPr>
              <w:t>541</w:t>
            </w:r>
          </w:p>
        </w:tc>
      </w:tr>
      <w:tr w:rsidR="004652AA" w:rsidRPr="003D42D5" w14:paraId="5C062FCE" w14:textId="77777777" w:rsidTr="00737DCE">
        <w:tc>
          <w:tcPr>
            <w:tcW w:w="1276" w:type="dxa"/>
            <w:tcBorders>
              <w:top w:val="nil"/>
              <w:left w:val="nil"/>
              <w:bottom w:val="nil"/>
            </w:tcBorders>
          </w:tcPr>
          <w:p w14:paraId="084CF642" w14:textId="77777777" w:rsidR="004652AA" w:rsidRPr="00106585" w:rsidRDefault="00106585"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Reg</w:t>
            </w:r>
            <w:r w:rsidR="004652AA" w:rsidRPr="00106585">
              <w:rPr>
                <w:rFonts w:asciiTheme="minorHAnsi" w:hAnsiTheme="minorHAnsi" w:cs="Helvetica"/>
                <w:noProof/>
                <w:sz w:val="21"/>
                <w:szCs w:val="21"/>
              </w:rPr>
              <w:t xml:space="preserve"> 39</w:t>
            </w:r>
          </w:p>
        </w:tc>
        <w:tc>
          <w:tcPr>
            <w:tcW w:w="5387" w:type="dxa"/>
            <w:tcBorders>
              <w:top w:val="nil"/>
              <w:bottom w:val="nil"/>
            </w:tcBorders>
          </w:tcPr>
          <w:p w14:paraId="0B8FFEAC" w14:textId="77777777" w:rsidR="004652AA" w:rsidRPr="00106585" w:rsidRDefault="004652AA"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Application for registration of variation of access agreement by order of the Tribunal</w:t>
            </w:r>
          </w:p>
        </w:tc>
        <w:tc>
          <w:tcPr>
            <w:tcW w:w="1809" w:type="dxa"/>
            <w:gridSpan w:val="2"/>
            <w:tcBorders>
              <w:top w:val="nil"/>
              <w:bottom w:val="nil"/>
              <w:right w:val="nil"/>
            </w:tcBorders>
          </w:tcPr>
          <w:p w14:paraId="2E29C4E8" w14:textId="77777777" w:rsidR="004652AA" w:rsidRPr="00106585" w:rsidRDefault="004652AA" w:rsidP="00106585">
            <w:pPr>
              <w:widowControl w:val="0"/>
              <w:spacing w:before="40" w:after="40"/>
              <w:jc w:val="right"/>
              <w:rPr>
                <w:rFonts w:asciiTheme="minorHAnsi" w:hAnsiTheme="minorHAnsi" w:cs="Helvetica"/>
                <w:noProof/>
                <w:sz w:val="21"/>
                <w:szCs w:val="21"/>
              </w:rPr>
            </w:pPr>
            <w:r w:rsidRPr="00106585">
              <w:rPr>
                <w:rFonts w:asciiTheme="minorHAnsi" w:hAnsiTheme="minorHAnsi" w:cs="Helvetica"/>
                <w:noProof/>
                <w:sz w:val="21"/>
                <w:szCs w:val="21"/>
              </w:rPr>
              <w:t>666</w:t>
            </w:r>
          </w:p>
        </w:tc>
        <w:tc>
          <w:tcPr>
            <w:tcW w:w="1560" w:type="dxa"/>
            <w:tcBorders>
              <w:top w:val="nil"/>
              <w:bottom w:val="nil"/>
              <w:right w:val="nil"/>
            </w:tcBorders>
          </w:tcPr>
          <w:p w14:paraId="1373C982" w14:textId="77777777" w:rsidR="004652AA" w:rsidRPr="00106585" w:rsidRDefault="00997838" w:rsidP="00FA377D">
            <w:pPr>
              <w:widowControl w:val="0"/>
              <w:spacing w:before="40" w:after="40"/>
              <w:jc w:val="right"/>
              <w:rPr>
                <w:rFonts w:asciiTheme="minorHAnsi" w:hAnsiTheme="minorHAnsi" w:cs="Helvetica"/>
                <w:noProof/>
                <w:sz w:val="21"/>
                <w:szCs w:val="21"/>
              </w:rPr>
            </w:pPr>
            <w:r>
              <w:rPr>
                <w:rFonts w:asciiTheme="minorHAnsi" w:hAnsiTheme="minorHAnsi" w:cs="Helvetica"/>
                <w:noProof/>
                <w:sz w:val="21"/>
                <w:szCs w:val="21"/>
              </w:rPr>
              <w:t>$</w:t>
            </w:r>
            <w:r w:rsidR="00FA377D">
              <w:rPr>
                <w:rFonts w:asciiTheme="minorHAnsi" w:hAnsiTheme="minorHAnsi" w:cs="Helvetica"/>
                <w:noProof/>
                <w:sz w:val="21"/>
                <w:szCs w:val="21"/>
              </w:rPr>
              <w:t>899</w:t>
            </w:r>
          </w:p>
        </w:tc>
      </w:tr>
      <w:tr w:rsidR="004652AA" w:rsidRPr="003D42D5" w14:paraId="2EEAD567" w14:textId="77777777" w:rsidTr="00737DCE">
        <w:tc>
          <w:tcPr>
            <w:tcW w:w="1276" w:type="dxa"/>
            <w:tcBorders>
              <w:top w:val="nil"/>
              <w:left w:val="nil"/>
              <w:bottom w:val="single" w:sz="4" w:space="0" w:color="auto"/>
            </w:tcBorders>
          </w:tcPr>
          <w:p w14:paraId="7464D8C9" w14:textId="77777777" w:rsidR="004652AA" w:rsidRPr="00106585" w:rsidRDefault="00106585"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Reg</w:t>
            </w:r>
            <w:r w:rsidR="004652AA" w:rsidRPr="00106585">
              <w:rPr>
                <w:rFonts w:asciiTheme="minorHAnsi" w:hAnsiTheme="minorHAnsi" w:cs="Helvetica"/>
                <w:noProof/>
                <w:sz w:val="21"/>
                <w:szCs w:val="21"/>
              </w:rPr>
              <w:t xml:space="preserve"> 69(4)</w:t>
            </w:r>
          </w:p>
        </w:tc>
        <w:tc>
          <w:tcPr>
            <w:tcW w:w="5387" w:type="dxa"/>
            <w:tcBorders>
              <w:top w:val="nil"/>
              <w:bottom w:val="single" w:sz="4" w:space="0" w:color="auto"/>
            </w:tcBorders>
          </w:tcPr>
          <w:p w14:paraId="5BDD86E3" w14:textId="77777777" w:rsidR="004652AA" w:rsidRPr="00106585" w:rsidRDefault="004652AA" w:rsidP="00106585">
            <w:pPr>
              <w:widowControl w:val="0"/>
              <w:spacing w:before="40" w:after="40"/>
              <w:rPr>
                <w:rFonts w:asciiTheme="minorHAnsi" w:hAnsiTheme="minorHAnsi" w:cs="Helvetica"/>
                <w:noProof/>
                <w:sz w:val="21"/>
                <w:szCs w:val="21"/>
              </w:rPr>
            </w:pPr>
            <w:r w:rsidRPr="00106585">
              <w:rPr>
                <w:rFonts w:asciiTheme="minorHAnsi" w:hAnsiTheme="minorHAnsi" w:cs="Helvetica"/>
                <w:noProof/>
                <w:sz w:val="21"/>
                <w:szCs w:val="21"/>
              </w:rPr>
              <w:t>Application for registration of agreement under transitional provisions</w:t>
            </w:r>
          </w:p>
        </w:tc>
        <w:tc>
          <w:tcPr>
            <w:tcW w:w="1809" w:type="dxa"/>
            <w:gridSpan w:val="2"/>
            <w:tcBorders>
              <w:top w:val="nil"/>
              <w:bottom w:val="single" w:sz="4" w:space="0" w:color="auto"/>
              <w:right w:val="nil"/>
            </w:tcBorders>
          </w:tcPr>
          <w:p w14:paraId="5C8C93A5" w14:textId="77777777" w:rsidR="004652AA" w:rsidRPr="00106585" w:rsidRDefault="004652AA" w:rsidP="00106585">
            <w:pPr>
              <w:widowControl w:val="0"/>
              <w:spacing w:before="40" w:after="40"/>
              <w:jc w:val="right"/>
              <w:rPr>
                <w:rFonts w:asciiTheme="minorHAnsi" w:hAnsiTheme="minorHAnsi" w:cs="Helvetica"/>
                <w:noProof/>
                <w:sz w:val="21"/>
                <w:szCs w:val="21"/>
              </w:rPr>
            </w:pPr>
            <w:r w:rsidRPr="00106585">
              <w:rPr>
                <w:rFonts w:asciiTheme="minorHAnsi" w:hAnsiTheme="minorHAnsi" w:cs="Helvetica"/>
                <w:noProof/>
                <w:sz w:val="21"/>
                <w:szCs w:val="21"/>
              </w:rPr>
              <w:t>1 142</w:t>
            </w:r>
          </w:p>
        </w:tc>
        <w:tc>
          <w:tcPr>
            <w:tcW w:w="1560" w:type="dxa"/>
            <w:tcBorders>
              <w:top w:val="nil"/>
              <w:bottom w:val="single" w:sz="4" w:space="0" w:color="auto"/>
              <w:right w:val="nil"/>
            </w:tcBorders>
          </w:tcPr>
          <w:p w14:paraId="18091156" w14:textId="77777777" w:rsidR="004652AA" w:rsidRPr="00106585" w:rsidRDefault="00997838" w:rsidP="001A3BB2">
            <w:pPr>
              <w:widowControl w:val="0"/>
              <w:spacing w:before="40" w:after="40"/>
              <w:jc w:val="right"/>
              <w:rPr>
                <w:rFonts w:asciiTheme="minorHAnsi" w:hAnsiTheme="minorHAnsi" w:cs="Helvetica"/>
                <w:noProof/>
                <w:sz w:val="21"/>
                <w:szCs w:val="21"/>
              </w:rPr>
            </w:pPr>
            <w:r>
              <w:rPr>
                <w:rFonts w:asciiTheme="minorHAnsi" w:hAnsiTheme="minorHAnsi" w:cs="Helvetica"/>
                <w:noProof/>
                <w:sz w:val="21"/>
                <w:szCs w:val="21"/>
              </w:rPr>
              <w:t>$1</w:t>
            </w:r>
            <w:r w:rsidR="001A3BB2">
              <w:rPr>
                <w:rFonts w:asciiTheme="minorHAnsi" w:hAnsiTheme="minorHAnsi" w:cs="Helvetica"/>
                <w:noProof/>
                <w:sz w:val="21"/>
                <w:szCs w:val="21"/>
              </w:rPr>
              <w:t>541</w:t>
            </w:r>
          </w:p>
        </w:tc>
      </w:tr>
    </w:tbl>
    <w:p w14:paraId="02099D00" w14:textId="5DF039F1" w:rsidR="00E2499F" w:rsidRDefault="00E2499F" w:rsidP="00E01492"/>
    <w:p w14:paraId="63EBCD5B" w14:textId="77777777" w:rsidR="00976837" w:rsidRPr="00E01492" w:rsidRDefault="00976837" w:rsidP="00E01492"/>
    <w:p w14:paraId="45D8AE8A" w14:textId="77777777" w:rsidR="00215904" w:rsidRDefault="007A7F1A" w:rsidP="00215904">
      <w:pPr>
        <w:pStyle w:val="NewPartHeading"/>
        <w:rPr>
          <w:sz w:val="24"/>
          <w:szCs w:val="24"/>
        </w:rPr>
      </w:pPr>
      <w:bookmarkStart w:id="11" w:name="_Toc120784055"/>
      <w:r>
        <w:rPr>
          <w:sz w:val="24"/>
          <w:szCs w:val="24"/>
        </w:rPr>
        <w:t xml:space="preserve">Table 2: </w:t>
      </w:r>
      <w:r w:rsidR="00215904" w:rsidRPr="00215904">
        <w:rPr>
          <w:sz w:val="24"/>
          <w:szCs w:val="24"/>
        </w:rPr>
        <w:t>Schedule 1A</w:t>
      </w:r>
      <w:r w:rsidR="00215904" w:rsidRPr="00215904">
        <w:rPr>
          <w:sz w:val="24"/>
          <w:szCs w:val="24"/>
        </w:rPr>
        <w:tab/>
        <w:t>Fees for resource management, activity and infrastructure plans</w:t>
      </w:r>
      <w:bookmarkEnd w:id="11"/>
    </w:p>
    <w:p w14:paraId="24ACBE0D" w14:textId="77777777" w:rsidR="004E612D" w:rsidRPr="004E612D" w:rsidRDefault="004E612D" w:rsidP="004E612D">
      <w:pPr>
        <w:rPr>
          <w:lang w:eastAsia="en-AU"/>
        </w:rPr>
      </w:pPr>
      <w:r w:rsidRPr="00864CC0">
        <w:t xml:space="preserve">New fees have been categorised to differentiate between simple </w:t>
      </w:r>
      <w:r>
        <w:t>and highly complex proposals.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gridCol w:w="1134"/>
        <w:gridCol w:w="1247"/>
      </w:tblGrid>
      <w:tr w:rsidR="00215904" w:rsidRPr="003D42D5" w14:paraId="405139B6" w14:textId="77777777" w:rsidTr="006B10BD">
        <w:tc>
          <w:tcPr>
            <w:tcW w:w="7650" w:type="dxa"/>
            <w:tcBorders>
              <w:bottom w:val="single" w:sz="4" w:space="0" w:color="000000"/>
            </w:tcBorders>
            <w:shd w:val="clear" w:color="auto" w:fill="auto"/>
          </w:tcPr>
          <w:p w14:paraId="1203C201" w14:textId="77777777" w:rsidR="00215904" w:rsidRPr="00215904" w:rsidRDefault="00215904" w:rsidP="000B014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center"/>
              <w:rPr>
                <w:rFonts w:asciiTheme="minorHAnsi" w:hAnsiTheme="minorHAnsi" w:cs="Helvetica"/>
                <w:noProof/>
                <w:sz w:val="21"/>
                <w:szCs w:val="21"/>
              </w:rPr>
            </w:pPr>
            <w:r w:rsidRPr="00215904">
              <w:rPr>
                <w:rFonts w:asciiTheme="minorHAnsi" w:hAnsiTheme="minorHAnsi" w:cs="Helvetica"/>
                <w:b/>
                <w:noProof/>
                <w:sz w:val="21"/>
                <w:szCs w:val="21"/>
              </w:rPr>
              <w:t>Description</w:t>
            </w:r>
          </w:p>
        </w:tc>
        <w:tc>
          <w:tcPr>
            <w:tcW w:w="1134" w:type="dxa"/>
            <w:tcBorders>
              <w:bottom w:val="single" w:sz="4" w:space="0" w:color="000000"/>
            </w:tcBorders>
            <w:shd w:val="clear" w:color="auto" w:fill="auto"/>
          </w:tcPr>
          <w:p w14:paraId="35366C91" w14:textId="77777777" w:rsidR="00215904" w:rsidRPr="00215904" w:rsidRDefault="00215904" w:rsidP="000B014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center"/>
              <w:rPr>
                <w:rFonts w:asciiTheme="minorHAnsi" w:hAnsiTheme="minorHAnsi" w:cs="Helvetica"/>
                <w:noProof/>
                <w:sz w:val="21"/>
                <w:szCs w:val="21"/>
              </w:rPr>
            </w:pPr>
            <w:r w:rsidRPr="00215904">
              <w:rPr>
                <w:rFonts w:asciiTheme="minorHAnsi" w:hAnsiTheme="minorHAnsi" w:cs="Helvetica"/>
                <w:b/>
                <w:noProof/>
                <w:sz w:val="21"/>
                <w:szCs w:val="21"/>
              </w:rPr>
              <w:t>Revenue units</w:t>
            </w:r>
          </w:p>
        </w:tc>
        <w:tc>
          <w:tcPr>
            <w:tcW w:w="1247" w:type="dxa"/>
            <w:tcBorders>
              <w:bottom w:val="single" w:sz="4" w:space="0" w:color="000000"/>
            </w:tcBorders>
          </w:tcPr>
          <w:p w14:paraId="03EFC61B" w14:textId="77777777" w:rsidR="00215904" w:rsidRDefault="00997838" w:rsidP="000B014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center"/>
              <w:rPr>
                <w:rFonts w:asciiTheme="minorHAnsi" w:hAnsiTheme="minorHAnsi" w:cs="Helvetica"/>
                <w:b/>
                <w:noProof/>
                <w:sz w:val="21"/>
                <w:szCs w:val="21"/>
              </w:rPr>
            </w:pPr>
            <w:r>
              <w:rPr>
                <w:rFonts w:asciiTheme="minorHAnsi" w:hAnsiTheme="minorHAnsi" w:cs="Helvetica"/>
                <w:b/>
                <w:noProof/>
                <w:sz w:val="21"/>
                <w:szCs w:val="21"/>
              </w:rPr>
              <w:t>Fee $</w:t>
            </w:r>
          </w:p>
          <w:p w14:paraId="208F9B9A" w14:textId="77777777" w:rsidR="00997838" w:rsidRPr="00215904" w:rsidRDefault="00997838" w:rsidP="003E2B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center"/>
              <w:rPr>
                <w:rFonts w:asciiTheme="minorHAnsi" w:hAnsiTheme="minorHAnsi" w:cs="Helvetica"/>
                <w:b/>
                <w:noProof/>
                <w:sz w:val="21"/>
                <w:szCs w:val="21"/>
              </w:rPr>
            </w:pPr>
            <w:r>
              <w:rPr>
                <w:rFonts w:asciiTheme="minorHAnsi" w:hAnsiTheme="minorHAnsi" w:cs="Helvetica"/>
                <w:b/>
                <w:noProof/>
                <w:sz w:val="21"/>
                <w:szCs w:val="21"/>
              </w:rPr>
              <w:t>2</w:t>
            </w:r>
            <w:r w:rsidR="003E2B8D">
              <w:rPr>
                <w:rFonts w:asciiTheme="minorHAnsi" w:hAnsiTheme="minorHAnsi" w:cs="Helvetica"/>
                <w:b/>
                <w:noProof/>
                <w:sz w:val="21"/>
                <w:szCs w:val="21"/>
              </w:rPr>
              <w:t>3</w:t>
            </w:r>
            <w:r>
              <w:rPr>
                <w:rFonts w:asciiTheme="minorHAnsi" w:hAnsiTheme="minorHAnsi" w:cs="Helvetica"/>
                <w:b/>
                <w:noProof/>
                <w:sz w:val="21"/>
                <w:szCs w:val="21"/>
              </w:rPr>
              <w:t>/2</w:t>
            </w:r>
            <w:r w:rsidR="003E2B8D">
              <w:rPr>
                <w:rFonts w:asciiTheme="minorHAnsi" w:hAnsiTheme="minorHAnsi" w:cs="Helvetica"/>
                <w:b/>
                <w:noProof/>
                <w:sz w:val="21"/>
                <w:szCs w:val="21"/>
              </w:rPr>
              <w:t>4</w:t>
            </w:r>
          </w:p>
        </w:tc>
      </w:tr>
      <w:tr w:rsidR="00215904" w:rsidRPr="003D42D5" w14:paraId="17F94FBF" w14:textId="77777777" w:rsidTr="006B10BD">
        <w:tc>
          <w:tcPr>
            <w:tcW w:w="7650" w:type="dxa"/>
            <w:tcBorders>
              <w:bottom w:val="nil"/>
            </w:tcBorders>
            <w:shd w:val="clear" w:color="auto" w:fill="auto"/>
          </w:tcPr>
          <w:p w14:paraId="071FE1FF" w14:textId="77777777" w:rsidR="00215904" w:rsidRPr="00215904" w:rsidRDefault="00B835E5" w:rsidP="00B835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Theme="minorHAnsi" w:hAnsiTheme="minorHAnsi" w:cs="Helvetica"/>
                <w:noProof/>
                <w:sz w:val="21"/>
                <w:szCs w:val="21"/>
              </w:rPr>
            </w:pPr>
            <w:r>
              <w:rPr>
                <w:rFonts w:asciiTheme="minorHAnsi" w:hAnsiTheme="minorHAnsi" w:cs="Helvetica"/>
                <w:noProof/>
                <w:sz w:val="21"/>
                <w:szCs w:val="21"/>
              </w:rPr>
              <w:t>A</w:t>
            </w:r>
            <w:r w:rsidR="00215904" w:rsidRPr="00215904">
              <w:rPr>
                <w:rFonts w:asciiTheme="minorHAnsi" w:hAnsiTheme="minorHAnsi" w:cs="Helvetica"/>
                <w:noProof/>
                <w:sz w:val="21"/>
                <w:szCs w:val="21"/>
              </w:rPr>
              <w:t xml:space="preserve">pplication for a well operations management plan </w:t>
            </w:r>
            <w:r w:rsidR="006B10BD">
              <w:rPr>
                <w:rFonts w:asciiTheme="minorHAnsi" w:hAnsiTheme="minorHAnsi" w:cs="Helvetica"/>
                <w:noProof/>
                <w:sz w:val="21"/>
                <w:szCs w:val="21"/>
              </w:rPr>
              <w:t>(</w:t>
            </w:r>
            <w:r w:rsidR="006B10BD" w:rsidRPr="006B10BD">
              <w:rPr>
                <w:rFonts w:asciiTheme="minorHAnsi" w:hAnsiTheme="minorHAnsi" w:cs="Helvetica"/>
                <w:b/>
                <w:noProof/>
                <w:sz w:val="21"/>
                <w:szCs w:val="21"/>
              </w:rPr>
              <w:t>WOMP</w:t>
            </w:r>
            <w:r w:rsidR="006B10BD">
              <w:rPr>
                <w:rFonts w:asciiTheme="minorHAnsi" w:hAnsiTheme="minorHAnsi" w:cs="Helvetica"/>
                <w:noProof/>
                <w:sz w:val="21"/>
                <w:szCs w:val="21"/>
              </w:rPr>
              <w:t xml:space="preserve">) </w:t>
            </w:r>
            <w:r>
              <w:rPr>
                <w:rFonts w:asciiTheme="minorHAnsi" w:hAnsiTheme="minorHAnsi" w:cs="Helvetica"/>
                <w:noProof/>
                <w:sz w:val="21"/>
                <w:szCs w:val="21"/>
              </w:rPr>
              <w:t xml:space="preserve">- </w:t>
            </w:r>
            <w:r w:rsidR="006B10BD">
              <w:rPr>
                <w:rFonts w:asciiTheme="minorHAnsi" w:hAnsiTheme="minorHAnsi" w:cs="Helvetica"/>
                <w:noProof/>
                <w:sz w:val="21"/>
                <w:szCs w:val="21"/>
              </w:rPr>
              <w:t>s</w:t>
            </w:r>
            <w:r w:rsidR="00215904" w:rsidRPr="00215904">
              <w:rPr>
                <w:rFonts w:asciiTheme="minorHAnsi" w:hAnsiTheme="minorHAnsi" w:cs="Helvetica"/>
                <w:noProof/>
                <w:sz w:val="21"/>
                <w:szCs w:val="21"/>
              </w:rPr>
              <w:t>61(2)(b):</w:t>
            </w:r>
          </w:p>
        </w:tc>
        <w:tc>
          <w:tcPr>
            <w:tcW w:w="1134" w:type="dxa"/>
            <w:tcBorders>
              <w:bottom w:val="nil"/>
            </w:tcBorders>
            <w:shd w:val="clear" w:color="auto" w:fill="auto"/>
          </w:tcPr>
          <w:p w14:paraId="6D2DB62C" w14:textId="77777777" w:rsidR="00215904" w:rsidRPr="00215904" w:rsidRDefault="00215904" w:rsidP="002159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Theme="minorHAnsi" w:hAnsiTheme="minorHAnsi" w:cs="Helvetica"/>
                <w:noProof/>
                <w:sz w:val="21"/>
                <w:szCs w:val="21"/>
              </w:rPr>
            </w:pPr>
          </w:p>
        </w:tc>
        <w:tc>
          <w:tcPr>
            <w:tcW w:w="1247" w:type="dxa"/>
            <w:tcBorders>
              <w:bottom w:val="nil"/>
            </w:tcBorders>
          </w:tcPr>
          <w:p w14:paraId="0DB29B37" w14:textId="77777777" w:rsidR="00215904" w:rsidRPr="00215904" w:rsidRDefault="00215904" w:rsidP="002159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Theme="minorHAnsi" w:hAnsiTheme="minorHAnsi" w:cs="Helvetica"/>
                <w:noProof/>
                <w:sz w:val="21"/>
                <w:szCs w:val="21"/>
              </w:rPr>
            </w:pPr>
          </w:p>
        </w:tc>
      </w:tr>
      <w:tr w:rsidR="00215904" w:rsidRPr="003D42D5" w14:paraId="522C4FFC" w14:textId="77777777" w:rsidTr="006B10BD">
        <w:tc>
          <w:tcPr>
            <w:tcW w:w="7650" w:type="dxa"/>
            <w:tcBorders>
              <w:top w:val="nil"/>
              <w:bottom w:val="nil"/>
            </w:tcBorders>
            <w:shd w:val="clear" w:color="auto" w:fill="auto"/>
          </w:tcPr>
          <w:p w14:paraId="5274FFCB" w14:textId="77777777" w:rsidR="00215904" w:rsidRPr="00215904" w:rsidRDefault="00215904" w:rsidP="00215904">
            <w:pPr>
              <w:pStyle w:val="ListNumber"/>
              <w:spacing w:before="60" w:after="60"/>
              <w:rPr>
                <w:rFonts w:asciiTheme="minorHAnsi" w:hAnsiTheme="minorHAnsi" w:cs="Helvetica"/>
                <w:noProof/>
                <w:sz w:val="21"/>
                <w:szCs w:val="21"/>
              </w:rPr>
            </w:pPr>
            <w:r w:rsidRPr="00215904">
              <w:rPr>
                <w:rFonts w:asciiTheme="minorHAnsi" w:hAnsiTheme="minorHAnsi" w:cs="Helvetica"/>
                <w:b/>
                <w:bCs/>
                <w:i/>
                <w:iCs/>
                <w:noProof/>
                <w:sz w:val="21"/>
                <w:szCs w:val="21"/>
              </w:rPr>
              <w:t>high complexity</w:t>
            </w:r>
            <w:r w:rsidRPr="00215904">
              <w:rPr>
                <w:rFonts w:asciiTheme="minorHAnsi" w:hAnsiTheme="minorHAnsi" w:cs="Helvetica"/>
                <w:noProof/>
                <w:sz w:val="21"/>
                <w:szCs w:val="21"/>
              </w:rPr>
              <w:t xml:space="preserve">, </w:t>
            </w:r>
            <w:r w:rsidR="00B835E5">
              <w:rPr>
                <w:rFonts w:asciiTheme="minorHAnsi" w:hAnsiTheme="minorHAnsi" w:cs="Helvetica"/>
                <w:noProof/>
                <w:sz w:val="21"/>
                <w:szCs w:val="21"/>
              </w:rPr>
              <w:t>for</w:t>
            </w:r>
            <w:r w:rsidRPr="00215904">
              <w:rPr>
                <w:rFonts w:asciiTheme="minorHAnsi" w:hAnsiTheme="minorHAnsi" w:cs="Helvetica"/>
                <w:noProof/>
                <w:sz w:val="21"/>
                <w:szCs w:val="21"/>
              </w:rPr>
              <w:t xml:space="preserve"> the management of a well that includes any of the following:</w:t>
            </w:r>
          </w:p>
          <w:p w14:paraId="6D85EB6E" w14:textId="77777777" w:rsidR="00215904" w:rsidRPr="00215904" w:rsidRDefault="00215904" w:rsidP="00215904">
            <w:pPr>
              <w:pStyle w:val="ListNumber"/>
              <w:numPr>
                <w:ilvl w:val="1"/>
                <w:numId w:val="32"/>
              </w:numPr>
              <w:spacing w:before="60" w:after="60"/>
              <w:ind w:left="597" w:hanging="283"/>
              <w:rPr>
                <w:rFonts w:asciiTheme="minorHAnsi" w:hAnsiTheme="minorHAnsi" w:cs="Helvetica"/>
                <w:noProof/>
                <w:sz w:val="21"/>
                <w:szCs w:val="21"/>
              </w:rPr>
            </w:pPr>
            <w:r w:rsidRPr="00215904">
              <w:rPr>
                <w:rFonts w:asciiTheme="minorHAnsi" w:hAnsiTheme="minorHAnsi" w:cs="Helvetica"/>
                <w:noProof/>
                <w:sz w:val="21"/>
                <w:szCs w:val="21"/>
              </w:rPr>
              <w:t>high pressure – the maximu</w:t>
            </w:r>
            <w:r w:rsidR="00B835E5">
              <w:rPr>
                <w:rFonts w:asciiTheme="minorHAnsi" w:hAnsiTheme="minorHAnsi" w:cs="Helvetica"/>
                <w:noProof/>
                <w:sz w:val="21"/>
                <w:szCs w:val="21"/>
              </w:rPr>
              <w:t>m anticipated surface pressure ≥</w:t>
            </w:r>
            <w:r w:rsidRPr="00215904">
              <w:rPr>
                <w:rFonts w:asciiTheme="minorHAnsi" w:hAnsiTheme="minorHAnsi" w:cs="Helvetica"/>
                <w:noProof/>
                <w:sz w:val="21"/>
                <w:szCs w:val="21"/>
              </w:rPr>
              <w:t>10,000 psi (69 MPa) or needs the deployment of pressure control equipment with a rated working pressure in excess of 10,000 psi (69 MPa);</w:t>
            </w:r>
          </w:p>
          <w:p w14:paraId="45A5CF40" w14:textId="77777777" w:rsidR="00215904" w:rsidRPr="00215904" w:rsidRDefault="00215904" w:rsidP="00215904">
            <w:pPr>
              <w:pStyle w:val="ListNumber"/>
              <w:numPr>
                <w:ilvl w:val="1"/>
                <w:numId w:val="32"/>
              </w:numPr>
              <w:spacing w:before="60" w:after="60"/>
              <w:ind w:left="597" w:hanging="283"/>
              <w:rPr>
                <w:rFonts w:asciiTheme="minorHAnsi" w:hAnsiTheme="minorHAnsi" w:cs="Helvetica"/>
                <w:noProof/>
                <w:sz w:val="21"/>
                <w:szCs w:val="21"/>
              </w:rPr>
            </w:pPr>
            <w:r w:rsidRPr="00215904">
              <w:rPr>
                <w:rFonts w:asciiTheme="minorHAnsi" w:hAnsiTheme="minorHAnsi" w:cs="Helvetica"/>
                <w:noProof/>
                <w:sz w:val="21"/>
                <w:szCs w:val="21"/>
              </w:rPr>
              <w:t xml:space="preserve">high temperature – the undisturbed bottom hole temperature at prospective reservoir depth or total depth is </w:t>
            </w:r>
            <w:r w:rsidR="00B835E5">
              <w:rPr>
                <w:rFonts w:asciiTheme="minorHAnsi" w:hAnsiTheme="minorHAnsi" w:cs="Helvetica"/>
                <w:noProof/>
                <w:sz w:val="21"/>
                <w:szCs w:val="21"/>
              </w:rPr>
              <w:t>≥</w:t>
            </w:r>
            <w:r w:rsidRPr="00215904">
              <w:rPr>
                <w:rFonts w:asciiTheme="minorHAnsi" w:hAnsiTheme="minorHAnsi" w:cs="Helvetica"/>
                <w:noProof/>
                <w:sz w:val="21"/>
                <w:szCs w:val="21"/>
              </w:rPr>
              <w:t>149</w:t>
            </w:r>
            <w:r w:rsidR="00B835E5" w:rsidRPr="00B835E5">
              <w:rPr>
                <w:rFonts w:asciiTheme="minorHAnsi" w:hAnsiTheme="minorHAnsi" w:cs="Helvetica"/>
                <w:noProof/>
                <w:sz w:val="21"/>
                <w:szCs w:val="21"/>
                <w:vertAlign w:val="superscript"/>
              </w:rPr>
              <w:t>o</w:t>
            </w:r>
            <w:r w:rsidR="00B835E5">
              <w:rPr>
                <w:rFonts w:asciiTheme="minorHAnsi" w:hAnsiTheme="minorHAnsi" w:cs="Helvetica"/>
                <w:noProof/>
                <w:sz w:val="21"/>
                <w:szCs w:val="21"/>
              </w:rPr>
              <w:t>C</w:t>
            </w:r>
            <w:r w:rsidRPr="00215904">
              <w:rPr>
                <w:rFonts w:asciiTheme="minorHAnsi" w:hAnsiTheme="minorHAnsi" w:cs="Helvetica"/>
                <w:noProof/>
                <w:sz w:val="21"/>
                <w:szCs w:val="21"/>
              </w:rPr>
              <w:t xml:space="preserve"> or (300 </w:t>
            </w:r>
            <w:r w:rsidR="00B835E5" w:rsidRPr="00B835E5">
              <w:rPr>
                <w:rFonts w:asciiTheme="minorHAnsi" w:hAnsiTheme="minorHAnsi" w:cs="Helvetica"/>
                <w:noProof/>
                <w:sz w:val="21"/>
                <w:szCs w:val="21"/>
                <w:vertAlign w:val="superscript"/>
              </w:rPr>
              <w:t>o</w:t>
            </w:r>
            <w:r w:rsidR="00B835E5">
              <w:rPr>
                <w:rFonts w:asciiTheme="minorHAnsi" w:hAnsiTheme="minorHAnsi" w:cs="Helvetica"/>
                <w:noProof/>
                <w:sz w:val="21"/>
                <w:szCs w:val="21"/>
              </w:rPr>
              <w:t>F</w:t>
            </w:r>
            <w:r w:rsidRPr="00215904">
              <w:rPr>
                <w:rFonts w:asciiTheme="minorHAnsi" w:hAnsiTheme="minorHAnsi" w:cs="Helvetica"/>
                <w:noProof/>
                <w:sz w:val="21"/>
                <w:szCs w:val="21"/>
              </w:rPr>
              <w:t>);</w:t>
            </w:r>
          </w:p>
          <w:p w14:paraId="050CA07F" w14:textId="77777777" w:rsidR="00215904" w:rsidRPr="00215904" w:rsidRDefault="00215904" w:rsidP="00215904">
            <w:pPr>
              <w:pStyle w:val="ListNumber"/>
              <w:numPr>
                <w:ilvl w:val="1"/>
                <w:numId w:val="32"/>
              </w:numPr>
              <w:spacing w:before="60" w:after="60"/>
              <w:ind w:left="597" w:hanging="283"/>
              <w:rPr>
                <w:rFonts w:asciiTheme="minorHAnsi" w:hAnsiTheme="minorHAnsi" w:cs="Helvetica"/>
                <w:noProof/>
                <w:sz w:val="21"/>
                <w:szCs w:val="21"/>
              </w:rPr>
            </w:pPr>
            <w:r w:rsidRPr="00215904">
              <w:rPr>
                <w:rFonts w:asciiTheme="minorHAnsi" w:hAnsiTheme="minorHAnsi" w:cs="Helvetica"/>
                <w:noProof/>
                <w:sz w:val="21"/>
                <w:szCs w:val="21"/>
              </w:rPr>
              <w:t>hydraulic fracturing/well stimulation;</w:t>
            </w:r>
          </w:p>
          <w:p w14:paraId="5075DE3C" w14:textId="77777777" w:rsidR="00215904" w:rsidRPr="00215904" w:rsidRDefault="00215904" w:rsidP="00215904">
            <w:pPr>
              <w:pStyle w:val="ListNumber"/>
              <w:numPr>
                <w:ilvl w:val="1"/>
                <w:numId w:val="32"/>
              </w:numPr>
              <w:spacing w:before="60" w:after="60"/>
              <w:ind w:left="597" w:hanging="283"/>
              <w:rPr>
                <w:rFonts w:asciiTheme="minorHAnsi" w:hAnsiTheme="minorHAnsi" w:cs="Helvetica"/>
                <w:noProof/>
                <w:sz w:val="21"/>
                <w:szCs w:val="21"/>
              </w:rPr>
            </w:pPr>
            <w:r w:rsidRPr="00215904">
              <w:rPr>
                <w:rFonts w:asciiTheme="minorHAnsi" w:hAnsiTheme="minorHAnsi" w:cs="Helvetica"/>
                <w:noProof/>
                <w:sz w:val="21"/>
                <w:szCs w:val="21"/>
              </w:rPr>
              <w:t>the management of risks arising from the presence of hydrogen sulphide from the reservoir, including by the deployment of additional equipment, plans and emergency procedures;</w:t>
            </w:r>
          </w:p>
          <w:p w14:paraId="54DB832E" w14:textId="77777777" w:rsidR="00215904" w:rsidRPr="00215904" w:rsidRDefault="00215904" w:rsidP="00215904">
            <w:pPr>
              <w:pStyle w:val="ListNumber"/>
              <w:numPr>
                <w:ilvl w:val="1"/>
                <w:numId w:val="32"/>
              </w:numPr>
              <w:spacing w:before="60" w:after="60"/>
              <w:ind w:left="597" w:hanging="283"/>
              <w:rPr>
                <w:rFonts w:asciiTheme="minorHAnsi" w:hAnsiTheme="minorHAnsi" w:cs="Helvetica"/>
                <w:noProof/>
                <w:sz w:val="21"/>
                <w:szCs w:val="21"/>
              </w:rPr>
            </w:pPr>
            <w:r w:rsidRPr="00215904">
              <w:rPr>
                <w:rFonts w:asciiTheme="minorHAnsi" w:hAnsiTheme="minorHAnsi" w:cs="Helvetica"/>
                <w:noProof/>
                <w:sz w:val="21"/>
                <w:szCs w:val="21"/>
              </w:rPr>
              <w:t>managed pressure drilling;</w:t>
            </w:r>
          </w:p>
          <w:p w14:paraId="04445E52" w14:textId="77777777" w:rsidR="00215904" w:rsidRPr="00215904" w:rsidRDefault="00215904" w:rsidP="00215904">
            <w:pPr>
              <w:pStyle w:val="ListNumber"/>
              <w:numPr>
                <w:ilvl w:val="1"/>
                <w:numId w:val="32"/>
              </w:numPr>
              <w:spacing w:before="60" w:after="60"/>
              <w:ind w:left="597" w:hanging="283"/>
              <w:rPr>
                <w:rFonts w:asciiTheme="minorHAnsi" w:hAnsiTheme="minorHAnsi" w:cs="Helvetica"/>
                <w:noProof/>
                <w:sz w:val="21"/>
                <w:szCs w:val="21"/>
              </w:rPr>
            </w:pPr>
            <w:r w:rsidRPr="00215904">
              <w:rPr>
                <w:rFonts w:asciiTheme="minorHAnsi" w:hAnsiTheme="minorHAnsi" w:cs="Helvetica"/>
                <w:noProof/>
                <w:sz w:val="21"/>
                <w:szCs w:val="21"/>
              </w:rPr>
              <w:t>a well outside known fields, or the first well drilled in an petroleum field where no other petroleum production exists;</w:t>
            </w:r>
          </w:p>
          <w:p w14:paraId="4DE324C3" w14:textId="77777777" w:rsidR="00215904" w:rsidRPr="00215904" w:rsidRDefault="00215904" w:rsidP="00215904">
            <w:pPr>
              <w:pStyle w:val="ListNumber"/>
              <w:numPr>
                <w:ilvl w:val="1"/>
                <w:numId w:val="32"/>
              </w:numPr>
              <w:spacing w:before="60" w:after="60"/>
              <w:ind w:left="597" w:hanging="283"/>
              <w:rPr>
                <w:rFonts w:asciiTheme="minorHAnsi" w:hAnsiTheme="minorHAnsi" w:cs="Helvetica"/>
                <w:noProof/>
                <w:sz w:val="21"/>
                <w:szCs w:val="21"/>
              </w:rPr>
            </w:pPr>
            <w:r w:rsidRPr="00215904">
              <w:rPr>
                <w:rFonts w:asciiTheme="minorHAnsi" w:hAnsiTheme="minorHAnsi" w:cs="Helvetica"/>
                <w:noProof/>
                <w:sz w:val="21"/>
                <w:szCs w:val="21"/>
              </w:rPr>
              <w:t>novel drill operations and equipment needing the deployment of specific non-standard or new equipment or techniques not currently in use or approved for use;</w:t>
            </w:r>
          </w:p>
        </w:tc>
        <w:tc>
          <w:tcPr>
            <w:tcW w:w="1134" w:type="dxa"/>
            <w:tcBorders>
              <w:top w:val="nil"/>
              <w:bottom w:val="nil"/>
            </w:tcBorders>
            <w:shd w:val="clear" w:color="auto" w:fill="auto"/>
          </w:tcPr>
          <w:p w14:paraId="1E0636CA" w14:textId="77777777" w:rsidR="00215904" w:rsidRPr="00215904" w:rsidRDefault="00215904" w:rsidP="002159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right"/>
              <w:rPr>
                <w:rFonts w:asciiTheme="minorHAnsi" w:hAnsiTheme="minorHAnsi" w:cs="Helvetica"/>
                <w:noProof/>
                <w:sz w:val="21"/>
                <w:szCs w:val="21"/>
              </w:rPr>
            </w:pPr>
            <w:r w:rsidRPr="00215904">
              <w:rPr>
                <w:rFonts w:asciiTheme="minorHAnsi" w:hAnsiTheme="minorHAnsi" w:cs="Helvetica"/>
                <w:noProof/>
                <w:color w:val="000000"/>
                <w:sz w:val="21"/>
                <w:szCs w:val="21"/>
              </w:rPr>
              <w:t>11 614</w:t>
            </w:r>
          </w:p>
        </w:tc>
        <w:tc>
          <w:tcPr>
            <w:tcW w:w="1247" w:type="dxa"/>
            <w:tcBorders>
              <w:top w:val="nil"/>
              <w:bottom w:val="nil"/>
            </w:tcBorders>
          </w:tcPr>
          <w:p w14:paraId="6F70B713" w14:textId="77777777" w:rsidR="00215904" w:rsidRPr="00215904" w:rsidRDefault="00997838" w:rsidP="003E2B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right"/>
              <w:rPr>
                <w:rFonts w:asciiTheme="minorHAnsi" w:hAnsiTheme="minorHAnsi" w:cs="Helvetica"/>
                <w:noProof/>
                <w:color w:val="000000"/>
                <w:sz w:val="21"/>
                <w:szCs w:val="21"/>
              </w:rPr>
            </w:pPr>
            <w:r>
              <w:rPr>
                <w:rFonts w:asciiTheme="minorHAnsi" w:hAnsiTheme="minorHAnsi" w:cs="Helvetica"/>
                <w:noProof/>
                <w:color w:val="000000"/>
                <w:sz w:val="21"/>
                <w:szCs w:val="21"/>
              </w:rPr>
              <w:t>$1</w:t>
            </w:r>
            <w:r w:rsidR="003E2B8D">
              <w:rPr>
                <w:rFonts w:asciiTheme="minorHAnsi" w:hAnsiTheme="minorHAnsi" w:cs="Helvetica"/>
                <w:noProof/>
                <w:color w:val="000000"/>
                <w:sz w:val="21"/>
                <w:szCs w:val="21"/>
              </w:rPr>
              <w:t>5 678</w:t>
            </w:r>
          </w:p>
        </w:tc>
      </w:tr>
      <w:tr w:rsidR="00215904" w:rsidRPr="003D42D5" w14:paraId="38AD9072" w14:textId="77777777" w:rsidTr="006B10BD">
        <w:tc>
          <w:tcPr>
            <w:tcW w:w="7650" w:type="dxa"/>
            <w:tcBorders>
              <w:top w:val="nil"/>
              <w:bottom w:val="nil"/>
            </w:tcBorders>
            <w:shd w:val="clear" w:color="auto" w:fill="auto"/>
          </w:tcPr>
          <w:p w14:paraId="09054899" w14:textId="77777777" w:rsidR="00215904" w:rsidRPr="00215904" w:rsidRDefault="00215904" w:rsidP="00B835E5">
            <w:pPr>
              <w:pStyle w:val="ListNumber"/>
              <w:spacing w:before="60" w:after="60"/>
              <w:rPr>
                <w:rFonts w:asciiTheme="minorHAnsi" w:hAnsiTheme="minorHAnsi" w:cs="Helvetica"/>
                <w:b/>
                <w:bCs/>
                <w:i/>
                <w:iCs/>
                <w:noProof/>
                <w:sz w:val="21"/>
                <w:szCs w:val="21"/>
              </w:rPr>
            </w:pPr>
            <w:r w:rsidRPr="00215904">
              <w:rPr>
                <w:rFonts w:asciiTheme="minorHAnsi" w:hAnsiTheme="minorHAnsi" w:cs="Helvetica"/>
                <w:b/>
                <w:bCs/>
                <w:i/>
                <w:iCs/>
                <w:noProof/>
                <w:sz w:val="21"/>
                <w:szCs w:val="21"/>
              </w:rPr>
              <w:t>medium complexity</w:t>
            </w:r>
            <w:r w:rsidRPr="00215904">
              <w:rPr>
                <w:rFonts w:asciiTheme="minorHAnsi" w:hAnsiTheme="minorHAnsi" w:cs="Helvetica"/>
                <w:noProof/>
                <w:sz w:val="21"/>
                <w:szCs w:val="21"/>
              </w:rPr>
              <w:t>, not high complexity and covers more than one well;</w:t>
            </w:r>
          </w:p>
        </w:tc>
        <w:tc>
          <w:tcPr>
            <w:tcW w:w="1134" w:type="dxa"/>
            <w:tcBorders>
              <w:top w:val="nil"/>
              <w:bottom w:val="nil"/>
            </w:tcBorders>
            <w:shd w:val="clear" w:color="auto" w:fill="auto"/>
          </w:tcPr>
          <w:p w14:paraId="2ABEC517" w14:textId="77777777" w:rsidR="00215904" w:rsidRPr="00215904" w:rsidRDefault="00215904" w:rsidP="002159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right"/>
              <w:rPr>
                <w:rFonts w:asciiTheme="minorHAnsi" w:hAnsiTheme="minorHAnsi" w:cs="Helvetica"/>
                <w:noProof/>
                <w:color w:val="000000"/>
                <w:sz w:val="21"/>
                <w:szCs w:val="21"/>
              </w:rPr>
            </w:pPr>
            <w:r w:rsidRPr="00215904">
              <w:rPr>
                <w:rFonts w:asciiTheme="minorHAnsi" w:hAnsiTheme="minorHAnsi" w:cs="Helvetica"/>
                <w:noProof/>
                <w:color w:val="000000"/>
                <w:sz w:val="21"/>
                <w:szCs w:val="21"/>
              </w:rPr>
              <w:t>7 946</w:t>
            </w:r>
          </w:p>
        </w:tc>
        <w:tc>
          <w:tcPr>
            <w:tcW w:w="1247" w:type="dxa"/>
            <w:tcBorders>
              <w:top w:val="nil"/>
              <w:bottom w:val="nil"/>
            </w:tcBorders>
          </w:tcPr>
          <w:p w14:paraId="739BBCF9" w14:textId="77777777" w:rsidR="00215904" w:rsidRPr="00215904" w:rsidRDefault="00997838" w:rsidP="003E2B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right"/>
              <w:rPr>
                <w:rFonts w:asciiTheme="minorHAnsi" w:hAnsiTheme="minorHAnsi" w:cs="Helvetica"/>
                <w:noProof/>
                <w:color w:val="000000"/>
                <w:sz w:val="21"/>
                <w:szCs w:val="21"/>
              </w:rPr>
            </w:pPr>
            <w:r>
              <w:rPr>
                <w:rFonts w:asciiTheme="minorHAnsi" w:hAnsiTheme="minorHAnsi" w:cs="Helvetica"/>
                <w:noProof/>
                <w:color w:val="000000"/>
                <w:sz w:val="21"/>
                <w:szCs w:val="21"/>
              </w:rPr>
              <w:t xml:space="preserve">$10 </w:t>
            </w:r>
            <w:r w:rsidR="003E2B8D">
              <w:rPr>
                <w:rFonts w:asciiTheme="minorHAnsi" w:hAnsiTheme="minorHAnsi" w:cs="Helvetica"/>
                <w:noProof/>
                <w:color w:val="000000"/>
                <w:sz w:val="21"/>
                <w:szCs w:val="21"/>
              </w:rPr>
              <w:t>727</w:t>
            </w:r>
          </w:p>
        </w:tc>
      </w:tr>
      <w:tr w:rsidR="00215904" w:rsidRPr="003D42D5" w14:paraId="4955D257" w14:textId="77777777" w:rsidTr="006B10BD">
        <w:tc>
          <w:tcPr>
            <w:tcW w:w="7650" w:type="dxa"/>
            <w:tcBorders>
              <w:top w:val="nil"/>
              <w:bottom w:val="single" w:sz="4" w:space="0" w:color="auto"/>
            </w:tcBorders>
            <w:shd w:val="clear" w:color="auto" w:fill="auto"/>
          </w:tcPr>
          <w:p w14:paraId="758B4625" w14:textId="77777777" w:rsidR="00215904" w:rsidRPr="00215904" w:rsidRDefault="00215904" w:rsidP="00215904">
            <w:pPr>
              <w:pStyle w:val="ListNumber"/>
              <w:spacing w:before="60" w:after="60"/>
              <w:rPr>
                <w:rFonts w:asciiTheme="minorHAnsi" w:hAnsiTheme="minorHAnsi" w:cs="Helvetica"/>
                <w:b/>
                <w:bCs/>
                <w:i/>
                <w:iCs/>
                <w:noProof/>
                <w:sz w:val="21"/>
                <w:szCs w:val="21"/>
              </w:rPr>
            </w:pPr>
            <w:r w:rsidRPr="00215904">
              <w:rPr>
                <w:rFonts w:asciiTheme="minorHAnsi" w:hAnsiTheme="minorHAnsi" w:cs="Helvetica"/>
                <w:b/>
                <w:bCs/>
                <w:i/>
                <w:iCs/>
                <w:noProof/>
                <w:sz w:val="21"/>
                <w:szCs w:val="21"/>
              </w:rPr>
              <w:t>low complexity</w:t>
            </w:r>
            <w:r w:rsidRPr="00215904">
              <w:rPr>
                <w:rFonts w:asciiTheme="minorHAnsi" w:hAnsiTheme="minorHAnsi" w:cs="Helvetica"/>
                <w:noProof/>
                <w:sz w:val="21"/>
                <w:szCs w:val="21"/>
              </w:rPr>
              <w:t>, being all other plans</w:t>
            </w:r>
          </w:p>
        </w:tc>
        <w:tc>
          <w:tcPr>
            <w:tcW w:w="1134" w:type="dxa"/>
            <w:tcBorders>
              <w:top w:val="nil"/>
              <w:bottom w:val="single" w:sz="4" w:space="0" w:color="auto"/>
            </w:tcBorders>
            <w:shd w:val="clear" w:color="auto" w:fill="auto"/>
          </w:tcPr>
          <w:p w14:paraId="7B0EE662" w14:textId="77777777" w:rsidR="00215904" w:rsidRPr="00215904" w:rsidRDefault="00215904" w:rsidP="002159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right"/>
              <w:rPr>
                <w:rFonts w:asciiTheme="minorHAnsi" w:hAnsiTheme="minorHAnsi" w:cs="Helvetica"/>
                <w:noProof/>
                <w:color w:val="000000"/>
                <w:sz w:val="21"/>
                <w:szCs w:val="21"/>
              </w:rPr>
            </w:pPr>
            <w:r w:rsidRPr="00215904">
              <w:rPr>
                <w:rFonts w:asciiTheme="minorHAnsi" w:hAnsiTheme="minorHAnsi" w:cs="Helvetica"/>
                <w:noProof/>
                <w:color w:val="000000"/>
                <w:sz w:val="21"/>
                <w:szCs w:val="21"/>
              </w:rPr>
              <w:t>6 113</w:t>
            </w:r>
          </w:p>
        </w:tc>
        <w:tc>
          <w:tcPr>
            <w:tcW w:w="1247" w:type="dxa"/>
            <w:tcBorders>
              <w:top w:val="nil"/>
              <w:bottom w:val="single" w:sz="4" w:space="0" w:color="auto"/>
            </w:tcBorders>
          </w:tcPr>
          <w:p w14:paraId="05A94201" w14:textId="77777777" w:rsidR="00215904" w:rsidRPr="00215904" w:rsidRDefault="00997838" w:rsidP="003E2B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right"/>
              <w:rPr>
                <w:rFonts w:asciiTheme="minorHAnsi" w:hAnsiTheme="minorHAnsi" w:cs="Helvetica"/>
                <w:noProof/>
                <w:color w:val="000000"/>
                <w:sz w:val="21"/>
                <w:szCs w:val="21"/>
              </w:rPr>
            </w:pPr>
            <w:r>
              <w:rPr>
                <w:rFonts w:asciiTheme="minorHAnsi" w:hAnsiTheme="minorHAnsi" w:cs="Helvetica"/>
                <w:noProof/>
                <w:color w:val="000000"/>
                <w:sz w:val="21"/>
                <w:szCs w:val="21"/>
              </w:rPr>
              <w:t>$</w:t>
            </w:r>
            <w:r w:rsidR="003E2B8D">
              <w:rPr>
                <w:rFonts w:asciiTheme="minorHAnsi" w:hAnsiTheme="minorHAnsi" w:cs="Helvetica"/>
                <w:noProof/>
                <w:color w:val="000000"/>
                <w:sz w:val="21"/>
                <w:szCs w:val="21"/>
              </w:rPr>
              <w:t>8252</w:t>
            </w:r>
          </w:p>
        </w:tc>
      </w:tr>
      <w:tr w:rsidR="00215904" w:rsidRPr="003D42D5" w14:paraId="1173CEB8" w14:textId="77777777" w:rsidTr="006B10BD">
        <w:tc>
          <w:tcPr>
            <w:tcW w:w="7650" w:type="dxa"/>
            <w:tcBorders>
              <w:top w:val="single" w:sz="4" w:space="0" w:color="auto"/>
              <w:bottom w:val="single" w:sz="4" w:space="0" w:color="auto"/>
            </w:tcBorders>
            <w:shd w:val="clear" w:color="auto" w:fill="auto"/>
          </w:tcPr>
          <w:p w14:paraId="7C73335C" w14:textId="77777777" w:rsidR="00215904" w:rsidRPr="00215904" w:rsidRDefault="00B835E5" w:rsidP="00B835E5">
            <w:pPr>
              <w:pStyle w:val="ListNumber"/>
              <w:spacing w:before="60" w:after="60"/>
              <w:rPr>
                <w:rFonts w:asciiTheme="minorHAnsi" w:hAnsiTheme="minorHAnsi" w:cs="Helvetica"/>
                <w:b/>
                <w:bCs/>
                <w:i/>
                <w:iCs/>
                <w:noProof/>
                <w:sz w:val="21"/>
                <w:szCs w:val="21"/>
              </w:rPr>
            </w:pPr>
            <w:r>
              <w:rPr>
                <w:rFonts w:asciiTheme="minorHAnsi" w:hAnsiTheme="minorHAnsi" w:cs="Helvetica"/>
                <w:noProof/>
                <w:sz w:val="21"/>
                <w:szCs w:val="21"/>
              </w:rPr>
              <w:t>A</w:t>
            </w:r>
            <w:r w:rsidR="00215904" w:rsidRPr="00215904">
              <w:rPr>
                <w:rFonts w:asciiTheme="minorHAnsi" w:hAnsiTheme="minorHAnsi" w:cs="Helvetica"/>
                <w:noProof/>
                <w:sz w:val="21"/>
                <w:szCs w:val="21"/>
              </w:rPr>
              <w:t xml:space="preserve">pplication </w:t>
            </w:r>
            <w:r>
              <w:rPr>
                <w:rFonts w:asciiTheme="minorHAnsi" w:hAnsiTheme="minorHAnsi" w:cs="Helvetica"/>
                <w:noProof/>
                <w:sz w:val="21"/>
                <w:szCs w:val="21"/>
              </w:rPr>
              <w:t>for</w:t>
            </w:r>
            <w:r w:rsidR="00215904" w:rsidRPr="00215904">
              <w:rPr>
                <w:rFonts w:asciiTheme="minorHAnsi" w:hAnsiTheme="minorHAnsi" w:cs="Helvetica"/>
                <w:noProof/>
                <w:sz w:val="21"/>
                <w:szCs w:val="21"/>
              </w:rPr>
              <w:t xml:space="preserve"> a field management plan </w:t>
            </w:r>
            <w:r w:rsidR="00215904">
              <w:rPr>
                <w:rFonts w:asciiTheme="minorHAnsi" w:hAnsiTheme="minorHAnsi" w:cs="Helvetica"/>
                <w:noProof/>
                <w:sz w:val="21"/>
                <w:szCs w:val="21"/>
              </w:rPr>
              <w:t>(</w:t>
            </w:r>
            <w:r w:rsidR="00215904" w:rsidRPr="006B10BD">
              <w:rPr>
                <w:rFonts w:asciiTheme="minorHAnsi" w:hAnsiTheme="minorHAnsi" w:cs="Helvetica"/>
                <w:b/>
                <w:noProof/>
                <w:sz w:val="21"/>
                <w:szCs w:val="21"/>
              </w:rPr>
              <w:t>FMP</w:t>
            </w:r>
            <w:r w:rsidR="00215904">
              <w:rPr>
                <w:rFonts w:asciiTheme="minorHAnsi" w:hAnsiTheme="minorHAnsi" w:cs="Helvetica"/>
                <w:noProof/>
                <w:sz w:val="21"/>
                <w:szCs w:val="21"/>
              </w:rPr>
              <w:t xml:space="preserve">) </w:t>
            </w:r>
            <w:r>
              <w:rPr>
                <w:rFonts w:asciiTheme="minorHAnsi" w:hAnsiTheme="minorHAnsi" w:cs="Helvetica"/>
                <w:noProof/>
                <w:sz w:val="21"/>
                <w:szCs w:val="21"/>
              </w:rPr>
              <w:t xml:space="preserve">- </w:t>
            </w:r>
            <w:r w:rsidR="00215904" w:rsidRPr="00215904">
              <w:rPr>
                <w:rFonts w:asciiTheme="minorHAnsi" w:hAnsiTheme="minorHAnsi" w:cs="Helvetica"/>
                <w:noProof/>
                <w:sz w:val="21"/>
                <w:szCs w:val="21"/>
              </w:rPr>
              <w:t xml:space="preserve">s61(2)(b) </w:t>
            </w:r>
          </w:p>
        </w:tc>
        <w:tc>
          <w:tcPr>
            <w:tcW w:w="1134" w:type="dxa"/>
            <w:tcBorders>
              <w:top w:val="single" w:sz="4" w:space="0" w:color="auto"/>
              <w:bottom w:val="single" w:sz="4" w:space="0" w:color="auto"/>
            </w:tcBorders>
            <w:shd w:val="clear" w:color="auto" w:fill="auto"/>
          </w:tcPr>
          <w:p w14:paraId="6A8655DE" w14:textId="77777777" w:rsidR="00215904" w:rsidRPr="00215904" w:rsidRDefault="00215904" w:rsidP="002159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right"/>
              <w:rPr>
                <w:rFonts w:asciiTheme="minorHAnsi" w:hAnsiTheme="minorHAnsi" w:cs="Helvetica"/>
                <w:noProof/>
                <w:color w:val="000000"/>
                <w:sz w:val="21"/>
                <w:szCs w:val="21"/>
              </w:rPr>
            </w:pPr>
            <w:r w:rsidRPr="00215904">
              <w:rPr>
                <w:rFonts w:asciiTheme="minorHAnsi" w:hAnsiTheme="minorHAnsi" w:cs="Helvetica"/>
                <w:noProof/>
                <w:color w:val="000000"/>
                <w:sz w:val="21"/>
                <w:szCs w:val="21"/>
              </w:rPr>
              <w:t>34 622</w:t>
            </w:r>
          </w:p>
        </w:tc>
        <w:tc>
          <w:tcPr>
            <w:tcW w:w="1247" w:type="dxa"/>
            <w:tcBorders>
              <w:top w:val="single" w:sz="4" w:space="0" w:color="auto"/>
              <w:bottom w:val="single" w:sz="4" w:space="0" w:color="auto"/>
            </w:tcBorders>
          </w:tcPr>
          <w:p w14:paraId="3E9912D2" w14:textId="77777777" w:rsidR="00215904" w:rsidRPr="00215904" w:rsidRDefault="00997838" w:rsidP="003E2B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right"/>
              <w:rPr>
                <w:rFonts w:asciiTheme="minorHAnsi" w:hAnsiTheme="minorHAnsi" w:cs="Helvetica"/>
                <w:noProof/>
                <w:color w:val="000000"/>
                <w:sz w:val="21"/>
                <w:szCs w:val="21"/>
              </w:rPr>
            </w:pPr>
            <w:r>
              <w:rPr>
                <w:rFonts w:asciiTheme="minorHAnsi" w:hAnsiTheme="minorHAnsi" w:cs="Helvetica"/>
                <w:noProof/>
                <w:color w:val="000000"/>
                <w:sz w:val="21"/>
                <w:szCs w:val="21"/>
              </w:rPr>
              <w:t>$4</w:t>
            </w:r>
            <w:r w:rsidR="003E2B8D">
              <w:rPr>
                <w:rFonts w:asciiTheme="minorHAnsi" w:hAnsiTheme="minorHAnsi" w:cs="Helvetica"/>
                <w:noProof/>
                <w:color w:val="000000"/>
                <w:sz w:val="21"/>
                <w:szCs w:val="21"/>
              </w:rPr>
              <w:t>6 739</w:t>
            </w:r>
          </w:p>
        </w:tc>
      </w:tr>
      <w:tr w:rsidR="00215904" w:rsidRPr="003D42D5" w14:paraId="07A5B598" w14:textId="77777777" w:rsidTr="006B10BD">
        <w:tc>
          <w:tcPr>
            <w:tcW w:w="7650" w:type="dxa"/>
            <w:tcBorders>
              <w:top w:val="single" w:sz="4" w:space="0" w:color="auto"/>
              <w:bottom w:val="single" w:sz="4" w:space="0" w:color="auto"/>
            </w:tcBorders>
            <w:shd w:val="clear" w:color="auto" w:fill="auto"/>
          </w:tcPr>
          <w:p w14:paraId="22CE26D0" w14:textId="77777777" w:rsidR="00215904" w:rsidRPr="00215904" w:rsidRDefault="00B835E5" w:rsidP="00B835E5">
            <w:pPr>
              <w:pStyle w:val="ListNumber"/>
              <w:spacing w:before="60" w:after="60"/>
              <w:rPr>
                <w:rFonts w:asciiTheme="minorHAnsi" w:hAnsiTheme="minorHAnsi" w:cs="Helvetica"/>
                <w:b/>
                <w:bCs/>
                <w:i/>
                <w:iCs/>
                <w:noProof/>
                <w:sz w:val="21"/>
                <w:szCs w:val="21"/>
              </w:rPr>
            </w:pPr>
            <w:r>
              <w:rPr>
                <w:rFonts w:asciiTheme="minorHAnsi" w:hAnsiTheme="minorHAnsi" w:cs="Helvetica"/>
                <w:noProof/>
                <w:sz w:val="21"/>
                <w:szCs w:val="21"/>
              </w:rPr>
              <w:t>A</w:t>
            </w:r>
            <w:r w:rsidR="00215904" w:rsidRPr="00215904">
              <w:rPr>
                <w:rFonts w:asciiTheme="minorHAnsi" w:hAnsiTheme="minorHAnsi" w:cs="Helvetica"/>
                <w:noProof/>
                <w:sz w:val="21"/>
                <w:szCs w:val="21"/>
              </w:rPr>
              <w:t xml:space="preserve">pplication for a petroleum surface infrastructure plan </w:t>
            </w:r>
            <w:r w:rsidR="00215904">
              <w:rPr>
                <w:rFonts w:asciiTheme="minorHAnsi" w:hAnsiTheme="minorHAnsi" w:cs="Helvetica"/>
                <w:noProof/>
                <w:sz w:val="21"/>
                <w:szCs w:val="21"/>
              </w:rPr>
              <w:t>(</w:t>
            </w:r>
            <w:r w:rsidR="00215904" w:rsidRPr="006B10BD">
              <w:rPr>
                <w:rFonts w:asciiTheme="minorHAnsi" w:hAnsiTheme="minorHAnsi" w:cs="Helvetica"/>
                <w:b/>
                <w:noProof/>
                <w:sz w:val="21"/>
                <w:szCs w:val="21"/>
              </w:rPr>
              <w:t>PSIP</w:t>
            </w:r>
            <w:r w:rsidR="00215904">
              <w:rPr>
                <w:rFonts w:asciiTheme="minorHAnsi" w:hAnsiTheme="minorHAnsi" w:cs="Helvetica"/>
                <w:noProof/>
                <w:sz w:val="21"/>
                <w:szCs w:val="21"/>
              </w:rPr>
              <w:t xml:space="preserve">) </w:t>
            </w:r>
            <w:r>
              <w:rPr>
                <w:rFonts w:asciiTheme="minorHAnsi" w:hAnsiTheme="minorHAnsi" w:cs="Helvetica"/>
                <w:noProof/>
                <w:sz w:val="21"/>
                <w:szCs w:val="21"/>
              </w:rPr>
              <w:t>-</w:t>
            </w:r>
            <w:r w:rsidR="00215904" w:rsidRPr="00215904">
              <w:rPr>
                <w:rFonts w:asciiTheme="minorHAnsi" w:hAnsiTheme="minorHAnsi" w:cs="Helvetica"/>
                <w:noProof/>
                <w:sz w:val="21"/>
                <w:szCs w:val="21"/>
              </w:rPr>
              <w:t xml:space="preserve"> s61(2)(b) </w:t>
            </w:r>
          </w:p>
        </w:tc>
        <w:tc>
          <w:tcPr>
            <w:tcW w:w="1134" w:type="dxa"/>
            <w:tcBorders>
              <w:top w:val="single" w:sz="4" w:space="0" w:color="auto"/>
              <w:bottom w:val="single" w:sz="4" w:space="0" w:color="auto"/>
            </w:tcBorders>
            <w:shd w:val="clear" w:color="auto" w:fill="auto"/>
          </w:tcPr>
          <w:p w14:paraId="59B3B55B" w14:textId="77777777" w:rsidR="00215904" w:rsidRPr="00215904" w:rsidRDefault="00215904" w:rsidP="002159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right"/>
              <w:rPr>
                <w:rFonts w:asciiTheme="minorHAnsi" w:hAnsiTheme="minorHAnsi" w:cs="Helvetica"/>
                <w:noProof/>
                <w:color w:val="000000"/>
                <w:sz w:val="21"/>
                <w:szCs w:val="21"/>
              </w:rPr>
            </w:pPr>
            <w:r w:rsidRPr="00215904">
              <w:rPr>
                <w:rFonts w:asciiTheme="minorHAnsi" w:hAnsiTheme="minorHAnsi" w:cs="Helvetica"/>
                <w:noProof/>
                <w:color w:val="000000"/>
                <w:sz w:val="21"/>
                <w:szCs w:val="21"/>
              </w:rPr>
              <w:t>11 397</w:t>
            </w:r>
          </w:p>
        </w:tc>
        <w:tc>
          <w:tcPr>
            <w:tcW w:w="1247" w:type="dxa"/>
            <w:tcBorders>
              <w:top w:val="single" w:sz="4" w:space="0" w:color="auto"/>
              <w:bottom w:val="single" w:sz="4" w:space="0" w:color="auto"/>
            </w:tcBorders>
          </w:tcPr>
          <w:p w14:paraId="5E413BF3" w14:textId="77777777" w:rsidR="00215904" w:rsidRPr="00215904" w:rsidRDefault="00997838" w:rsidP="00FA37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right"/>
              <w:rPr>
                <w:rFonts w:asciiTheme="minorHAnsi" w:hAnsiTheme="minorHAnsi" w:cs="Helvetica"/>
                <w:noProof/>
                <w:color w:val="000000"/>
                <w:sz w:val="21"/>
                <w:szCs w:val="21"/>
              </w:rPr>
            </w:pPr>
            <w:r>
              <w:rPr>
                <w:rFonts w:asciiTheme="minorHAnsi" w:hAnsiTheme="minorHAnsi" w:cs="Helvetica"/>
                <w:noProof/>
                <w:color w:val="000000"/>
                <w:sz w:val="21"/>
                <w:szCs w:val="21"/>
              </w:rPr>
              <w:t>$</w:t>
            </w:r>
            <w:r w:rsidR="003E2B8D">
              <w:rPr>
                <w:rFonts w:asciiTheme="minorHAnsi" w:hAnsiTheme="minorHAnsi" w:cs="Helvetica"/>
                <w:noProof/>
                <w:color w:val="000000"/>
                <w:sz w:val="21"/>
                <w:szCs w:val="21"/>
              </w:rPr>
              <w:t>15 38</w:t>
            </w:r>
            <w:r w:rsidR="00FA377D">
              <w:rPr>
                <w:rFonts w:asciiTheme="minorHAnsi" w:hAnsiTheme="minorHAnsi" w:cs="Helvetica"/>
                <w:noProof/>
                <w:color w:val="000000"/>
                <w:sz w:val="21"/>
                <w:szCs w:val="21"/>
              </w:rPr>
              <w:t>5</w:t>
            </w:r>
          </w:p>
        </w:tc>
      </w:tr>
      <w:tr w:rsidR="00215904" w:rsidRPr="003D42D5" w14:paraId="7F468F7E" w14:textId="77777777" w:rsidTr="006B10BD">
        <w:tc>
          <w:tcPr>
            <w:tcW w:w="7650" w:type="dxa"/>
            <w:tcBorders>
              <w:top w:val="single" w:sz="4" w:space="0" w:color="auto"/>
              <w:bottom w:val="single" w:sz="4" w:space="0" w:color="auto"/>
            </w:tcBorders>
            <w:shd w:val="clear" w:color="auto" w:fill="auto"/>
          </w:tcPr>
          <w:p w14:paraId="7B34334D" w14:textId="77777777" w:rsidR="00215904" w:rsidRPr="00215904" w:rsidRDefault="00B835E5" w:rsidP="00215904">
            <w:pPr>
              <w:pStyle w:val="ListNumber"/>
              <w:spacing w:before="60" w:after="60"/>
              <w:rPr>
                <w:rFonts w:asciiTheme="minorHAnsi" w:hAnsiTheme="minorHAnsi" w:cs="Helvetica"/>
                <w:noProof/>
                <w:sz w:val="21"/>
                <w:szCs w:val="21"/>
              </w:rPr>
            </w:pPr>
            <w:r>
              <w:rPr>
                <w:rFonts w:asciiTheme="minorHAnsi" w:hAnsiTheme="minorHAnsi" w:cs="Helvetica"/>
                <w:noProof/>
                <w:sz w:val="21"/>
                <w:szCs w:val="21"/>
              </w:rPr>
              <w:t>A</w:t>
            </w:r>
            <w:r w:rsidR="00215904" w:rsidRPr="00215904">
              <w:rPr>
                <w:rFonts w:asciiTheme="minorHAnsi" w:hAnsiTheme="minorHAnsi" w:cs="Helvetica"/>
                <w:noProof/>
                <w:sz w:val="21"/>
                <w:szCs w:val="21"/>
              </w:rPr>
              <w:t xml:space="preserve">pplication for a revised </w:t>
            </w:r>
            <w:r w:rsidR="00215904">
              <w:rPr>
                <w:rFonts w:asciiTheme="minorHAnsi" w:hAnsiTheme="minorHAnsi" w:cs="Helvetica"/>
                <w:noProof/>
                <w:sz w:val="21"/>
                <w:szCs w:val="21"/>
              </w:rPr>
              <w:t>WOMP</w:t>
            </w:r>
            <w:r w:rsidR="00215904" w:rsidRPr="00215904">
              <w:rPr>
                <w:rFonts w:asciiTheme="minorHAnsi" w:hAnsiTheme="minorHAnsi" w:cs="Helvetica"/>
                <w:noProof/>
                <w:sz w:val="21"/>
                <w:szCs w:val="21"/>
              </w:rPr>
              <w:t xml:space="preserve"> </w:t>
            </w:r>
            <w:r>
              <w:rPr>
                <w:rFonts w:asciiTheme="minorHAnsi" w:hAnsiTheme="minorHAnsi" w:cs="Helvetica"/>
                <w:noProof/>
                <w:sz w:val="21"/>
                <w:szCs w:val="21"/>
              </w:rPr>
              <w:t xml:space="preserve">- </w:t>
            </w:r>
            <w:r w:rsidR="00215904" w:rsidRPr="00215904">
              <w:rPr>
                <w:rFonts w:asciiTheme="minorHAnsi" w:hAnsiTheme="minorHAnsi" w:cs="Helvetica"/>
                <w:noProof/>
                <w:sz w:val="21"/>
                <w:szCs w:val="21"/>
              </w:rPr>
              <w:t xml:space="preserve">s61B(5) </w:t>
            </w:r>
            <w:r>
              <w:rPr>
                <w:rFonts w:asciiTheme="minorHAnsi" w:hAnsiTheme="minorHAnsi" w:cs="Helvetica"/>
                <w:noProof/>
                <w:sz w:val="21"/>
                <w:szCs w:val="21"/>
              </w:rPr>
              <w:t>-</w:t>
            </w:r>
            <w:r w:rsidR="00215904" w:rsidRPr="00215904">
              <w:rPr>
                <w:rFonts w:asciiTheme="minorHAnsi" w:hAnsiTheme="minorHAnsi" w:cs="Helvetica"/>
                <w:noProof/>
                <w:sz w:val="21"/>
                <w:szCs w:val="21"/>
              </w:rPr>
              <w:t xml:space="preserve"> determined by </w:t>
            </w:r>
            <w:r>
              <w:rPr>
                <w:rFonts w:asciiTheme="minorHAnsi" w:hAnsiTheme="minorHAnsi" w:cs="Helvetica"/>
                <w:noProof/>
                <w:sz w:val="21"/>
                <w:szCs w:val="21"/>
              </w:rPr>
              <w:t>complexity:</w:t>
            </w:r>
          </w:p>
          <w:p w14:paraId="1CA0FBD3" w14:textId="77777777" w:rsidR="00215904" w:rsidRPr="00215904" w:rsidRDefault="00215904" w:rsidP="00215904">
            <w:pPr>
              <w:pStyle w:val="ListNumber"/>
              <w:numPr>
                <w:ilvl w:val="0"/>
                <w:numId w:val="33"/>
              </w:numPr>
              <w:spacing w:before="60" w:after="60"/>
              <w:rPr>
                <w:rFonts w:asciiTheme="minorHAnsi" w:hAnsiTheme="minorHAnsi" w:cs="Helvetica"/>
                <w:noProof/>
                <w:sz w:val="21"/>
                <w:szCs w:val="21"/>
              </w:rPr>
            </w:pPr>
            <w:r w:rsidRPr="00215904">
              <w:rPr>
                <w:rFonts w:asciiTheme="minorHAnsi" w:hAnsiTheme="minorHAnsi" w:cs="Helvetica"/>
                <w:noProof/>
                <w:sz w:val="21"/>
                <w:szCs w:val="21"/>
              </w:rPr>
              <w:t>high complexity;</w:t>
            </w:r>
          </w:p>
          <w:p w14:paraId="66E98206" w14:textId="77777777" w:rsidR="00215904" w:rsidRPr="00215904" w:rsidRDefault="00215904" w:rsidP="00215904">
            <w:pPr>
              <w:pStyle w:val="ListNumber"/>
              <w:numPr>
                <w:ilvl w:val="0"/>
                <w:numId w:val="33"/>
              </w:numPr>
              <w:spacing w:before="60" w:after="60"/>
              <w:rPr>
                <w:rFonts w:asciiTheme="minorHAnsi" w:hAnsiTheme="minorHAnsi" w:cs="Helvetica"/>
                <w:noProof/>
                <w:sz w:val="21"/>
                <w:szCs w:val="21"/>
              </w:rPr>
            </w:pPr>
            <w:r w:rsidRPr="00215904">
              <w:rPr>
                <w:rFonts w:asciiTheme="minorHAnsi" w:hAnsiTheme="minorHAnsi" w:cs="Helvetica"/>
                <w:noProof/>
                <w:sz w:val="21"/>
                <w:szCs w:val="21"/>
              </w:rPr>
              <w:t>medium complexity;</w:t>
            </w:r>
          </w:p>
          <w:p w14:paraId="272E1F1C" w14:textId="77777777" w:rsidR="00215904" w:rsidRPr="00215904" w:rsidRDefault="00215904" w:rsidP="00B835E5">
            <w:pPr>
              <w:pStyle w:val="ListNumber"/>
              <w:numPr>
                <w:ilvl w:val="0"/>
                <w:numId w:val="33"/>
              </w:numPr>
              <w:spacing w:before="60" w:after="60"/>
              <w:rPr>
                <w:rFonts w:asciiTheme="minorHAnsi" w:hAnsiTheme="minorHAnsi" w:cs="Helvetica"/>
                <w:b/>
                <w:bCs/>
                <w:i/>
                <w:iCs/>
                <w:noProof/>
                <w:sz w:val="21"/>
                <w:szCs w:val="21"/>
              </w:rPr>
            </w:pPr>
            <w:r w:rsidRPr="00215904">
              <w:rPr>
                <w:rFonts w:asciiTheme="minorHAnsi" w:hAnsiTheme="minorHAnsi" w:cs="Helvetica"/>
                <w:noProof/>
                <w:sz w:val="21"/>
                <w:szCs w:val="21"/>
              </w:rPr>
              <w:t>low complexity</w:t>
            </w:r>
          </w:p>
        </w:tc>
        <w:tc>
          <w:tcPr>
            <w:tcW w:w="1134" w:type="dxa"/>
            <w:tcBorders>
              <w:top w:val="single" w:sz="4" w:space="0" w:color="auto"/>
              <w:bottom w:val="single" w:sz="4" w:space="0" w:color="auto"/>
            </w:tcBorders>
            <w:shd w:val="clear" w:color="auto" w:fill="auto"/>
          </w:tcPr>
          <w:p w14:paraId="2F6C4379" w14:textId="77777777" w:rsidR="00215904" w:rsidRPr="00215904" w:rsidRDefault="00215904" w:rsidP="00215904">
            <w:pPr>
              <w:spacing w:before="60" w:after="60"/>
              <w:jc w:val="right"/>
              <w:rPr>
                <w:rFonts w:asciiTheme="minorHAnsi" w:hAnsiTheme="minorHAnsi" w:cs="Helvetica"/>
                <w:noProof/>
                <w:color w:val="000000"/>
                <w:sz w:val="21"/>
                <w:szCs w:val="21"/>
              </w:rPr>
            </w:pPr>
            <w:r w:rsidRPr="00215904">
              <w:rPr>
                <w:rFonts w:asciiTheme="minorHAnsi" w:hAnsiTheme="minorHAnsi" w:cs="Helvetica"/>
                <w:noProof/>
                <w:color w:val="000000"/>
                <w:sz w:val="21"/>
                <w:szCs w:val="21"/>
              </w:rPr>
              <w:br/>
              <w:t>8 333</w:t>
            </w:r>
          </w:p>
          <w:p w14:paraId="67654BAD" w14:textId="77777777" w:rsidR="00215904" w:rsidRPr="00215904" w:rsidRDefault="00215904" w:rsidP="00215904">
            <w:pPr>
              <w:spacing w:before="60" w:after="60"/>
              <w:jc w:val="right"/>
              <w:rPr>
                <w:rFonts w:asciiTheme="minorHAnsi" w:hAnsiTheme="minorHAnsi" w:cs="Helvetica"/>
                <w:noProof/>
                <w:color w:val="000000"/>
                <w:sz w:val="21"/>
                <w:szCs w:val="21"/>
              </w:rPr>
            </w:pPr>
            <w:r w:rsidRPr="00215904">
              <w:rPr>
                <w:rFonts w:asciiTheme="minorHAnsi" w:hAnsiTheme="minorHAnsi" w:cs="Helvetica"/>
                <w:noProof/>
                <w:color w:val="000000"/>
                <w:sz w:val="21"/>
                <w:szCs w:val="21"/>
              </w:rPr>
              <w:t>5 702</w:t>
            </w:r>
          </w:p>
          <w:p w14:paraId="34151A11" w14:textId="77777777" w:rsidR="00215904" w:rsidRPr="00215904" w:rsidRDefault="00215904" w:rsidP="002159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right"/>
              <w:rPr>
                <w:rFonts w:asciiTheme="minorHAnsi" w:hAnsiTheme="minorHAnsi" w:cs="Helvetica"/>
                <w:noProof/>
                <w:color w:val="000000"/>
                <w:sz w:val="21"/>
                <w:szCs w:val="21"/>
              </w:rPr>
            </w:pPr>
            <w:r w:rsidRPr="00215904">
              <w:rPr>
                <w:rFonts w:asciiTheme="minorHAnsi" w:hAnsiTheme="minorHAnsi" w:cs="Helvetica"/>
                <w:noProof/>
                <w:color w:val="000000"/>
                <w:sz w:val="21"/>
                <w:szCs w:val="21"/>
              </w:rPr>
              <w:t>4 386</w:t>
            </w:r>
          </w:p>
        </w:tc>
        <w:tc>
          <w:tcPr>
            <w:tcW w:w="1247" w:type="dxa"/>
            <w:tcBorders>
              <w:top w:val="single" w:sz="4" w:space="0" w:color="auto"/>
              <w:bottom w:val="single" w:sz="4" w:space="0" w:color="auto"/>
            </w:tcBorders>
          </w:tcPr>
          <w:p w14:paraId="2895DF6F" w14:textId="77777777" w:rsidR="00215904" w:rsidRDefault="00215904" w:rsidP="00215904">
            <w:pPr>
              <w:spacing w:before="60" w:after="60"/>
              <w:jc w:val="right"/>
              <w:rPr>
                <w:rFonts w:asciiTheme="minorHAnsi" w:hAnsiTheme="minorHAnsi" w:cs="Helvetica"/>
                <w:noProof/>
                <w:color w:val="000000"/>
                <w:sz w:val="21"/>
                <w:szCs w:val="21"/>
              </w:rPr>
            </w:pPr>
          </w:p>
          <w:p w14:paraId="18A97653" w14:textId="77777777" w:rsidR="00997838" w:rsidRDefault="00997838" w:rsidP="00215904">
            <w:pPr>
              <w:spacing w:before="60" w:after="60"/>
              <w:jc w:val="right"/>
              <w:rPr>
                <w:rFonts w:asciiTheme="minorHAnsi" w:hAnsiTheme="minorHAnsi" w:cs="Helvetica"/>
                <w:noProof/>
                <w:color w:val="000000"/>
                <w:sz w:val="21"/>
                <w:szCs w:val="21"/>
              </w:rPr>
            </w:pPr>
            <w:r>
              <w:rPr>
                <w:rFonts w:asciiTheme="minorHAnsi" w:hAnsiTheme="minorHAnsi" w:cs="Helvetica"/>
                <w:noProof/>
                <w:color w:val="000000"/>
                <w:sz w:val="21"/>
                <w:szCs w:val="21"/>
              </w:rPr>
              <w:t>$1</w:t>
            </w:r>
            <w:r w:rsidR="003E2B8D">
              <w:rPr>
                <w:rFonts w:asciiTheme="minorHAnsi" w:hAnsiTheme="minorHAnsi" w:cs="Helvetica"/>
                <w:noProof/>
                <w:color w:val="000000"/>
                <w:sz w:val="21"/>
                <w:szCs w:val="21"/>
              </w:rPr>
              <w:t>1 249</w:t>
            </w:r>
          </w:p>
          <w:p w14:paraId="382D0F31" w14:textId="77777777" w:rsidR="006A5086" w:rsidRDefault="006A5086" w:rsidP="00215904">
            <w:pPr>
              <w:spacing w:before="60" w:after="60"/>
              <w:jc w:val="right"/>
              <w:rPr>
                <w:rFonts w:asciiTheme="minorHAnsi" w:hAnsiTheme="minorHAnsi" w:cs="Helvetica"/>
                <w:noProof/>
                <w:color w:val="000000"/>
                <w:sz w:val="21"/>
                <w:szCs w:val="21"/>
              </w:rPr>
            </w:pPr>
            <w:r>
              <w:rPr>
                <w:rFonts w:asciiTheme="minorHAnsi" w:hAnsiTheme="minorHAnsi" w:cs="Helvetica"/>
                <w:noProof/>
                <w:color w:val="000000"/>
                <w:sz w:val="21"/>
                <w:szCs w:val="21"/>
              </w:rPr>
              <w:t>$7</w:t>
            </w:r>
            <w:r w:rsidR="003E2B8D">
              <w:rPr>
                <w:rFonts w:asciiTheme="minorHAnsi" w:hAnsiTheme="minorHAnsi" w:cs="Helvetica"/>
                <w:noProof/>
                <w:color w:val="000000"/>
                <w:sz w:val="21"/>
                <w:szCs w:val="21"/>
              </w:rPr>
              <w:t>697</w:t>
            </w:r>
          </w:p>
          <w:p w14:paraId="33AC97C1" w14:textId="77777777" w:rsidR="006A5086" w:rsidRPr="00215904" w:rsidRDefault="006A5086" w:rsidP="003E2B8D">
            <w:pPr>
              <w:spacing w:before="60" w:after="60"/>
              <w:jc w:val="right"/>
              <w:rPr>
                <w:rFonts w:asciiTheme="minorHAnsi" w:hAnsiTheme="minorHAnsi" w:cs="Helvetica"/>
                <w:noProof/>
                <w:color w:val="000000"/>
                <w:sz w:val="21"/>
                <w:szCs w:val="21"/>
              </w:rPr>
            </w:pPr>
            <w:r>
              <w:rPr>
                <w:rFonts w:asciiTheme="minorHAnsi" w:hAnsiTheme="minorHAnsi" w:cs="Helvetica"/>
                <w:noProof/>
                <w:color w:val="000000"/>
                <w:sz w:val="21"/>
                <w:szCs w:val="21"/>
              </w:rPr>
              <w:t>$5</w:t>
            </w:r>
            <w:r w:rsidR="003E2B8D">
              <w:rPr>
                <w:rFonts w:asciiTheme="minorHAnsi" w:hAnsiTheme="minorHAnsi" w:cs="Helvetica"/>
                <w:noProof/>
                <w:color w:val="000000"/>
                <w:sz w:val="21"/>
                <w:szCs w:val="21"/>
              </w:rPr>
              <w:t>921</w:t>
            </w:r>
          </w:p>
        </w:tc>
      </w:tr>
      <w:tr w:rsidR="00215904" w:rsidRPr="003D42D5" w14:paraId="522246D1" w14:textId="77777777" w:rsidTr="006B10BD">
        <w:tc>
          <w:tcPr>
            <w:tcW w:w="7650" w:type="dxa"/>
            <w:tcBorders>
              <w:top w:val="single" w:sz="4" w:space="0" w:color="auto"/>
              <w:bottom w:val="nil"/>
            </w:tcBorders>
            <w:shd w:val="clear" w:color="auto" w:fill="auto"/>
          </w:tcPr>
          <w:p w14:paraId="50FBC072" w14:textId="77777777" w:rsidR="00215904" w:rsidRPr="00215904" w:rsidRDefault="00B835E5" w:rsidP="00B835E5">
            <w:pPr>
              <w:pStyle w:val="ListNumber"/>
              <w:spacing w:before="60" w:after="60"/>
              <w:rPr>
                <w:rFonts w:asciiTheme="minorHAnsi" w:hAnsiTheme="minorHAnsi" w:cs="Helvetica"/>
                <w:noProof/>
                <w:sz w:val="21"/>
                <w:szCs w:val="21"/>
              </w:rPr>
            </w:pPr>
            <w:r>
              <w:rPr>
                <w:rFonts w:asciiTheme="minorHAnsi" w:hAnsiTheme="minorHAnsi" w:cs="Helvetica"/>
                <w:noProof/>
                <w:sz w:val="21"/>
                <w:szCs w:val="21"/>
              </w:rPr>
              <w:t>A</w:t>
            </w:r>
            <w:r w:rsidR="00215904" w:rsidRPr="00215904">
              <w:rPr>
                <w:rFonts w:asciiTheme="minorHAnsi" w:hAnsiTheme="minorHAnsi" w:cs="Helvetica"/>
                <w:noProof/>
                <w:sz w:val="21"/>
                <w:szCs w:val="21"/>
              </w:rPr>
              <w:t xml:space="preserve">pplication for a revised </w:t>
            </w:r>
            <w:r w:rsidR="006B10BD">
              <w:rPr>
                <w:rFonts w:asciiTheme="minorHAnsi" w:hAnsiTheme="minorHAnsi" w:cs="Helvetica"/>
                <w:noProof/>
                <w:sz w:val="21"/>
                <w:szCs w:val="21"/>
              </w:rPr>
              <w:t>FMP</w:t>
            </w:r>
            <w:r w:rsidR="00215904" w:rsidRPr="00215904">
              <w:rPr>
                <w:rFonts w:asciiTheme="minorHAnsi" w:hAnsiTheme="minorHAnsi" w:cs="Helvetica"/>
                <w:noProof/>
                <w:sz w:val="21"/>
                <w:szCs w:val="21"/>
              </w:rPr>
              <w:t xml:space="preserve"> </w:t>
            </w:r>
            <w:r>
              <w:rPr>
                <w:rFonts w:asciiTheme="minorHAnsi" w:hAnsiTheme="minorHAnsi" w:cs="Helvetica"/>
                <w:noProof/>
                <w:sz w:val="21"/>
                <w:szCs w:val="21"/>
              </w:rPr>
              <w:t>-</w:t>
            </w:r>
            <w:r w:rsidR="00215904" w:rsidRPr="00215904">
              <w:rPr>
                <w:rFonts w:asciiTheme="minorHAnsi" w:hAnsiTheme="minorHAnsi" w:cs="Helvetica"/>
                <w:noProof/>
                <w:sz w:val="21"/>
                <w:szCs w:val="21"/>
              </w:rPr>
              <w:t xml:space="preserve"> s61B(5) determined by is complexity as follows:</w:t>
            </w:r>
          </w:p>
        </w:tc>
        <w:tc>
          <w:tcPr>
            <w:tcW w:w="1134" w:type="dxa"/>
            <w:tcBorders>
              <w:top w:val="single" w:sz="4" w:space="0" w:color="auto"/>
              <w:bottom w:val="nil"/>
            </w:tcBorders>
            <w:shd w:val="clear" w:color="auto" w:fill="auto"/>
          </w:tcPr>
          <w:p w14:paraId="6512B000" w14:textId="77777777" w:rsidR="00215904" w:rsidRPr="00215904" w:rsidRDefault="00215904" w:rsidP="00215904">
            <w:pPr>
              <w:spacing w:before="60" w:after="60"/>
              <w:jc w:val="right"/>
              <w:rPr>
                <w:rFonts w:asciiTheme="minorHAnsi" w:hAnsiTheme="minorHAnsi" w:cs="Helvetica"/>
                <w:noProof/>
                <w:color w:val="000000"/>
                <w:sz w:val="21"/>
                <w:szCs w:val="21"/>
              </w:rPr>
            </w:pPr>
          </w:p>
        </w:tc>
        <w:tc>
          <w:tcPr>
            <w:tcW w:w="1247" w:type="dxa"/>
            <w:tcBorders>
              <w:top w:val="single" w:sz="4" w:space="0" w:color="auto"/>
              <w:bottom w:val="nil"/>
            </w:tcBorders>
          </w:tcPr>
          <w:p w14:paraId="18F6E0FF" w14:textId="77777777" w:rsidR="00215904" w:rsidRPr="00215904" w:rsidRDefault="00215904" w:rsidP="00215904">
            <w:pPr>
              <w:spacing w:before="60" w:after="60"/>
              <w:jc w:val="right"/>
              <w:rPr>
                <w:rFonts w:asciiTheme="minorHAnsi" w:hAnsiTheme="minorHAnsi" w:cs="Helvetica"/>
                <w:noProof/>
                <w:color w:val="000000"/>
                <w:sz w:val="21"/>
                <w:szCs w:val="21"/>
              </w:rPr>
            </w:pPr>
          </w:p>
        </w:tc>
      </w:tr>
      <w:tr w:rsidR="00215904" w:rsidRPr="003D42D5" w14:paraId="609F7723" w14:textId="77777777" w:rsidTr="006B10BD">
        <w:tc>
          <w:tcPr>
            <w:tcW w:w="7650" w:type="dxa"/>
            <w:tcBorders>
              <w:top w:val="nil"/>
              <w:bottom w:val="nil"/>
            </w:tcBorders>
            <w:shd w:val="clear" w:color="auto" w:fill="auto"/>
          </w:tcPr>
          <w:p w14:paraId="080391E7" w14:textId="77777777" w:rsidR="00215904" w:rsidRPr="00215904" w:rsidRDefault="00215904" w:rsidP="00215904">
            <w:pPr>
              <w:pStyle w:val="ListNumber"/>
              <w:numPr>
                <w:ilvl w:val="0"/>
                <w:numId w:val="32"/>
              </w:numPr>
              <w:spacing w:before="60" w:after="60"/>
              <w:rPr>
                <w:rFonts w:asciiTheme="minorHAnsi" w:hAnsiTheme="minorHAnsi" w:cs="Helvetica"/>
                <w:noProof/>
                <w:sz w:val="21"/>
                <w:szCs w:val="21"/>
              </w:rPr>
            </w:pPr>
            <w:r w:rsidRPr="00215904">
              <w:rPr>
                <w:rFonts w:asciiTheme="minorHAnsi" w:hAnsiTheme="minorHAnsi" w:cs="Helvetica"/>
                <w:b/>
                <w:bCs/>
                <w:i/>
                <w:iCs/>
                <w:noProof/>
                <w:sz w:val="21"/>
                <w:szCs w:val="21"/>
              </w:rPr>
              <w:t>medium complexity</w:t>
            </w:r>
            <w:r w:rsidRPr="00215904">
              <w:rPr>
                <w:rFonts w:asciiTheme="minorHAnsi" w:hAnsiTheme="minorHAnsi" w:cs="Helvetica"/>
                <w:noProof/>
                <w:sz w:val="21"/>
                <w:szCs w:val="21"/>
              </w:rPr>
              <w:t>, being a revised plan that is not low complexity;</w:t>
            </w:r>
          </w:p>
        </w:tc>
        <w:tc>
          <w:tcPr>
            <w:tcW w:w="1134" w:type="dxa"/>
            <w:tcBorders>
              <w:top w:val="nil"/>
              <w:bottom w:val="nil"/>
            </w:tcBorders>
            <w:shd w:val="clear" w:color="auto" w:fill="auto"/>
          </w:tcPr>
          <w:p w14:paraId="0C00F375" w14:textId="77777777" w:rsidR="00215904" w:rsidRPr="00215904" w:rsidRDefault="00215904" w:rsidP="00215904">
            <w:pPr>
              <w:spacing w:before="60" w:after="60"/>
              <w:jc w:val="right"/>
              <w:rPr>
                <w:rStyle w:val="CommentReference"/>
                <w:rFonts w:asciiTheme="minorHAnsi" w:hAnsiTheme="minorHAnsi" w:cs="Helvetica"/>
                <w:noProof/>
                <w:color w:val="000000"/>
                <w:sz w:val="21"/>
                <w:szCs w:val="21"/>
              </w:rPr>
            </w:pPr>
            <w:r w:rsidRPr="00215904">
              <w:rPr>
                <w:rFonts w:asciiTheme="minorHAnsi" w:hAnsiTheme="minorHAnsi" w:cs="Helvetica"/>
                <w:noProof/>
                <w:color w:val="000000"/>
                <w:sz w:val="21"/>
                <w:szCs w:val="21"/>
              </w:rPr>
              <w:t>16 061</w:t>
            </w:r>
          </w:p>
        </w:tc>
        <w:tc>
          <w:tcPr>
            <w:tcW w:w="1247" w:type="dxa"/>
            <w:tcBorders>
              <w:top w:val="nil"/>
              <w:bottom w:val="nil"/>
            </w:tcBorders>
          </w:tcPr>
          <w:p w14:paraId="1B888D3F" w14:textId="77777777" w:rsidR="00215904" w:rsidRPr="00215904" w:rsidRDefault="006A5086" w:rsidP="0046335F">
            <w:pPr>
              <w:spacing w:before="60" w:after="60"/>
              <w:jc w:val="right"/>
              <w:rPr>
                <w:rFonts w:asciiTheme="minorHAnsi" w:hAnsiTheme="minorHAnsi" w:cs="Helvetica"/>
                <w:noProof/>
                <w:color w:val="000000"/>
                <w:sz w:val="21"/>
                <w:szCs w:val="21"/>
              </w:rPr>
            </w:pPr>
            <w:r>
              <w:rPr>
                <w:rFonts w:asciiTheme="minorHAnsi" w:hAnsiTheme="minorHAnsi" w:cs="Helvetica"/>
                <w:noProof/>
                <w:color w:val="000000"/>
                <w:sz w:val="21"/>
                <w:szCs w:val="21"/>
              </w:rPr>
              <w:t>$</w:t>
            </w:r>
            <w:r w:rsidR="0046335F">
              <w:rPr>
                <w:rFonts w:asciiTheme="minorHAnsi" w:hAnsiTheme="minorHAnsi" w:cs="Helvetica"/>
                <w:noProof/>
                <w:color w:val="000000"/>
                <w:sz w:val="21"/>
                <w:szCs w:val="21"/>
              </w:rPr>
              <w:t>21682</w:t>
            </w:r>
          </w:p>
        </w:tc>
      </w:tr>
      <w:tr w:rsidR="00215904" w:rsidRPr="003D42D5" w14:paraId="1B415990" w14:textId="77777777" w:rsidTr="006B10BD">
        <w:tc>
          <w:tcPr>
            <w:tcW w:w="7650" w:type="dxa"/>
            <w:tcBorders>
              <w:top w:val="nil"/>
              <w:bottom w:val="nil"/>
            </w:tcBorders>
            <w:shd w:val="clear" w:color="auto" w:fill="auto"/>
          </w:tcPr>
          <w:p w14:paraId="60AA5DF8" w14:textId="77777777" w:rsidR="00215904" w:rsidRPr="00215904" w:rsidRDefault="00215904" w:rsidP="00B835E5">
            <w:pPr>
              <w:pStyle w:val="ListNumber"/>
              <w:numPr>
                <w:ilvl w:val="0"/>
                <w:numId w:val="32"/>
              </w:numPr>
              <w:spacing w:before="60" w:after="60"/>
              <w:rPr>
                <w:rFonts w:asciiTheme="minorHAnsi" w:hAnsiTheme="minorHAnsi" w:cs="Helvetica"/>
                <w:b/>
                <w:bCs/>
                <w:i/>
                <w:iCs/>
                <w:noProof/>
                <w:sz w:val="21"/>
                <w:szCs w:val="21"/>
              </w:rPr>
            </w:pPr>
            <w:r w:rsidRPr="00B835E5">
              <w:rPr>
                <w:rFonts w:asciiTheme="minorHAnsi" w:hAnsiTheme="minorHAnsi" w:cs="Helvetica"/>
                <w:b/>
                <w:bCs/>
                <w:i/>
                <w:iCs/>
                <w:noProof/>
                <w:sz w:val="21"/>
                <w:szCs w:val="21"/>
              </w:rPr>
              <w:t>low complexity</w:t>
            </w:r>
            <w:r w:rsidRPr="00B835E5">
              <w:rPr>
                <w:rFonts w:asciiTheme="minorHAnsi" w:hAnsiTheme="minorHAnsi" w:cs="Helvetica"/>
                <w:noProof/>
                <w:sz w:val="21"/>
                <w:szCs w:val="21"/>
              </w:rPr>
              <w:t>, being a revised plan</w:t>
            </w:r>
            <w:r w:rsidR="00B835E5" w:rsidRPr="00B835E5">
              <w:rPr>
                <w:rFonts w:asciiTheme="minorHAnsi" w:hAnsiTheme="minorHAnsi" w:cs="Helvetica"/>
                <w:noProof/>
                <w:sz w:val="21"/>
                <w:szCs w:val="21"/>
              </w:rPr>
              <w:t xml:space="preserve"> </w:t>
            </w:r>
            <w:r w:rsidRPr="00B835E5">
              <w:rPr>
                <w:rFonts w:asciiTheme="minorHAnsi" w:hAnsiTheme="minorHAnsi" w:cs="Helvetica"/>
                <w:noProof/>
                <w:sz w:val="21"/>
                <w:szCs w:val="21"/>
              </w:rPr>
              <w:t>with a minimum of 10 years production data; or</w:t>
            </w:r>
            <w:r w:rsidR="00B835E5">
              <w:rPr>
                <w:rFonts w:asciiTheme="minorHAnsi" w:hAnsiTheme="minorHAnsi" w:cs="Helvetica"/>
                <w:noProof/>
                <w:sz w:val="21"/>
                <w:szCs w:val="21"/>
              </w:rPr>
              <w:t xml:space="preserve"> </w:t>
            </w:r>
            <w:r w:rsidRPr="00215904">
              <w:rPr>
                <w:rFonts w:asciiTheme="minorHAnsi" w:hAnsiTheme="minorHAnsi" w:cs="Helvetica"/>
                <w:noProof/>
                <w:sz w:val="21"/>
                <w:szCs w:val="21"/>
              </w:rPr>
              <w:t>where the permittee or licensee does not propose to make a significant change to development or management strategy</w:t>
            </w:r>
          </w:p>
        </w:tc>
        <w:tc>
          <w:tcPr>
            <w:tcW w:w="1134" w:type="dxa"/>
            <w:tcBorders>
              <w:top w:val="nil"/>
              <w:bottom w:val="nil"/>
            </w:tcBorders>
            <w:shd w:val="clear" w:color="auto" w:fill="auto"/>
          </w:tcPr>
          <w:p w14:paraId="02E3CE49" w14:textId="77777777" w:rsidR="00215904" w:rsidRPr="00215904" w:rsidRDefault="00215904" w:rsidP="00215904">
            <w:pPr>
              <w:spacing w:before="60" w:after="60"/>
              <w:jc w:val="right"/>
              <w:rPr>
                <w:rFonts w:asciiTheme="minorHAnsi" w:hAnsiTheme="minorHAnsi" w:cs="Helvetica"/>
                <w:noProof/>
                <w:color w:val="000000"/>
                <w:sz w:val="21"/>
                <w:szCs w:val="21"/>
              </w:rPr>
            </w:pPr>
            <w:r w:rsidRPr="00215904">
              <w:rPr>
                <w:rFonts w:asciiTheme="minorHAnsi" w:hAnsiTheme="minorHAnsi" w:cs="Helvetica"/>
                <w:noProof/>
                <w:color w:val="000000"/>
                <w:sz w:val="21"/>
                <w:szCs w:val="21"/>
              </w:rPr>
              <w:t>12 354</w:t>
            </w:r>
          </w:p>
        </w:tc>
        <w:tc>
          <w:tcPr>
            <w:tcW w:w="1247" w:type="dxa"/>
            <w:tcBorders>
              <w:top w:val="nil"/>
              <w:bottom w:val="nil"/>
            </w:tcBorders>
          </w:tcPr>
          <w:p w14:paraId="786D7C2A" w14:textId="77777777" w:rsidR="00215904" w:rsidRPr="00215904" w:rsidRDefault="006A5086" w:rsidP="00FA377D">
            <w:pPr>
              <w:spacing w:before="60" w:after="60"/>
              <w:jc w:val="right"/>
              <w:rPr>
                <w:rFonts w:asciiTheme="minorHAnsi" w:hAnsiTheme="minorHAnsi" w:cs="Helvetica"/>
                <w:noProof/>
                <w:color w:val="000000"/>
                <w:sz w:val="21"/>
                <w:szCs w:val="21"/>
              </w:rPr>
            </w:pPr>
            <w:r>
              <w:rPr>
                <w:rFonts w:asciiTheme="minorHAnsi" w:hAnsiTheme="minorHAnsi" w:cs="Helvetica"/>
                <w:noProof/>
                <w:color w:val="000000"/>
                <w:sz w:val="21"/>
                <w:szCs w:val="21"/>
              </w:rPr>
              <w:t>$</w:t>
            </w:r>
            <w:r w:rsidR="0046335F">
              <w:rPr>
                <w:rFonts w:asciiTheme="minorHAnsi" w:hAnsiTheme="minorHAnsi" w:cs="Helvetica"/>
                <w:noProof/>
                <w:color w:val="000000"/>
                <w:sz w:val="21"/>
                <w:szCs w:val="21"/>
              </w:rPr>
              <w:t>1667</w:t>
            </w:r>
            <w:r w:rsidR="00FA377D">
              <w:rPr>
                <w:rFonts w:asciiTheme="minorHAnsi" w:hAnsiTheme="minorHAnsi" w:cs="Helvetica"/>
                <w:noProof/>
                <w:color w:val="000000"/>
                <w:sz w:val="21"/>
                <w:szCs w:val="21"/>
              </w:rPr>
              <w:t>7</w:t>
            </w:r>
          </w:p>
        </w:tc>
      </w:tr>
      <w:tr w:rsidR="00215904" w:rsidRPr="003D42D5" w14:paraId="12B8EC9E" w14:textId="77777777" w:rsidTr="006B10BD">
        <w:tc>
          <w:tcPr>
            <w:tcW w:w="7650" w:type="dxa"/>
            <w:tcBorders>
              <w:top w:val="single" w:sz="4" w:space="0" w:color="auto"/>
              <w:bottom w:val="nil"/>
            </w:tcBorders>
            <w:shd w:val="clear" w:color="auto" w:fill="auto"/>
          </w:tcPr>
          <w:p w14:paraId="3515AEEC" w14:textId="77777777" w:rsidR="00215904" w:rsidRPr="00215904" w:rsidRDefault="00B835E5" w:rsidP="00B835E5">
            <w:pPr>
              <w:pStyle w:val="ListNumber"/>
              <w:spacing w:before="60" w:after="60"/>
              <w:rPr>
                <w:rFonts w:asciiTheme="minorHAnsi" w:hAnsiTheme="minorHAnsi" w:cs="Helvetica"/>
                <w:noProof/>
                <w:sz w:val="21"/>
                <w:szCs w:val="21"/>
              </w:rPr>
            </w:pPr>
            <w:r>
              <w:rPr>
                <w:rFonts w:asciiTheme="minorHAnsi" w:hAnsiTheme="minorHAnsi" w:cs="Helvetica"/>
                <w:noProof/>
                <w:sz w:val="21"/>
                <w:szCs w:val="21"/>
              </w:rPr>
              <w:t>A</w:t>
            </w:r>
            <w:r w:rsidR="00215904" w:rsidRPr="00215904">
              <w:rPr>
                <w:rFonts w:asciiTheme="minorHAnsi" w:hAnsiTheme="minorHAnsi" w:cs="Helvetica"/>
                <w:noProof/>
                <w:sz w:val="21"/>
                <w:szCs w:val="21"/>
              </w:rPr>
              <w:t xml:space="preserve">pplication for a revised </w:t>
            </w:r>
            <w:r w:rsidR="006B10BD">
              <w:rPr>
                <w:rFonts w:asciiTheme="minorHAnsi" w:hAnsiTheme="minorHAnsi" w:cs="Helvetica"/>
                <w:noProof/>
                <w:sz w:val="21"/>
                <w:szCs w:val="21"/>
              </w:rPr>
              <w:t>PSIP</w:t>
            </w:r>
            <w:r w:rsidR="00215904" w:rsidRPr="00215904">
              <w:rPr>
                <w:rFonts w:asciiTheme="minorHAnsi" w:hAnsiTheme="minorHAnsi" w:cs="Helvetica"/>
                <w:noProof/>
                <w:sz w:val="21"/>
                <w:szCs w:val="21"/>
              </w:rPr>
              <w:t xml:space="preserve"> </w:t>
            </w:r>
            <w:r>
              <w:rPr>
                <w:rFonts w:asciiTheme="minorHAnsi" w:hAnsiTheme="minorHAnsi" w:cs="Helvetica"/>
                <w:noProof/>
                <w:sz w:val="21"/>
                <w:szCs w:val="21"/>
              </w:rPr>
              <w:t>-</w:t>
            </w:r>
            <w:r w:rsidR="00215904" w:rsidRPr="00215904">
              <w:rPr>
                <w:rFonts w:asciiTheme="minorHAnsi" w:hAnsiTheme="minorHAnsi" w:cs="Helvetica"/>
                <w:noProof/>
                <w:sz w:val="21"/>
                <w:szCs w:val="21"/>
              </w:rPr>
              <w:t xml:space="preserve"> s61B(5) determined by its complexity as follows:</w:t>
            </w:r>
          </w:p>
        </w:tc>
        <w:tc>
          <w:tcPr>
            <w:tcW w:w="1134" w:type="dxa"/>
            <w:tcBorders>
              <w:top w:val="single" w:sz="4" w:space="0" w:color="auto"/>
              <w:bottom w:val="nil"/>
            </w:tcBorders>
            <w:shd w:val="clear" w:color="auto" w:fill="auto"/>
          </w:tcPr>
          <w:p w14:paraId="1BE463C3" w14:textId="77777777" w:rsidR="00215904" w:rsidRPr="00215904" w:rsidRDefault="00215904" w:rsidP="00215904">
            <w:pPr>
              <w:spacing w:before="60" w:after="60"/>
              <w:jc w:val="right"/>
              <w:rPr>
                <w:rFonts w:asciiTheme="minorHAnsi" w:hAnsiTheme="minorHAnsi" w:cs="Helvetica"/>
                <w:noProof/>
                <w:color w:val="000000"/>
                <w:sz w:val="21"/>
                <w:szCs w:val="21"/>
              </w:rPr>
            </w:pPr>
          </w:p>
        </w:tc>
        <w:tc>
          <w:tcPr>
            <w:tcW w:w="1247" w:type="dxa"/>
            <w:tcBorders>
              <w:top w:val="single" w:sz="4" w:space="0" w:color="auto"/>
              <w:bottom w:val="nil"/>
            </w:tcBorders>
          </w:tcPr>
          <w:p w14:paraId="23D3E305" w14:textId="77777777" w:rsidR="00215904" w:rsidRPr="00215904" w:rsidRDefault="00215904" w:rsidP="00215904">
            <w:pPr>
              <w:spacing w:before="60" w:after="60"/>
              <w:jc w:val="right"/>
              <w:rPr>
                <w:rFonts w:asciiTheme="minorHAnsi" w:hAnsiTheme="minorHAnsi" w:cs="Helvetica"/>
                <w:noProof/>
                <w:color w:val="000000"/>
                <w:sz w:val="21"/>
                <w:szCs w:val="21"/>
              </w:rPr>
            </w:pPr>
          </w:p>
        </w:tc>
      </w:tr>
      <w:tr w:rsidR="00215904" w:rsidRPr="003D42D5" w14:paraId="13E9D75F" w14:textId="77777777" w:rsidTr="006B10BD">
        <w:tc>
          <w:tcPr>
            <w:tcW w:w="7650" w:type="dxa"/>
            <w:tcBorders>
              <w:top w:val="nil"/>
              <w:bottom w:val="nil"/>
            </w:tcBorders>
            <w:shd w:val="clear" w:color="auto" w:fill="auto"/>
          </w:tcPr>
          <w:p w14:paraId="5B5A2CE8" w14:textId="77777777" w:rsidR="00215904" w:rsidRPr="00215904" w:rsidRDefault="00215904" w:rsidP="00B835E5">
            <w:pPr>
              <w:pStyle w:val="ListNumber"/>
              <w:numPr>
                <w:ilvl w:val="0"/>
                <w:numId w:val="32"/>
              </w:numPr>
              <w:spacing w:before="60" w:after="60"/>
              <w:rPr>
                <w:rFonts w:asciiTheme="minorHAnsi" w:hAnsiTheme="minorHAnsi" w:cs="Helvetica"/>
                <w:noProof/>
                <w:sz w:val="21"/>
                <w:szCs w:val="21"/>
              </w:rPr>
            </w:pPr>
            <w:r w:rsidRPr="00215904">
              <w:rPr>
                <w:rFonts w:asciiTheme="minorHAnsi" w:hAnsiTheme="minorHAnsi" w:cs="Helvetica"/>
                <w:b/>
                <w:bCs/>
                <w:i/>
                <w:iCs/>
                <w:noProof/>
                <w:sz w:val="21"/>
                <w:szCs w:val="21"/>
              </w:rPr>
              <w:t>high complexity</w:t>
            </w:r>
            <w:r w:rsidRPr="00215904">
              <w:rPr>
                <w:rFonts w:asciiTheme="minorHAnsi" w:hAnsiTheme="minorHAnsi" w:cs="Helvetica"/>
                <w:noProof/>
                <w:sz w:val="21"/>
                <w:szCs w:val="21"/>
              </w:rPr>
              <w:t>, includes a new petroleum processing facility;</w:t>
            </w:r>
          </w:p>
        </w:tc>
        <w:tc>
          <w:tcPr>
            <w:tcW w:w="1134" w:type="dxa"/>
            <w:tcBorders>
              <w:top w:val="nil"/>
              <w:bottom w:val="nil"/>
            </w:tcBorders>
            <w:shd w:val="clear" w:color="auto" w:fill="auto"/>
          </w:tcPr>
          <w:p w14:paraId="2D79B35F" w14:textId="77777777" w:rsidR="00215904" w:rsidRPr="00215904" w:rsidRDefault="00215904" w:rsidP="00215904">
            <w:pPr>
              <w:spacing w:before="60" w:after="60"/>
              <w:jc w:val="right"/>
              <w:rPr>
                <w:rStyle w:val="CommentReference"/>
                <w:rFonts w:asciiTheme="minorHAnsi" w:hAnsiTheme="minorHAnsi" w:cs="Helvetica"/>
                <w:noProof/>
                <w:color w:val="000000"/>
                <w:sz w:val="21"/>
                <w:szCs w:val="21"/>
              </w:rPr>
            </w:pPr>
            <w:r w:rsidRPr="00215904">
              <w:rPr>
                <w:rFonts w:asciiTheme="minorHAnsi" w:hAnsiTheme="minorHAnsi"/>
                <w:sz w:val="21"/>
                <w:szCs w:val="21"/>
              </w:rPr>
              <w:t>7 944</w:t>
            </w:r>
          </w:p>
        </w:tc>
        <w:tc>
          <w:tcPr>
            <w:tcW w:w="1247" w:type="dxa"/>
            <w:tcBorders>
              <w:top w:val="nil"/>
              <w:bottom w:val="nil"/>
            </w:tcBorders>
          </w:tcPr>
          <w:p w14:paraId="30E31D5A" w14:textId="77777777" w:rsidR="00215904" w:rsidRPr="00215904" w:rsidRDefault="006A5086" w:rsidP="003E2B8D">
            <w:pPr>
              <w:spacing w:before="60" w:after="60"/>
              <w:jc w:val="right"/>
              <w:rPr>
                <w:rFonts w:asciiTheme="minorHAnsi" w:hAnsiTheme="minorHAnsi"/>
                <w:sz w:val="21"/>
                <w:szCs w:val="21"/>
              </w:rPr>
            </w:pPr>
            <w:r>
              <w:rPr>
                <w:rFonts w:asciiTheme="minorHAnsi" w:hAnsiTheme="minorHAnsi"/>
                <w:sz w:val="21"/>
                <w:szCs w:val="21"/>
              </w:rPr>
              <w:t xml:space="preserve">$10 </w:t>
            </w:r>
            <w:r w:rsidR="003E2B8D">
              <w:rPr>
                <w:rFonts w:asciiTheme="minorHAnsi" w:hAnsiTheme="minorHAnsi"/>
                <w:sz w:val="21"/>
                <w:szCs w:val="21"/>
              </w:rPr>
              <w:t>724</w:t>
            </w:r>
          </w:p>
        </w:tc>
      </w:tr>
      <w:tr w:rsidR="00215904" w:rsidRPr="003D42D5" w14:paraId="36583953" w14:textId="77777777" w:rsidTr="006B10BD">
        <w:tc>
          <w:tcPr>
            <w:tcW w:w="7650" w:type="dxa"/>
            <w:tcBorders>
              <w:top w:val="nil"/>
              <w:bottom w:val="nil"/>
            </w:tcBorders>
            <w:shd w:val="clear" w:color="auto" w:fill="auto"/>
          </w:tcPr>
          <w:p w14:paraId="0CF80A8B" w14:textId="77777777" w:rsidR="00215904" w:rsidRPr="00215904" w:rsidRDefault="00215904" w:rsidP="00B835E5">
            <w:pPr>
              <w:pStyle w:val="ListNumber"/>
              <w:numPr>
                <w:ilvl w:val="0"/>
                <w:numId w:val="32"/>
              </w:numPr>
              <w:spacing w:before="60" w:after="60"/>
              <w:rPr>
                <w:rFonts w:asciiTheme="minorHAnsi" w:hAnsiTheme="minorHAnsi" w:cs="Helvetica"/>
                <w:b/>
                <w:bCs/>
                <w:i/>
                <w:iCs/>
                <w:noProof/>
                <w:sz w:val="21"/>
                <w:szCs w:val="21"/>
              </w:rPr>
            </w:pPr>
            <w:r w:rsidRPr="00B835E5">
              <w:rPr>
                <w:rFonts w:asciiTheme="minorHAnsi" w:hAnsiTheme="minorHAnsi" w:cs="Helvetica"/>
                <w:b/>
                <w:bCs/>
                <w:i/>
                <w:iCs/>
                <w:noProof/>
                <w:sz w:val="21"/>
                <w:szCs w:val="21"/>
              </w:rPr>
              <w:t>medium complexity</w:t>
            </w:r>
            <w:r w:rsidRPr="00B835E5">
              <w:rPr>
                <w:rFonts w:asciiTheme="minorHAnsi" w:hAnsiTheme="minorHAnsi" w:cs="Helvetica"/>
                <w:noProof/>
                <w:sz w:val="21"/>
                <w:szCs w:val="21"/>
              </w:rPr>
              <w:t xml:space="preserve">, is not high complexity; and </w:t>
            </w:r>
            <w:r w:rsidRPr="00215904">
              <w:rPr>
                <w:rFonts w:asciiTheme="minorHAnsi" w:hAnsiTheme="minorHAnsi" w:cs="Helvetica"/>
                <w:noProof/>
                <w:sz w:val="21"/>
                <w:szCs w:val="21"/>
              </w:rPr>
              <w:t>includes the development of new well site facilities and pipelines;</w:t>
            </w:r>
          </w:p>
        </w:tc>
        <w:tc>
          <w:tcPr>
            <w:tcW w:w="1134" w:type="dxa"/>
            <w:tcBorders>
              <w:top w:val="nil"/>
              <w:bottom w:val="nil"/>
            </w:tcBorders>
            <w:shd w:val="clear" w:color="auto" w:fill="auto"/>
          </w:tcPr>
          <w:p w14:paraId="22B91E5C" w14:textId="77777777" w:rsidR="00215904" w:rsidRPr="00215904" w:rsidRDefault="00215904" w:rsidP="00215904">
            <w:pPr>
              <w:spacing w:before="60" w:after="60"/>
              <w:jc w:val="right"/>
              <w:rPr>
                <w:rFonts w:asciiTheme="minorHAnsi" w:hAnsiTheme="minorHAnsi"/>
                <w:sz w:val="21"/>
                <w:szCs w:val="21"/>
              </w:rPr>
            </w:pPr>
            <w:r w:rsidRPr="00215904">
              <w:rPr>
                <w:rFonts w:asciiTheme="minorHAnsi" w:hAnsiTheme="minorHAnsi"/>
                <w:sz w:val="21"/>
                <w:szCs w:val="21"/>
              </w:rPr>
              <w:t>5 435</w:t>
            </w:r>
          </w:p>
        </w:tc>
        <w:tc>
          <w:tcPr>
            <w:tcW w:w="1247" w:type="dxa"/>
            <w:tcBorders>
              <w:top w:val="nil"/>
              <w:bottom w:val="nil"/>
            </w:tcBorders>
          </w:tcPr>
          <w:p w14:paraId="32CE7B2D" w14:textId="77777777" w:rsidR="00215904" w:rsidRPr="00215904" w:rsidRDefault="006A5086" w:rsidP="005100DE">
            <w:pPr>
              <w:spacing w:before="60" w:after="60"/>
              <w:jc w:val="right"/>
              <w:rPr>
                <w:rFonts w:asciiTheme="minorHAnsi" w:hAnsiTheme="minorHAnsi"/>
                <w:sz w:val="21"/>
                <w:szCs w:val="21"/>
              </w:rPr>
            </w:pPr>
            <w:r>
              <w:rPr>
                <w:rFonts w:asciiTheme="minorHAnsi" w:hAnsiTheme="minorHAnsi"/>
                <w:sz w:val="21"/>
                <w:szCs w:val="21"/>
              </w:rPr>
              <w:t>$</w:t>
            </w:r>
            <w:r w:rsidR="005100DE">
              <w:rPr>
                <w:rFonts w:asciiTheme="minorHAnsi" w:hAnsiTheme="minorHAnsi"/>
                <w:sz w:val="21"/>
                <w:szCs w:val="21"/>
              </w:rPr>
              <w:t>7337</w:t>
            </w:r>
          </w:p>
        </w:tc>
      </w:tr>
      <w:tr w:rsidR="00215904" w:rsidRPr="003D42D5" w14:paraId="36CF199F" w14:textId="77777777" w:rsidTr="006B10BD">
        <w:tc>
          <w:tcPr>
            <w:tcW w:w="7650" w:type="dxa"/>
            <w:tcBorders>
              <w:top w:val="nil"/>
              <w:bottom w:val="nil"/>
            </w:tcBorders>
            <w:shd w:val="clear" w:color="auto" w:fill="auto"/>
          </w:tcPr>
          <w:p w14:paraId="719C0608" w14:textId="77777777" w:rsidR="00215904" w:rsidRPr="00215904" w:rsidRDefault="00215904" w:rsidP="00215904">
            <w:pPr>
              <w:pStyle w:val="ListNumber"/>
              <w:numPr>
                <w:ilvl w:val="0"/>
                <w:numId w:val="32"/>
              </w:numPr>
              <w:spacing w:before="60" w:after="60"/>
              <w:rPr>
                <w:rFonts w:asciiTheme="minorHAnsi" w:hAnsiTheme="minorHAnsi" w:cs="Helvetica"/>
                <w:b/>
                <w:bCs/>
                <w:i/>
                <w:iCs/>
                <w:noProof/>
                <w:sz w:val="21"/>
                <w:szCs w:val="21"/>
              </w:rPr>
            </w:pPr>
            <w:r w:rsidRPr="00215904">
              <w:rPr>
                <w:rFonts w:asciiTheme="minorHAnsi" w:hAnsiTheme="minorHAnsi" w:cs="Helvetica"/>
                <w:b/>
                <w:bCs/>
                <w:i/>
                <w:iCs/>
                <w:noProof/>
                <w:sz w:val="21"/>
                <w:szCs w:val="21"/>
              </w:rPr>
              <w:t>low complexity</w:t>
            </w:r>
            <w:r w:rsidRPr="00215904">
              <w:rPr>
                <w:rFonts w:asciiTheme="minorHAnsi" w:hAnsiTheme="minorHAnsi" w:cs="Helvetica"/>
                <w:noProof/>
                <w:sz w:val="21"/>
                <w:szCs w:val="21"/>
              </w:rPr>
              <w:t>, being any other revised plan</w:t>
            </w:r>
          </w:p>
        </w:tc>
        <w:tc>
          <w:tcPr>
            <w:tcW w:w="1134" w:type="dxa"/>
            <w:tcBorders>
              <w:top w:val="nil"/>
              <w:bottom w:val="nil"/>
            </w:tcBorders>
            <w:shd w:val="clear" w:color="auto" w:fill="auto"/>
          </w:tcPr>
          <w:p w14:paraId="09A05BCB" w14:textId="77777777" w:rsidR="00215904" w:rsidRPr="00215904" w:rsidRDefault="00215904" w:rsidP="00215904">
            <w:pPr>
              <w:spacing w:before="60" w:after="60"/>
              <w:jc w:val="right"/>
              <w:rPr>
                <w:rFonts w:asciiTheme="minorHAnsi" w:hAnsiTheme="minorHAnsi"/>
                <w:sz w:val="21"/>
                <w:szCs w:val="21"/>
              </w:rPr>
            </w:pPr>
            <w:r w:rsidRPr="00215904">
              <w:rPr>
                <w:rFonts w:asciiTheme="minorHAnsi" w:hAnsiTheme="minorHAnsi"/>
                <w:sz w:val="21"/>
                <w:szCs w:val="21"/>
              </w:rPr>
              <w:t>4 181</w:t>
            </w:r>
          </w:p>
        </w:tc>
        <w:tc>
          <w:tcPr>
            <w:tcW w:w="1247" w:type="dxa"/>
            <w:tcBorders>
              <w:top w:val="nil"/>
              <w:bottom w:val="nil"/>
            </w:tcBorders>
          </w:tcPr>
          <w:p w14:paraId="67EE2A06" w14:textId="77777777" w:rsidR="00215904" w:rsidRPr="00215904" w:rsidRDefault="006A5086" w:rsidP="005100DE">
            <w:pPr>
              <w:spacing w:before="60" w:after="60"/>
              <w:jc w:val="right"/>
              <w:rPr>
                <w:rFonts w:asciiTheme="minorHAnsi" w:hAnsiTheme="minorHAnsi"/>
                <w:sz w:val="21"/>
                <w:szCs w:val="21"/>
              </w:rPr>
            </w:pPr>
            <w:r>
              <w:rPr>
                <w:rFonts w:asciiTheme="minorHAnsi" w:hAnsiTheme="minorHAnsi"/>
                <w:sz w:val="21"/>
                <w:szCs w:val="21"/>
              </w:rPr>
              <w:t>$5</w:t>
            </w:r>
            <w:r w:rsidR="005100DE">
              <w:rPr>
                <w:rFonts w:asciiTheme="minorHAnsi" w:hAnsiTheme="minorHAnsi"/>
                <w:sz w:val="21"/>
                <w:szCs w:val="21"/>
              </w:rPr>
              <w:t>644</w:t>
            </w:r>
          </w:p>
        </w:tc>
      </w:tr>
      <w:tr w:rsidR="00215904" w:rsidRPr="003D42D5" w14:paraId="0C2DF918" w14:textId="77777777" w:rsidTr="006B10BD">
        <w:tblPrEx>
          <w:tblBorders>
            <w:top w:val="single" w:sz="4" w:space="0" w:color="auto"/>
            <w:bottom w:val="single" w:sz="4" w:space="0" w:color="auto"/>
          </w:tblBorders>
        </w:tblPrEx>
        <w:tc>
          <w:tcPr>
            <w:tcW w:w="7650" w:type="dxa"/>
            <w:shd w:val="clear" w:color="auto" w:fill="auto"/>
          </w:tcPr>
          <w:p w14:paraId="4216C2C0" w14:textId="77777777" w:rsidR="00215904" w:rsidRPr="00215904" w:rsidRDefault="00215904" w:rsidP="00215904">
            <w:pPr>
              <w:pStyle w:val="ListNumber"/>
              <w:spacing w:before="60" w:after="60"/>
              <w:rPr>
                <w:rFonts w:asciiTheme="minorHAnsi" w:hAnsiTheme="minorHAnsi" w:cs="Helvetica"/>
                <w:noProof/>
                <w:sz w:val="21"/>
                <w:szCs w:val="21"/>
              </w:rPr>
            </w:pPr>
            <w:r w:rsidRPr="00215904">
              <w:rPr>
                <w:rFonts w:asciiTheme="minorHAnsi" w:hAnsiTheme="minorHAnsi" w:cs="Helvetica"/>
                <w:noProof/>
                <w:sz w:val="21"/>
                <w:szCs w:val="21"/>
              </w:rPr>
              <w:t>The fee for an application to vary a condition of an approved plan under section 61C(3)(b) of the Act</w:t>
            </w:r>
          </w:p>
        </w:tc>
        <w:tc>
          <w:tcPr>
            <w:tcW w:w="1134" w:type="dxa"/>
            <w:shd w:val="clear" w:color="auto" w:fill="auto"/>
          </w:tcPr>
          <w:p w14:paraId="7E3A1F5B" w14:textId="77777777" w:rsidR="00215904" w:rsidRPr="00215904" w:rsidRDefault="00215904" w:rsidP="00215904">
            <w:pPr>
              <w:spacing w:before="60" w:after="60"/>
              <w:jc w:val="right"/>
              <w:rPr>
                <w:rFonts w:asciiTheme="minorHAnsi" w:hAnsiTheme="minorHAnsi" w:cs="Helvetica"/>
                <w:noProof/>
                <w:color w:val="000000"/>
                <w:sz w:val="21"/>
                <w:szCs w:val="21"/>
              </w:rPr>
            </w:pPr>
            <w:r w:rsidRPr="00215904">
              <w:rPr>
                <w:rFonts w:asciiTheme="minorHAnsi" w:hAnsiTheme="minorHAnsi" w:cs="Helvetica"/>
                <w:noProof/>
                <w:color w:val="000000"/>
                <w:sz w:val="21"/>
                <w:szCs w:val="21"/>
              </w:rPr>
              <w:t>4 386</w:t>
            </w:r>
          </w:p>
        </w:tc>
        <w:tc>
          <w:tcPr>
            <w:tcW w:w="1247" w:type="dxa"/>
          </w:tcPr>
          <w:p w14:paraId="16D1DD92" w14:textId="77777777" w:rsidR="00215904" w:rsidRPr="00215904" w:rsidRDefault="006A5086" w:rsidP="005100DE">
            <w:pPr>
              <w:spacing w:before="60" w:after="60"/>
              <w:jc w:val="right"/>
              <w:rPr>
                <w:rFonts w:asciiTheme="minorHAnsi" w:hAnsiTheme="minorHAnsi" w:cs="Helvetica"/>
                <w:noProof/>
                <w:color w:val="000000"/>
                <w:sz w:val="21"/>
                <w:szCs w:val="21"/>
              </w:rPr>
            </w:pPr>
            <w:r>
              <w:rPr>
                <w:rFonts w:asciiTheme="minorHAnsi" w:hAnsiTheme="minorHAnsi" w:cs="Helvetica"/>
                <w:noProof/>
                <w:color w:val="000000"/>
                <w:sz w:val="21"/>
                <w:szCs w:val="21"/>
              </w:rPr>
              <w:t>$5</w:t>
            </w:r>
            <w:r w:rsidR="005100DE">
              <w:rPr>
                <w:rFonts w:asciiTheme="minorHAnsi" w:hAnsiTheme="minorHAnsi" w:cs="Helvetica"/>
                <w:noProof/>
                <w:color w:val="000000"/>
                <w:sz w:val="21"/>
                <w:szCs w:val="21"/>
              </w:rPr>
              <w:t>921</w:t>
            </w:r>
          </w:p>
        </w:tc>
      </w:tr>
    </w:tbl>
    <w:p w14:paraId="5AB9B308" w14:textId="77777777" w:rsidR="00AF67FA" w:rsidRPr="000D1FAA" w:rsidRDefault="00AF67FA" w:rsidP="00DE7CBF">
      <w:pPr>
        <w:pStyle w:val="NewPartHeading"/>
        <w:rPr>
          <w:sz w:val="24"/>
          <w:szCs w:val="24"/>
        </w:rPr>
      </w:pPr>
      <w:bookmarkStart w:id="12" w:name="_Toc120784056"/>
      <w:r w:rsidRPr="000D1FAA">
        <w:rPr>
          <w:sz w:val="24"/>
          <w:szCs w:val="24"/>
        </w:rPr>
        <w:t>Fees for environment management plans</w:t>
      </w:r>
      <w:bookmarkEnd w:id="12"/>
      <w:r w:rsidR="001C5831" w:rsidRPr="001C5831">
        <w:rPr>
          <w:sz w:val="24"/>
          <w:szCs w:val="24"/>
        </w:rPr>
        <w:t xml:space="preserve"> </w:t>
      </w:r>
      <w:r w:rsidR="001C5831">
        <w:rPr>
          <w:sz w:val="24"/>
          <w:szCs w:val="24"/>
        </w:rPr>
        <w:t>(New Schedule 1B)</w:t>
      </w:r>
    </w:p>
    <w:p w14:paraId="21162548" w14:textId="77777777" w:rsidR="00F16A8C" w:rsidRPr="00FA377D" w:rsidRDefault="00F16A8C" w:rsidP="00FA377D">
      <w:r>
        <w:t>The fee</w:t>
      </w:r>
      <w:r w:rsidR="004E612D" w:rsidRPr="004E612D">
        <w:t xml:space="preserve"> for</w:t>
      </w:r>
      <w:r>
        <w:t xml:space="preserve"> assessing an EMP</w:t>
      </w:r>
      <w:r w:rsidR="004E612D" w:rsidRPr="004E612D">
        <w:t xml:space="preserve"> </w:t>
      </w:r>
      <w:r>
        <w:t>is</w:t>
      </w:r>
      <w:r w:rsidR="004E612D" w:rsidRPr="004E612D">
        <w:t xml:space="preserve"> based on </w:t>
      </w:r>
      <w:r w:rsidR="004E612D" w:rsidRPr="00864CC0">
        <w:t>complexity</w:t>
      </w:r>
      <w:r>
        <w:t xml:space="preserve">. The fee will </w:t>
      </w:r>
      <w:r w:rsidR="004E612D" w:rsidRPr="00864CC0">
        <w:t xml:space="preserve">vary </w:t>
      </w:r>
      <w:r w:rsidR="004E612D" w:rsidRPr="004E612D">
        <w:t>according</w:t>
      </w:r>
      <w:r w:rsidR="004E612D" w:rsidRPr="00864CC0">
        <w:t xml:space="preserve"> </w:t>
      </w:r>
      <w:r w:rsidR="004E612D" w:rsidRPr="004E612D">
        <w:t>to</w:t>
      </w:r>
      <w:r w:rsidR="004E612D" w:rsidRPr="00864CC0">
        <w:t xml:space="preserve"> the number and location of activities proposed.</w:t>
      </w:r>
      <w:r>
        <w:t xml:space="preserve"> </w:t>
      </w:r>
      <w:r w:rsidR="000B0147" w:rsidRPr="003D42D5">
        <w:t xml:space="preserve">The fee for a </w:t>
      </w:r>
      <w:r w:rsidR="000B0147">
        <w:t>prop</w:t>
      </w:r>
      <w:r w:rsidR="00FA377D">
        <w:t>os</w:t>
      </w:r>
      <w:r w:rsidR="000B0147">
        <w:t xml:space="preserve">ed </w:t>
      </w:r>
      <w:r w:rsidR="000B0147" w:rsidRPr="003D42D5">
        <w:t xml:space="preserve">revision of </w:t>
      </w:r>
      <w:r w:rsidR="00FA377D">
        <w:t xml:space="preserve">an </w:t>
      </w:r>
      <w:r w:rsidR="000B0147">
        <w:t>EMP</w:t>
      </w:r>
      <w:r w:rsidR="000B0147" w:rsidRPr="003D42D5">
        <w:t xml:space="preserve"> is the same as the fee for the approval of an </w:t>
      </w:r>
      <w:r w:rsidR="00FA377D">
        <w:t>EMP</w:t>
      </w:r>
      <w:r w:rsidR="000B0147" w:rsidRPr="003D42D5">
        <w:t>.</w:t>
      </w:r>
      <w:r w:rsidR="00FA377D">
        <w:t xml:space="preserve"> </w:t>
      </w:r>
      <w:r w:rsidR="004E612D">
        <w:t xml:space="preserve">The fee for an EMP </w:t>
      </w:r>
      <w:r w:rsidR="000B0147">
        <w:t xml:space="preserve">application </w:t>
      </w:r>
      <w:r w:rsidR="004E612D">
        <w:t>has two components</w:t>
      </w:r>
      <w:r w:rsidR="00FA377D">
        <w:t>, being a b</w:t>
      </w:r>
      <w:r w:rsidRPr="00FA377D">
        <w:t>ase fee</w:t>
      </w:r>
      <w:r w:rsidR="00FA377D">
        <w:t xml:space="preserve"> and an </w:t>
      </w:r>
      <w:r w:rsidRPr="00FA377D">
        <w:t xml:space="preserve">assessment rating </w:t>
      </w:r>
      <w:r w:rsidR="00FA377D">
        <w:t xml:space="preserve">which is </w:t>
      </w:r>
      <w:r w:rsidRPr="00FA377D">
        <w:t xml:space="preserve">multiplied by </w:t>
      </w:r>
      <w:r w:rsidR="00FA377D">
        <w:t xml:space="preserve">a </w:t>
      </w:r>
      <w:r w:rsidRPr="00FA377D">
        <w:t>unit value</w:t>
      </w:r>
      <w:r w:rsidR="00FA377D">
        <w:t>.</w:t>
      </w:r>
    </w:p>
    <w:p w14:paraId="69A0F9CB" w14:textId="1409BF11" w:rsidR="00F16A8C" w:rsidRDefault="000B0147" w:rsidP="00F16A8C">
      <w:r>
        <w:t xml:space="preserve">These figures are determined by </w:t>
      </w:r>
      <w:r w:rsidR="00F16A8C">
        <w:t>Schedule 1B of the</w:t>
      </w:r>
      <w:r w:rsidR="0061381B">
        <w:t xml:space="preserve"> </w:t>
      </w:r>
      <w:r w:rsidR="0061381B" w:rsidRPr="00976837">
        <w:t>Petroleum Regulations</w:t>
      </w:r>
      <w:r w:rsidR="00F16A8C">
        <w:t>:</w:t>
      </w:r>
    </w:p>
    <w:p w14:paraId="5F9BDB41" w14:textId="77777777" w:rsidR="004E612D" w:rsidRDefault="00F16A8C" w:rsidP="004E612D">
      <w:pPr>
        <w:pStyle w:val="ListParagraph"/>
        <w:numPr>
          <w:ilvl w:val="0"/>
          <w:numId w:val="36"/>
        </w:numPr>
      </w:pPr>
      <w:r w:rsidRPr="009B5AF9">
        <w:rPr>
          <w:b/>
        </w:rPr>
        <w:t>B</w:t>
      </w:r>
      <w:r w:rsidR="004E612D" w:rsidRPr="004E612D">
        <w:rPr>
          <w:b/>
        </w:rPr>
        <w:t>ase fee</w:t>
      </w:r>
      <w:r w:rsidR="004E612D">
        <w:t xml:space="preserve"> of 28 047 revenue units; and </w:t>
      </w:r>
    </w:p>
    <w:p w14:paraId="793725C6" w14:textId="77777777" w:rsidR="00F16A8C" w:rsidRDefault="00F16A8C" w:rsidP="004E612D">
      <w:pPr>
        <w:pStyle w:val="ListParagraph"/>
        <w:numPr>
          <w:ilvl w:val="0"/>
          <w:numId w:val="36"/>
        </w:numPr>
      </w:pPr>
      <w:r w:rsidRPr="009B5AF9">
        <w:rPr>
          <w:b/>
          <w:noProof/>
        </w:rPr>
        <w:t>A</w:t>
      </w:r>
      <w:r w:rsidR="004E612D" w:rsidRPr="004E612D">
        <w:rPr>
          <w:b/>
          <w:noProof/>
        </w:rPr>
        <w:t>ssessment ratings</w:t>
      </w:r>
      <w:r w:rsidR="004E612D" w:rsidRPr="003D42D5">
        <w:rPr>
          <w:noProof/>
        </w:rPr>
        <w:t xml:space="preserve"> for each regulated activities </w:t>
      </w:r>
      <w:r>
        <w:rPr>
          <w:noProof/>
        </w:rPr>
        <w:t>proposed in the</w:t>
      </w:r>
      <w:r w:rsidR="004E612D" w:rsidRPr="003D42D5">
        <w:rPr>
          <w:noProof/>
        </w:rPr>
        <w:t xml:space="preserve"> </w:t>
      </w:r>
      <w:r w:rsidR="004E612D">
        <w:rPr>
          <w:noProof/>
        </w:rPr>
        <w:t>EMP</w:t>
      </w:r>
      <w:r w:rsidR="004E612D" w:rsidRPr="003D42D5">
        <w:rPr>
          <w:noProof/>
        </w:rPr>
        <w:t xml:space="preserve"> relates</w:t>
      </w:r>
      <w:r>
        <w:rPr>
          <w:noProof/>
        </w:rPr>
        <w:t xml:space="preserve"> (see table below);</w:t>
      </w:r>
    </w:p>
    <w:p w14:paraId="53B122FA" w14:textId="77777777" w:rsidR="00AF67FA" w:rsidRPr="003D42D5" w:rsidRDefault="00F16A8C" w:rsidP="004E612D">
      <w:pPr>
        <w:pStyle w:val="ListParagraph"/>
        <w:numPr>
          <w:ilvl w:val="0"/>
          <w:numId w:val="36"/>
        </w:numPr>
      </w:pPr>
      <w:r w:rsidRPr="00F16A8C">
        <w:rPr>
          <w:b/>
        </w:rPr>
        <w:t>U</w:t>
      </w:r>
      <w:r w:rsidR="00AF67FA" w:rsidRPr="00F16A8C">
        <w:rPr>
          <w:b/>
        </w:rPr>
        <w:t>nit value</w:t>
      </w:r>
      <w:r w:rsidR="00AF67FA" w:rsidRPr="004E612D">
        <w:t xml:space="preserve"> </w:t>
      </w:r>
      <w:r w:rsidR="004E612D">
        <w:t>of</w:t>
      </w:r>
      <w:r w:rsidR="00AF67FA" w:rsidRPr="003D42D5">
        <w:t xml:space="preserve"> 2 104 revenue units.</w:t>
      </w:r>
    </w:p>
    <w:p w14:paraId="4D97A903" w14:textId="77777777" w:rsidR="004C5E72" w:rsidRPr="003D42D5" w:rsidRDefault="004C5E72" w:rsidP="004C5E72">
      <w:pPr>
        <w:pStyle w:val="Sectiontext"/>
        <w:spacing w:before="240"/>
        <w:ind w:left="0"/>
        <w:rPr>
          <w:b/>
        </w:rPr>
      </w:pPr>
      <w:r w:rsidRPr="003D42D5">
        <w:rPr>
          <w:b/>
        </w:rPr>
        <w:t>Table</w:t>
      </w:r>
      <w:r w:rsidR="00B7674D">
        <w:rPr>
          <w:b/>
        </w:rPr>
        <w:t xml:space="preserve"> 3: </w:t>
      </w:r>
      <w:r w:rsidR="00D44F90">
        <w:rPr>
          <w:b/>
        </w:rPr>
        <w:t>Assessment ratings for activity categories</w:t>
      </w:r>
    </w:p>
    <w:tbl>
      <w:tblPr>
        <w:tblW w:w="9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7"/>
        <w:gridCol w:w="1424"/>
      </w:tblGrid>
      <w:tr w:rsidR="004C5E72" w:rsidRPr="003D42D5" w14:paraId="2433B471" w14:textId="77777777" w:rsidTr="00743E0C">
        <w:tc>
          <w:tcPr>
            <w:tcW w:w="8217" w:type="dxa"/>
            <w:shd w:val="clear" w:color="auto" w:fill="BFBFBF"/>
            <w:vAlign w:val="center"/>
          </w:tcPr>
          <w:p w14:paraId="4E3BA9E9" w14:textId="77777777" w:rsidR="004C5E72" w:rsidRPr="000B0147" w:rsidRDefault="004C5E72" w:rsidP="00743E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center"/>
              <w:rPr>
                <w:rFonts w:asciiTheme="minorHAnsi" w:hAnsiTheme="minorHAnsi" w:cs="Helvetica"/>
                <w:b/>
                <w:noProof/>
                <w:sz w:val="21"/>
                <w:szCs w:val="21"/>
              </w:rPr>
            </w:pPr>
            <w:r w:rsidRPr="000B0147">
              <w:rPr>
                <w:rFonts w:asciiTheme="minorHAnsi" w:hAnsiTheme="minorHAnsi" w:cs="Helvetica"/>
                <w:b/>
                <w:noProof/>
                <w:sz w:val="21"/>
                <w:szCs w:val="21"/>
              </w:rPr>
              <w:t>Activity category</w:t>
            </w:r>
          </w:p>
        </w:tc>
        <w:tc>
          <w:tcPr>
            <w:tcW w:w="1424" w:type="dxa"/>
            <w:shd w:val="clear" w:color="auto" w:fill="BFBFBF"/>
          </w:tcPr>
          <w:p w14:paraId="61F236F8" w14:textId="77777777" w:rsidR="004C5E72" w:rsidRPr="000B0147" w:rsidRDefault="004C5E72" w:rsidP="000B014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center"/>
              <w:rPr>
                <w:rFonts w:asciiTheme="minorHAnsi" w:hAnsiTheme="minorHAnsi" w:cs="Helvetica"/>
                <w:b/>
                <w:noProof/>
                <w:sz w:val="21"/>
                <w:szCs w:val="21"/>
              </w:rPr>
            </w:pPr>
            <w:r w:rsidRPr="000B0147">
              <w:rPr>
                <w:rFonts w:asciiTheme="minorHAnsi" w:hAnsiTheme="minorHAnsi" w:cs="Helvetica"/>
                <w:b/>
                <w:noProof/>
                <w:sz w:val="21"/>
                <w:szCs w:val="21"/>
              </w:rPr>
              <w:t>Assessment rating</w:t>
            </w:r>
          </w:p>
        </w:tc>
      </w:tr>
      <w:tr w:rsidR="004C5E72" w:rsidRPr="003D42D5" w14:paraId="3C507F5A" w14:textId="77777777" w:rsidTr="000B0147">
        <w:tc>
          <w:tcPr>
            <w:tcW w:w="8217" w:type="dxa"/>
            <w:shd w:val="clear" w:color="auto" w:fill="auto"/>
          </w:tcPr>
          <w:p w14:paraId="6E9E1F8D" w14:textId="77777777" w:rsidR="004C5E72" w:rsidRPr="000B0147" w:rsidRDefault="004C5E72" w:rsidP="000B0147">
            <w:pPr>
              <w:widowControl w:val="0"/>
              <w:spacing w:before="60" w:after="60"/>
              <w:rPr>
                <w:rFonts w:cs="Helvetica"/>
                <w:noProof/>
                <w:sz w:val="21"/>
                <w:szCs w:val="21"/>
              </w:rPr>
            </w:pPr>
            <w:r w:rsidRPr="000B0147">
              <w:rPr>
                <w:rFonts w:cs="Helvetica"/>
                <w:noProof/>
                <w:sz w:val="21"/>
                <w:szCs w:val="21"/>
              </w:rPr>
              <w:t>Land clearing (any purpose) and earthworks (incl</w:t>
            </w:r>
            <w:r w:rsidR="000B0147">
              <w:rPr>
                <w:rFonts w:cs="Helvetica"/>
                <w:noProof/>
                <w:sz w:val="21"/>
                <w:szCs w:val="21"/>
              </w:rPr>
              <w:t xml:space="preserve"> cutting, filling, excavating, </w:t>
            </w:r>
            <w:r w:rsidRPr="000B0147">
              <w:rPr>
                <w:rFonts w:cs="Helvetica"/>
                <w:noProof/>
                <w:sz w:val="21"/>
                <w:szCs w:val="21"/>
              </w:rPr>
              <w:t>trenching)</w:t>
            </w:r>
          </w:p>
        </w:tc>
        <w:tc>
          <w:tcPr>
            <w:tcW w:w="1424" w:type="dxa"/>
            <w:shd w:val="clear" w:color="auto" w:fill="auto"/>
            <w:vAlign w:val="center"/>
          </w:tcPr>
          <w:p w14:paraId="432D4F85" w14:textId="77777777" w:rsidR="004C5E72" w:rsidRPr="000B0147" w:rsidRDefault="004C5E72" w:rsidP="004C5E72">
            <w:pPr>
              <w:widowControl w:val="0"/>
              <w:spacing w:before="60" w:after="60"/>
              <w:jc w:val="center"/>
              <w:rPr>
                <w:rFonts w:cs="Helvetica"/>
                <w:noProof/>
                <w:sz w:val="21"/>
                <w:szCs w:val="21"/>
              </w:rPr>
            </w:pPr>
            <w:r w:rsidRPr="000B0147">
              <w:rPr>
                <w:rFonts w:cs="Helvetica"/>
                <w:noProof/>
                <w:sz w:val="21"/>
                <w:szCs w:val="21"/>
              </w:rPr>
              <w:t>2</w:t>
            </w:r>
          </w:p>
        </w:tc>
      </w:tr>
      <w:tr w:rsidR="004C5E72" w:rsidRPr="003D42D5" w14:paraId="702465AF" w14:textId="77777777" w:rsidTr="000B0147">
        <w:tc>
          <w:tcPr>
            <w:tcW w:w="8217" w:type="dxa"/>
            <w:tcBorders>
              <w:bottom w:val="single" w:sz="4" w:space="0" w:color="auto"/>
            </w:tcBorders>
            <w:shd w:val="clear" w:color="auto" w:fill="auto"/>
          </w:tcPr>
          <w:p w14:paraId="773277F5" w14:textId="77777777" w:rsidR="004C5E72" w:rsidRPr="000B0147" w:rsidRDefault="000B0147" w:rsidP="004C5E72">
            <w:pPr>
              <w:widowControl w:val="0"/>
              <w:spacing w:before="60" w:after="60"/>
              <w:rPr>
                <w:rFonts w:cs="Helvetica"/>
                <w:noProof/>
                <w:sz w:val="21"/>
                <w:szCs w:val="21"/>
              </w:rPr>
            </w:pPr>
            <w:r w:rsidRPr="000B0147">
              <w:rPr>
                <w:rFonts w:cs="Helvetica"/>
                <w:noProof/>
                <w:sz w:val="21"/>
                <w:szCs w:val="21"/>
              </w:rPr>
              <w:t xml:space="preserve">Seismic surveys (total length) </w:t>
            </w:r>
            <w:r w:rsidR="004C5E72" w:rsidRPr="000B0147">
              <w:rPr>
                <w:rFonts w:cs="Helvetica"/>
                <w:noProof/>
                <w:sz w:val="21"/>
                <w:szCs w:val="21"/>
              </w:rPr>
              <w:t>up to 100 km</w:t>
            </w:r>
          </w:p>
          <w:p w14:paraId="6630F128" w14:textId="77777777" w:rsidR="004C5E72" w:rsidRPr="000B0147" w:rsidRDefault="000B0147" w:rsidP="004C5E72">
            <w:pPr>
              <w:widowControl w:val="0"/>
              <w:spacing w:before="60" w:after="60"/>
              <w:rPr>
                <w:rFonts w:cs="Helvetica"/>
                <w:noProof/>
                <w:sz w:val="21"/>
                <w:szCs w:val="21"/>
              </w:rPr>
            </w:pPr>
            <w:r w:rsidRPr="000B0147">
              <w:rPr>
                <w:rFonts w:cs="Helvetica"/>
                <w:noProof/>
                <w:sz w:val="21"/>
                <w:szCs w:val="21"/>
              </w:rPr>
              <w:t xml:space="preserve">Seismic surveys (total length) </w:t>
            </w:r>
            <w:r w:rsidR="004C5E72" w:rsidRPr="000B0147">
              <w:rPr>
                <w:rFonts w:cs="Helvetica"/>
                <w:noProof/>
                <w:sz w:val="21"/>
                <w:szCs w:val="21"/>
              </w:rPr>
              <w:t>more than 100 km</w:t>
            </w:r>
          </w:p>
        </w:tc>
        <w:tc>
          <w:tcPr>
            <w:tcW w:w="1424" w:type="dxa"/>
            <w:tcBorders>
              <w:bottom w:val="single" w:sz="4" w:space="0" w:color="auto"/>
            </w:tcBorders>
            <w:shd w:val="clear" w:color="auto" w:fill="auto"/>
            <w:vAlign w:val="center"/>
          </w:tcPr>
          <w:p w14:paraId="7EA06ECF" w14:textId="77777777" w:rsidR="004C5E72" w:rsidRPr="000B0147" w:rsidRDefault="004C5E72" w:rsidP="004C5E72">
            <w:pPr>
              <w:widowControl w:val="0"/>
              <w:spacing w:before="60" w:after="60"/>
              <w:jc w:val="center"/>
              <w:rPr>
                <w:rFonts w:cs="Helvetica"/>
                <w:noProof/>
                <w:sz w:val="21"/>
                <w:szCs w:val="21"/>
              </w:rPr>
            </w:pPr>
            <w:r w:rsidRPr="000B0147">
              <w:rPr>
                <w:rFonts w:cs="Helvetica"/>
                <w:noProof/>
                <w:sz w:val="21"/>
                <w:szCs w:val="21"/>
              </w:rPr>
              <w:t>1</w:t>
            </w:r>
          </w:p>
          <w:p w14:paraId="6BC7EEE3" w14:textId="77777777" w:rsidR="004C5E72" w:rsidRPr="000B0147" w:rsidRDefault="004C5E72" w:rsidP="004C5E72">
            <w:pPr>
              <w:widowControl w:val="0"/>
              <w:spacing w:before="60" w:after="60"/>
              <w:jc w:val="center"/>
              <w:rPr>
                <w:rFonts w:cs="Helvetica"/>
                <w:noProof/>
                <w:sz w:val="21"/>
                <w:szCs w:val="21"/>
              </w:rPr>
            </w:pPr>
            <w:r w:rsidRPr="000B0147">
              <w:rPr>
                <w:rFonts w:cs="Helvetica"/>
                <w:noProof/>
                <w:sz w:val="21"/>
                <w:szCs w:val="21"/>
              </w:rPr>
              <w:t>2</w:t>
            </w:r>
          </w:p>
        </w:tc>
      </w:tr>
      <w:tr w:rsidR="004C5E72" w:rsidRPr="003D42D5" w14:paraId="723CC1D7" w14:textId="77777777" w:rsidTr="000B0147">
        <w:tc>
          <w:tcPr>
            <w:tcW w:w="8217" w:type="dxa"/>
            <w:tcBorders>
              <w:bottom w:val="nil"/>
            </w:tcBorders>
            <w:shd w:val="clear" w:color="auto" w:fill="auto"/>
          </w:tcPr>
          <w:p w14:paraId="3F5DE814" w14:textId="77777777" w:rsidR="000B0147" w:rsidRDefault="004C5E72" w:rsidP="000B0147">
            <w:pPr>
              <w:widowControl w:val="0"/>
              <w:spacing w:before="120" w:after="60"/>
              <w:rPr>
                <w:rFonts w:cs="Helvetica"/>
                <w:noProof/>
                <w:sz w:val="21"/>
                <w:szCs w:val="21"/>
              </w:rPr>
            </w:pPr>
            <w:r w:rsidRPr="000B0147">
              <w:rPr>
                <w:rFonts w:cs="Helvetica"/>
                <w:noProof/>
                <w:sz w:val="21"/>
                <w:szCs w:val="21"/>
              </w:rPr>
              <w:t xml:space="preserve">The drilling, completion, operation, modification, decommissioning, suspension or abandonment of a well that </w:t>
            </w:r>
            <w:r w:rsidRPr="000B0147">
              <w:rPr>
                <w:rFonts w:cs="Helvetica"/>
                <w:noProof/>
                <w:sz w:val="21"/>
                <w:szCs w:val="21"/>
                <w:u w:val="single"/>
              </w:rPr>
              <w:t>does not include</w:t>
            </w:r>
            <w:r w:rsidRPr="000B0147">
              <w:rPr>
                <w:rFonts w:cs="Helvetica"/>
                <w:noProof/>
                <w:sz w:val="21"/>
                <w:szCs w:val="21"/>
              </w:rPr>
              <w:t xml:space="preserve"> hydraulic fr</w:t>
            </w:r>
            <w:r w:rsidR="000B0147">
              <w:rPr>
                <w:rFonts w:cs="Helvetica"/>
                <w:noProof/>
                <w:sz w:val="21"/>
                <w:szCs w:val="21"/>
              </w:rPr>
              <w:t>acture stimulation activities</w:t>
            </w:r>
          </w:p>
          <w:p w14:paraId="109D2AB3" w14:textId="77777777" w:rsidR="004C5E72" w:rsidRPr="000B0147" w:rsidRDefault="004C5E72" w:rsidP="000B0147">
            <w:pPr>
              <w:widowControl w:val="0"/>
              <w:spacing w:before="120" w:after="60"/>
              <w:rPr>
                <w:rFonts w:cs="Helvetica"/>
                <w:noProof/>
                <w:sz w:val="21"/>
                <w:szCs w:val="21"/>
              </w:rPr>
            </w:pPr>
            <w:r w:rsidRPr="000B0147">
              <w:rPr>
                <w:rFonts w:cs="Helvetica"/>
                <w:noProof/>
                <w:sz w:val="21"/>
                <w:szCs w:val="21"/>
              </w:rPr>
              <w:t>up to 3 wells</w:t>
            </w:r>
          </w:p>
        </w:tc>
        <w:tc>
          <w:tcPr>
            <w:tcW w:w="1424" w:type="dxa"/>
            <w:tcBorders>
              <w:bottom w:val="nil"/>
            </w:tcBorders>
            <w:shd w:val="clear" w:color="auto" w:fill="auto"/>
            <w:vAlign w:val="center"/>
          </w:tcPr>
          <w:p w14:paraId="787BC9EC" w14:textId="77777777" w:rsidR="000B0147" w:rsidRDefault="000B0147" w:rsidP="004C5E72">
            <w:pPr>
              <w:widowControl w:val="0"/>
              <w:spacing w:before="60" w:after="60"/>
              <w:jc w:val="center"/>
              <w:rPr>
                <w:rFonts w:cs="Helvetica"/>
                <w:noProof/>
                <w:sz w:val="21"/>
                <w:szCs w:val="21"/>
              </w:rPr>
            </w:pPr>
          </w:p>
          <w:p w14:paraId="3FFE6C14" w14:textId="77777777" w:rsidR="000B0147" w:rsidRDefault="000B0147" w:rsidP="004C5E72">
            <w:pPr>
              <w:widowControl w:val="0"/>
              <w:spacing w:before="60" w:after="60"/>
              <w:jc w:val="center"/>
              <w:rPr>
                <w:rFonts w:cs="Helvetica"/>
                <w:noProof/>
                <w:sz w:val="21"/>
                <w:szCs w:val="21"/>
              </w:rPr>
            </w:pPr>
          </w:p>
          <w:p w14:paraId="1E851329" w14:textId="77777777" w:rsidR="004C5E72" w:rsidRPr="000B0147" w:rsidRDefault="004C5E72" w:rsidP="000B0147">
            <w:pPr>
              <w:widowControl w:val="0"/>
              <w:spacing w:before="120" w:after="60"/>
              <w:jc w:val="center"/>
              <w:rPr>
                <w:rFonts w:cs="Helvetica"/>
                <w:noProof/>
                <w:sz w:val="21"/>
                <w:szCs w:val="21"/>
              </w:rPr>
            </w:pPr>
            <w:r w:rsidRPr="000B0147">
              <w:rPr>
                <w:rFonts w:cs="Helvetica"/>
                <w:noProof/>
                <w:sz w:val="21"/>
                <w:szCs w:val="21"/>
              </w:rPr>
              <w:t>2</w:t>
            </w:r>
          </w:p>
        </w:tc>
      </w:tr>
      <w:tr w:rsidR="004C5E72" w:rsidRPr="003D42D5" w14:paraId="23056705" w14:textId="77777777" w:rsidTr="000B0147">
        <w:tc>
          <w:tcPr>
            <w:tcW w:w="8217" w:type="dxa"/>
            <w:tcBorders>
              <w:top w:val="nil"/>
              <w:bottom w:val="single" w:sz="4" w:space="0" w:color="auto"/>
            </w:tcBorders>
            <w:shd w:val="clear" w:color="auto" w:fill="auto"/>
          </w:tcPr>
          <w:p w14:paraId="1FE54CEB" w14:textId="77777777" w:rsidR="004C5E72" w:rsidRPr="000B0147" w:rsidRDefault="004C5E72" w:rsidP="000B0147">
            <w:pPr>
              <w:widowControl w:val="0"/>
              <w:spacing w:after="0"/>
              <w:rPr>
                <w:rFonts w:cs="Helvetica"/>
                <w:noProof/>
                <w:sz w:val="21"/>
                <w:szCs w:val="21"/>
              </w:rPr>
            </w:pPr>
            <w:r w:rsidRPr="000B0147">
              <w:rPr>
                <w:rFonts w:cs="Helvetica"/>
                <w:noProof/>
                <w:sz w:val="21"/>
                <w:szCs w:val="21"/>
              </w:rPr>
              <w:t>4 or more wells</w:t>
            </w:r>
          </w:p>
        </w:tc>
        <w:tc>
          <w:tcPr>
            <w:tcW w:w="1424" w:type="dxa"/>
            <w:tcBorders>
              <w:top w:val="nil"/>
              <w:bottom w:val="single" w:sz="4" w:space="0" w:color="auto"/>
            </w:tcBorders>
            <w:shd w:val="clear" w:color="auto" w:fill="auto"/>
            <w:vAlign w:val="center"/>
          </w:tcPr>
          <w:p w14:paraId="3AC497EE" w14:textId="77777777" w:rsidR="004C5E72" w:rsidRPr="000B0147" w:rsidRDefault="004C5E72" w:rsidP="000B0147">
            <w:pPr>
              <w:widowControl w:val="0"/>
              <w:spacing w:after="60"/>
              <w:jc w:val="center"/>
              <w:rPr>
                <w:rFonts w:cs="Helvetica"/>
                <w:noProof/>
                <w:sz w:val="21"/>
                <w:szCs w:val="21"/>
              </w:rPr>
            </w:pPr>
            <w:r w:rsidRPr="000B0147">
              <w:rPr>
                <w:rFonts w:cs="Helvetica"/>
                <w:noProof/>
                <w:sz w:val="21"/>
                <w:szCs w:val="21"/>
              </w:rPr>
              <w:t>4</w:t>
            </w:r>
          </w:p>
        </w:tc>
      </w:tr>
      <w:tr w:rsidR="004C5E72" w:rsidRPr="003D42D5" w14:paraId="3EFA2107" w14:textId="77777777" w:rsidTr="000B0147">
        <w:tc>
          <w:tcPr>
            <w:tcW w:w="8217" w:type="dxa"/>
            <w:tcBorders>
              <w:bottom w:val="nil"/>
            </w:tcBorders>
            <w:shd w:val="clear" w:color="auto" w:fill="auto"/>
          </w:tcPr>
          <w:p w14:paraId="214DF153" w14:textId="77777777" w:rsidR="000B0147" w:rsidRDefault="004C5E72" w:rsidP="004C5E72">
            <w:pPr>
              <w:widowControl w:val="0"/>
              <w:spacing w:before="60" w:after="60"/>
              <w:rPr>
                <w:rFonts w:cs="Helvetica"/>
                <w:noProof/>
                <w:sz w:val="21"/>
                <w:szCs w:val="21"/>
              </w:rPr>
            </w:pPr>
            <w:r w:rsidRPr="000B0147">
              <w:rPr>
                <w:rFonts w:cs="Helvetica"/>
                <w:noProof/>
                <w:sz w:val="21"/>
                <w:szCs w:val="21"/>
              </w:rPr>
              <w:t xml:space="preserve">The drilling, completion, operation, modification, decommissioning, suspension or abandonment of a well that </w:t>
            </w:r>
            <w:r w:rsidRPr="000B0147">
              <w:rPr>
                <w:rFonts w:cs="Helvetica"/>
                <w:noProof/>
                <w:sz w:val="21"/>
                <w:szCs w:val="21"/>
                <w:u w:val="single"/>
              </w:rPr>
              <w:t>includes</w:t>
            </w:r>
            <w:r w:rsidRPr="000B0147">
              <w:rPr>
                <w:rFonts w:cs="Helvetica"/>
                <w:noProof/>
                <w:sz w:val="21"/>
                <w:szCs w:val="21"/>
              </w:rPr>
              <w:t xml:space="preserve"> hydraulic fr</w:t>
            </w:r>
            <w:r w:rsidR="000B0147">
              <w:rPr>
                <w:rFonts w:cs="Helvetica"/>
                <w:noProof/>
                <w:sz w:val="21"/>
                <w:szCs w:val="21"/>
              </w:rPr>
              <w:t>acture stimulation activities</w:t>
            </w:r>
          </w:p>
          <w:p w14:paraId="462FD412" w14:textId="77777777" w:rsidR="004C5E72" w:rsidRDefault="004C5E72" w:rsidP="004C5E72">
            <w:pPr>
              <w:widowControl w:val="0"/>
              <w:spacing w:before="60" w:after="60"/>
              <w:rPr>
                <w:rFonts w:cs="Helvetica"/>
                <w:noProof/>
                <w:sz w:val="21"/>
                <w:szCs w:val="21"/>
              </w:rPr>
            </w:pPr>
            <w:r w:rsidRPr="000B0147">
              <w:rPr>
                <w:rFonts w:cs="Helvetica"/>
                <w:noProof/>
                <w:sz w:val="21"/>
                <w:szCs w:val="21"/>
              </w:rPr>
              <w:t>up to 3 wells</w:t>
            </w:r>
          </w:p>
          <w:p w14:paraId="33E784FD" w14:textId="77777777" w:rsidR="000B0147" w:rsidRPr="000B0147" w:rsidRDefault="000B0147" w:rsidP="004C5E72">
            <w:pPr>
              <w:widowControl w:val="0"/>
              <w:spacing w:before="60" w:after="60"/>
              <w:rPr>
                <w:rFonts w:cs="Helvetica"/>
                <w:noProof/>
                <w:sz w:val="21"/>
                <w:szCs w:val="21"/>
              </w:rPr>
            </w:pPr>
            <w:r w:rsidRPr="000B0147">
              <w:rPr>
                <w:rFonts w:cs="Helvetica"/>
                <w:noProof/>
                <w:sz w:val="21"/>
                <w:szCs w:val="21"/>
              </w:rPr>
              <w:t>4 or more wells</w:t>
            </w:r>
          </w:p>
        </w:tc>
        <w:tc>
          <w:tcPr>
            <w:tcW w:w="1424" w:type="dxa"/>
            <w:tcBorders>
              <w:bottom w:val="nil"/>
            </w:tcBorders>
            <w:shd w:val="clear" w:color="auto" w:fill="auto"/>
            <w:vAlign w:val="center"/>
          </w:tcPr>
          <w:p w14:paraId="53E5BE91" w14:textId="77777777" w:rsidR="000B0147" w:rsidRDefault="000B0147" w:rsidP="004C5E72">
            <w:pPr>
              <w:widowControl w:val="0"/>
              <w:spacing w:before="60" w:after="60"/>
              <w:jc w:val="center"/>
              <w:rPr>
                <w:rFonts w:cs="Helvetica"/>
                <w:noProof/>
                <w:sz w:val="21"/>
                <w:szCs w:val="21"/>
              </w:rPr>
            </w:pPr>
          </w:p>
          <w:p w14:paraId="2FCCA6A8" w14:textId="77777777" w:rsidR="000B0147" w:rsidRDefault="000B0147" w:rsidP="004C5E72">
            <w:pPr>
              <w:widowControl w:val="0"/>
              <w:spacing w:before="60" w:after="60"/>
              <w:jc w:val="center"/>
              <w:rPr>
                <w:rFonts w:cs="Helvetica"/>
                <w:noProof/>
                <w:sz w:val="21"/>
                <w:szCs w:val="21"/>
              </w:rPr>
            </w:pPr>
          </w:p>
          <w:p w14:paraId="592236AC" w14:textId="77777777" w:rsidR="004C5E72" w:rsidRDefault="004C5E72" w:rsidP="004C5E72">
            <w:pPr>
              <w:widowControl w:val="0"/>
              <w:spacing w:before="60" w:after="60"/>
              <w:jc w:val="center"/>
              <w:rPr>
                <w:rFonts w:cs="Helvetica"/>
                <w:noProof/>
                <w:sz w:val="21"/>
                <w:szCs w:val="21"/>
              </w:rPr>
            </w:pPr>
            <w:r w:rsidRPr="000B0147">
              <w:rPr>
                <w:rFonts w:cs="Helvetica"/>
                <w:noProof/>
                <w:sz w:val="21"/>
                <w:szCs w:val="21"/>
              </w:rPr>
              <w:t>6</w:t>
            </w:r>
          </w:p>
          <w:p w14:paraId="109854CE" w14:textId="77777777" w:rsidR="000B0147" w:rsidRPr="000B0147" w:rsidRDefault="000B0147" w:rsidP="004C5E72">
            <w:pPr>
              <w:widowControl w:val="0"/>
              <w:spacing w:before="60" w:after="60"/>
              <w:jc w:val="center"/>
              <w:rPr>
                <w:rFonts w:cs="Helvetica"/>
                <w:noProof/>
                <w:sz w:val="21"/>
                <w:szCs w:val="21"/>
              </w:rPr>
            </w:pPr>
            <w:r w:rsidRPr="000B0147">
              <w:rPr>
                <w:rFonts w:cs="Helvetica"/>
                <w:noProof/>
                <w:sz w:val="21"/>
                <w:szCs w:val="21"/>
              </w:rPr>
              <w:t>12</w:t>
            </w:r>
          </w:p>
        </w:tc>
      </w:tr>
      <w:tr w:rsidR="004C5E72" w:rsidRPr="003D42D5" w14:paraId="6E0EF828" w14:textId="77777777" w:rsidTr="000B0147">
        <w:tc>
          <w:tcPr>
            <w:tcW w:w="8217" w:type="dxa"/>
            <w:shd w:val="clear" w:color="auto" w:fill="auto"/>
          </w:tcPr>
          <w:p w14:paraId="1CD1DA3E" w14:textId="77777777" w:rsidR="004C5E72" w:rsidRPr="000B0147" w:rsidRDefault="004C5E72" w:rsidP="004C5E72">
            <w:pPr>
              <w:widowControl w:val="0"/>
              <w:spacing w:before="60" w:after="60"/>
              <w:rPr>
                <w:rFonts w:cs="Helvetica"/>
                <w:noProof/>
                <w:sz w:val="21"/>
                <w:szCs w:val="21"/>
              </w:rPr>
            </w:pPr>
            <w:r w:rsidRPr="000B0147">
              <w:rPr>
                <w:rFonts w:cs="Helvetica"/>
                <w:noProof/>
                <w:sz w:val="21"/>
                <w:szCs w:val="21"/>
              </w:rPr>
              <w:t xml:space="preserve">The construction, operation, modification, decommissioning, dismantling or removal of other facilities </w:t>
            </w:r>
            <w:r w:rsidRPr="000B0147">
              <w:rPr>
                <w:rFonts w:cs="Helvetica"/>
                <w:noProof/>
                <w:color w:val="000000"/>
                <w:sz w:val="21"/>
                <w:szCs w:val="21"/>
                <w:shd w:val="clear" w:color="auto" w:fill="FFFFFF"/>
              </w:rPr>
              <w:t>used for the recovery or processing of petroleum</w:t>
            </w:r>
          </w:p>
        </w:tc>
        <w:tc>
          <w:tcPr>
            <w:tcW w:w="1424" w:type="dxa"/>
            <w:shd w:val="clear" w:color="auto" w:fill="auto"/>
            <w:vAlign w:val="center"/>
          </w:tcPr>
          <w:p w14:paraId="39AE480D" w14:textId="77777777" w:rsidR="004C5E72" w:rsidRPr="000B0147" w:rsidRDefault="004C5E72" w:rsidP="004C5E72">
            <w:pPr>
              <w:widowControl w:val="0"/>
              <w:spacing w:before="60" w:after="60"/>
              <w:jc w:val="center"/>
              <w:rPr>
                <w:rFonts w:cs="Helvetica"/>
                <w:noProof/>
                <w:sz w:val="21"/>
                <w:szCs w:val="21"/>
              </w:rPr>
            </w:pPr>
            <w:r w:rsidRPr="000B0147">
              <w:rPr>
                <w:rFonts w:cs="Helvetica"/>
                <w:noProof/>
                <w:sz w:val="21"/>
                <w:szCs w:val="21"/>
              </w:rPr>
              <w:t>6</w:t>
            </w:r>
          </w:p>
        </w:tc>
      </w:tr>
      <w:tr w:rsidR="004C5E72" w:rsidRPr="003D42D5" w14:paraId="1C8D4BE4" w14:textId="77777777" w:rsidTr="000B0147">
        <w:tc>
          <w:tcPr>
            <w:tcW w:w="8217" w:type="dxa"/>
            <w:shd w:val="clear" w:color="auto" w:fill="auto"/>
          </w:tcPr>
          <w:p w14:paraId="4F5303C7" w14:textId="77777777" w:rsidR="004C5E72" w:rsidRPr="000B0147" w:rsidRDefault="004C5E72" w:rsidP="004C5E72">
            <w:pPr>
              <w:widowControl w:val="0"/>
              <w:spacing w:before="60" w:after="60"/>
              <w:rPr>
                <w:rFonts w:cs="Helvetica"/>
                <w:noProof/>
                <w:sz w:val="21"/>
                <w:szCs w:val="21"/>
              </w:rPr>
            </w:pPr>
            <w:r w:rsidRPr="000B0147">
              <w:rPr>
                <w:rFonts w:cs="Helvetica"/>
                <w:noProof/>
                <w:sz w:val="21"/>
                <w:szCs w:val="21"/>
              </w:rPr>
              <w:t>The construction, operation, modification, decommissioning, dismantling or removal of any other facilities</w:t>
            </w:r>
          </w:p>
        </w:tc>
        <w:tc>
          <w:tcPr>
            <w:tcW w:w="1424" w:type="dxa"/>
            <w:shd w:val="clear" w:color="auto" w:fill="auto"/>
            <w:vAlign w:val="center"/>
          </w:tcPr>
          <w:p w14:paraId="3EC4BCD7" w14:textId="77777777" w:rsidR="004C5E72" w:rsidRPr="000B0147" w:rsidRDefault="004C5E72" w:rsidP="004C5E72">
            <w:pPr>
              <w:widowControl w:val="0"/>
              <w:spacing w:before="60" w:after="60"/>
              <w:jc w:val="center"/>
              <w:rPr>
                <w:rFonts w:cs="Helvetica"/>
                <w:noProof/>
                <w:sz w:val="21"/>
                <w:szCs w:val="21"/>
              </w:rPr>
            </w:pPr>
            <w:r w:rsidRPr="000B0147">
              <w:rPr>
                <w:rFonts w:cs="Helvetica"/>
                <w:noProof/>
                <w:sz w:val="21"/>
                <w:szCs w:val="21"/>
              </w:rPr>
              <w:t>3</w:t>
            </w:r>
          </w:p>
        </w:tc>
      </w:tr>
    </w:tbl>
    <w:p w14:paraId="73A51DC0" w14:textId="77777777" w:rsidR="00AF67FA" w:rsidRPr="000B0147" w:rsidRDefault="000B0147" w:rsidP="000B0147">
      <w:pPr>
        <w:pStyle w:val="Paragraph"/>
        <w:keepLines/>
        <w:spacing w:before="120" w:after="60"/>
        <w:ind w:left="567" w:hanging="425"/>
        <w:jc w:val="left"/>
        <w:rPr>
          <w:rFonts w:asciiTheme="minorHAnsi" w:hAnsiTheme="minorHAnsi"/>
          <w:noProof/>
          <w:sz w:val="21"/>
          <w:szCs w:val="21"/>
        </w:rPr>
      </w:pPr>
      <w:r w:rsidRPr="000B0147">
        <w:rPr>
          <w:rFonts w:asciiTheme="minorHAnsi" w:hAnsiTheme="minorHAnsi"/>
          <w:noProof/>
          <w:sz w:val="21"/>
          <w:szCs w:val="21"/>
        </w:rPr>
        <w:t>(</w:t>
      </w:r>
      <w:r>
        <w:rPr>
          <w:rFonts w:asciiTheme="minorHAnsi" w:hAnsiTheme="minorHAnsi"/>
          <w:noProof/>
          <w:sz w:val="21"/>
          <w:szCs w:val="21"/>
        </w:rPr>
        <w:t>a</w:t>
      </w:r>
      <w:r w:rsidRPr="000B0147">
        <w:rPr>
          <w:rFonts w:asciiTheme="minorHAnsi" w:hAnsiTheme="minorHAnsi"/>
          <w:noProof/>
          <w:sz w:val="21"/>
          <w:szCs w:val="21"/>
        </w:rPr>
        <w:t>)</w:t>
      </w:r>
      <w:r w:rsidRPr="000B0147">
        <w:rPr>
          <w:rFonts w:asciiTheme="minorHAnsi" w:hAnsiTheme="minorHAnsi"/>
          <w:noProof/>
          <w:sz w:val="21"/>
          <w:szCs w:val="21"/>
        </w:rPr>
        <w:tab/>
        <w:t>I</w:t>
      </w:r>
      <w:r w:rsidR="00AF67FA" w:rsidRPr="000B0147">
        <w:rPr>
          <w:rFonts w:asciiTheme="minorHAnsi" w:hAnsiTheme="minorHAnsi"/>
          <w:noProof/>
          <w:sz w:val="21"/>
          <w:szCs w:val="21"/>
        </w:rPr>
        <w:t>f 2 or more activities to be undertaken in a particular title area fall into a particular activity category, that category will be counted once in relation to that title area; and</w:t>
      </w:r>
    </w:p>
    <w:p w14:paraId="20734A3C" w14:textId="77777777" w:rsidR="00AF67FA" w:rsidRPr="000B0147" w:rsidRDefault="00AF67FA" w:rsidP="000B0147">
      <w:pPr>
        <w:pStyle w:val="Paragraph"/>
        <w:keepLines/>
        <w:spacing w:before="120" w:after="60"/>
        <w:ind w:left="567" w:hanging="425"/>
        <w:jc w:val="left"/>
        <w:rPr>
          <w:rFonts w:asciiTheme="minorHAnsi" w:hAnsiTheme="minorHAnsi"/>
          <w:noProof/>
          <w:sz w:val="21"/>
          <w:szCs w:val="21"/>
        </w:rPr>
      </w:pPr>
      <w:r w:rsidRPr="000B0147">
        <w:rPr>
          <w:rFonts w:asciiTheme="minorHAnsi" w:hAnsiTheme="minorHAnsi"/>
          <w:noProof/>
          <w:sz w:val="21"/>
          <w:szCs w:val="21"/>
        </w:rPr>
        <w:t>(b)</w:t>
      </w:r>
      <w:r w:rsidRPr="000B0147">
        <w:rPr>
          <w:rFonts w:asciiTheme="minorHAnsi" w:hAnsiTheme="minorHAnsi"/>
          <w:noProof/>
          <w:sz w:val="21"/>
          <w:szCs w:val="21"/>
        </w:rPr>
        <w:tab/>
        <w:t>an activity to be undertaken in 2 or more title areas will be counted once for each title area; and</w:t>
      </w:r>
    </w:p>
    <w:p w14:paraId="01F3A077" w14:textId="77777777" w:rsidR="00AF67FA" w:rsidRDefault="00AF67FA" w:rsidP="000B0147">
      <w:pPr>
        <w:pStyle w:val="Paragraph"/>
        <w:keepLines/>
        <w:spacing w:before="120" w:after="60"/>
        <w:ind w:left="567" w:hanging="425"/>
        <w:jc w:val="left"/>
        <w:rPr>
          <w:rFonts w:asciiTheme="minorHAnsi" w:hAnsiTheme="minorHAnsi"/>
          <w:noProof/>
          <w:sz w:val="21"/>
          <w:szCs w:val="21"/>
        </w:rPr>
      </w:pPr>
      <w:r w:rsidRPr="000B0147">
        <w:rPr>
          <w:rFonts w:asciiTheme="minorHAnsi" w:hAnsiTheme="minorHAnsi"/>
          <w:noProof/>
          <w:sz w:val="21"/>
          <w:szCs w:val="21"/>
        </w:rPr>
        <w:t>(c)</w:t>
      </w:r>
      <w:r w:rsidRPr="000B0147">
        <w:rPr>
          <w:rFonts w:asciiTheme="minorHAnsi" w:hAnsiTheme="minorHAnsi"/>
          <w:noProof/>
          <w:sz w:val="21"/>
          <w:szCs w:val="21"/>
        </w:rPr>
        <w:tab/>
        <w:t>for 2 or more seismic surveys to be undertaken in a title area, the total length of seismic surveys in that title area are to be added together for the purposes of the Table.</w:t>
      </w:r>
    </w:p>
    <w:p w14:paraId="7A5F9F56" w14:textId="77777777" w:rsidR="003375AC" w:rsidRDefault="003375AC" w:rsidP="003375AC">
      <w:pPr>
        <w:pStyle w:val="Paragraph"/>
        <w:keepLines/>
        <w:spacing w:before="120" w:after="60"/>
        <w:ind w:left="0" w:firstLine="0"/>
        <w:jc w:val="left"/>
        <w:rPr>
          <w:rFonts w:asciiTheme="minorHAnsi" w:hAnsiTheme="minorHAnsi"/>
          <w:noProof/>
          <w:sz w:val="21"/>
          <w:szCs w:val="21"/>
        </w:rPr>
      </w:pPr>
    </w:p>
    <w:p w14:paraId="4170A998" w14:textId="77777777" w:rsidR="003375AC" w:rsidRPr="000B0147" w:rsidRDefault="00655B7A" w:rsidP="003375AC">
      <w:pPr>
        <w:pStyle w:val="Paragraph"/>
        <w:keepLines/>
        <w:spacing w:before="120" w:after="60"/>
        <w:ind w:left="0" w:firstLine="0"/>
        <w:jc w:val="left"/>
        <w:rPr>
          <w:rFonts w:asciiTheme="minorHAnsi" w:hAnsiTheme="minorHAnsi"/>
          <w:noProof/>
          <w:sz w:val="21"/>
          <w:szCs w:val="21"/>
        </w:rPr>
      </w:pPr>
      <w:r>
        <w:rPr>
          <w:rFonts w:asciiTheme="minorHAnsi" w:hAnsiTheme="minorHAnsi"/>
          <w:noProof/>
          <w:sz w:val="21"/>
          <w:szCs w:val="21"/>
        </w:rPr>
        <w:t>A User Guide and Calc</w:t>
      </w:r>
      <w:r w:rsidR="003375AC">
        <w:rPr>
          <w:rFonts w:asciiTheme="minorHAnsi" w:hAnsiTheme="minorHAnsi"/>
          <w:noProof/>
          <w:sz w:val="21"/>
          <w:szCs w:val="21"/>
        </w:rPr>
        <w:t xml:space="preserve">ulator </w:t>
      </w:r>
      <w:r w:rsidR="0061381B">
        <w:rPr>
          <w:rFonts w:asciiTheme="minorHAnsi" w:hAnsiTheme="minorHAnsi"/>
          <w:noProof/>
          <w:sz w:val="21"/>
          <w:szCs w:val="21"/>
        </w:rPr>
        <w:t xml:space="preserve">tool </w:t>
      </w:r>
      <w:r w:rsidR="003375AC">
        <w:rPr>
          <w:rFonts w:asciiTheme="minorHAnsi" w:hAnsiTheme="minorHAnsi"/>
          <w:noProof/>
          <w:sz w:val="21"/>
          <w:szCs w:val="21"/>
        </w:rPr>
        <w:t xml:space="preserve">have been developed to assist in calculating these fees. </w:t>
      </w:r>
    </w:p>
    <w:p w14:paraId="1A2706A9" w14:textId="77777777" w:rsidR="00A83050" w:rsidRDefault="00A83050">
      <w:pPr>
        <w:rPr>
          <w:rFonts w:ascii="Lato Semibold" w:eastAsia="Times New Roman" w:hAnsi="Lato Semibold"/>
          <w:color w:val="1F1F5F"/>
          <w:kern w:val="32"/>
          <w:sz w:val="36"/>
          <w:szCs w:val="32"/>
        </w:rPr>
      </w:pPr>
      <w:r>
        <w:br w:type="page"/>
      </w:r>
    </w:p>
    <w:p w14:paraId="53143EEB" w14:textId="77777777" w:rsidR="0000336C" w:rsidRDefault="0000336C" w:rsidP="001C5831">
      <w:pPr>
        <w:pStyle w:val="Heading1"/>
      </w:pPr>
      <w:bookmarkStart w:id="13" w:name="_Toc126684378"/>
      <w:bookmarkStart w:id="14" w:name="_Toc137719060"/>
      <w:r>
        <w:t>Financial Assurance Framework</w:t>
      </w:r>
      <w:bookmarkEnd w:id="13"/>
      <w:bookmarkEnd w:id="14"/>
    </w:p>
    <w:p w14:paraId="4ABEAB24" w14:textId="77777777" w:rsidR="00423A29" w:rsidRDefault="0000336C" w:rsidP="00423A29">
      <w:r>
        <w:t>In the case of the onshore gas industry, financial assurances are a regulatory tool intended to prevent the Government and community from bearing the financial costs of environmental rehabilitation or decommissioning petroleum infrastructure, where there is a corporate failure.</w:t>
      </w:r>
      <w:r w:rsidR="000F5EC7">
        <w:t xml:space="preserve"> </w:t>
      </w:r>
      <w:r w:rsidR="00497BF4">
        <w:t xml:space="preserve">New Part VC of the </w:t>
      </w:r>
      <w:r w:rsidR="005844E2">
        <w:t xml:space="preserve">amending </w:t>
      </w:r>
      <w:r w:rsidR="00423A29">
        <w:t>Act introduces two</w:t>
      </w:r>
      <w:r w:rsidR="00423A29" w:rsidRPr="003D42D5">
        <w:t xml:space="preserve"> kinds of security</w:t>
      </w:r>
      <w:r w:rsidR="00423A29">
        <w:t xml:space="preserve">. </w:t>
      </w:r>
    </w:p>
    <w:p w14:paraId="0FB861E4" w14:textId="193CAFD2" w:rsidR="00423A29" w:rsidRDefault="00423A29" w:rsidP="00423A29">
      <w:r>
        <w:t>1. E</w:t>
      </w:r>
      <w:r w:rsidRPr="003D42D5">
        <w:t>nvironmental securities</w:t>
      </w:r>
      <w:r>
        <w:t xml:space="preserve"> must be calculated and </w:t>
      </w:r>
      <w:r w:rsidR="008C3DC0">
        <w:t xml:space="preserve">the calculated amount submitted </w:t>
      </w:r>
      <w:r>
        <w:t>for assessment as part of an EMP</w:t>
      </w:r>
      <w:r w:rsidR="008C3DC0">
        <w:t xml:space="preserve"> submission</w:t>
      </w:r>
      <w:r w:rsidR="00976837">
        <w:t>. Once the EMP is</w:t>
      </w:r>
      <w:r>
        <w:t xml:space="preserve"> approved</w:t>
      </w:r>
      <w:r w:rsidR="008C3DC0">
        <w:t xml:space="preserve"> and the amount of environmental security determined by the Environment Minister</w:t>
      </w:r>
      <w:r>
        <w:t xml:space="preserve">, </w:t>
      </w:r>
      <w:r w:rsidR="00976837">
        <w:t xml:space="preserve">the security must be </w:t>
      </w:r>
      <w:r>
        <w:t>paid prior to the commencement of any regulated activities commencing</w:t>
      </w:r>
      <w:r w:rsidR="00820E0D">
        <w:t>. The Minister for Environment is responsible for determining these securities</w:t>
      </w:r>
      <w:r>
        <w:t xml:space="preserve">; and </w:t>
      </w:r>
    </w:p>
    <w:p w14:paraId="2F902B31" w14:textId="77777777" w:rsidR="00423A29" w:rsidRDefault="00423A29" w:rsidP="00423A29">
      <w:r>
        <w:t>2. P</w:t>
      </w:r>
      <w:r w:rsidRPr="003D42D5">
        <w:rPr>
          <w:noProof/>
        </w:rPr>
        <w:t>etroleum infrastruc</w:t>
      </w:r>
      <w:r>
        <w:rPr>
          <w:noProof/>
        </w:rPr>
        <w:t>ture decommissioning securities must be calcu</w:t>
      </w:r>
      <w:r w:rsidR="008C3DC0">
        <w:rPr>
          <w:noProof/>
        </w:rPr>
        <w:t>l</w:t>
      </w:r>
      <w:r>
        <w:rPr>
          <w:noProof/>
        </w:rPr>
        <w:t xml:space="preserve">ated </w:t>
      </w:r>
      <w:r>
        <w:t>and submitted for assessment as part of a WOMP or PSIP, and</w:t>
      </w:r>
      <w:r w:rsidR="00103A80">
        <w:t xml:space="preserve"> once</w:t>
      </w:r>
      <w:r>
        <w:t xml:space="preserve"> approved, </w:t>
      </w:r>
      <w:r w:rsidR="00103A80">
        <w:t xml:space="preserve">must be </w:t>
      </w:r>
      <w:r>
        <w:t xml:space="preserve">paid prior to drilling an approved well or commencing construction of petroleum surface infrastructure approved for production </w:t>
      </w:r>
      <w:r w:rsidR="00B6755E">
        <w:t>purposes or the sale of appraisal gas</w:t>
      </w:r>
      <w:r w:rsidR="00820E0D">
        <w:t xml:space="preserve">. The Minister for </w:t>
      </w:r>
      <w:r w:rsidR="00A01ADA">
        <w:t>Mining and Industry</w:t>
      </w:r>
      <w:r w:rsidR="00820E0D">
        <w:t xml:space="preserve"> is responsible for administering and determining these securities</w:t>
      </w:r>
      <w:r w:rsidR="00B6755E">
        <w:t xml:space="preserve">. </w:t>
      </w:r>
    </w:p>
    <w:p w14:paraId="48D5B597" w14:textId="77777777" w:rsidR="00B6755E" w:rsidRPr="00B6755E" w:rsidRDefault="00B6755E" w:rsidP="00B6755E">
      <w:pPr>
        <w:rPr>
          <w:noProof/>
        </w:rPr>
      </w:pPr>
      <w:r w:rsidRPr="003D42D5">
        <w:rPr>
          <w:noProof/>
        </w:rPr>
        <w:t xml:space="preserve">The </w:t>
      </w:r>
      <w:r w:rsidR="00820E0D">
        <w:rPr>
          <w:noProof/>
        </w:rPr>
        <w:t xml:space="preserve">respective </w:t>
      </w:r>
      <w:r w:rsidRPr="003D42D5">
        <w:rPr>
          <w:noProof/>
        </w:rPr>
        <w:t>Minister</w:t>
      </w:r>
      <w:r w:rsidR="00820E0D">
        <w:rPr>
          <w:noProof/>
        </w:rPr>
        <w:t xml:space="preserve">s must also </w:t>
      </w:r>
      <w:r w:rsidRPr="003D42D5">
        <w:rPr>
          <w:noProof/>
        </w:rPr>
        <w:t>determine the form of security required after taking into account any direction of the Treasurer about accep</w:t>
      </w:r>
      <w:r>
        <w:rPr>
          <w:noProof/>
        </w:rPr>
        <w:t xml:space="preserve">table or appropriate securities. </w:t>
      </w:r>
      <w:r w:rsidRPr="003D42D5">
        <w:rPr>
          <w:noProof/>
        </w:rPr>
        <w:t xml:space="preserve">Examples </w:t>
      </w:r>
      <w:r w:rsidR="00103A80">
        <w:rPr>
          <w:noProof/>
        </w:rPr>
        <w:t>include</w:t>
      </w:r>
      <w:r>
        <w:rPr>
          <w:noProof/>
        </w:rPr>
        <w:t xml:space="preserve"> a </w:t>
      </w:r>
      <w:r w:rsidRPr="00B6755E">
        <w:rPr>
          <w:noProof/>
        </w:rPr>
        <w:t>cash bond posted to the Territory Government and held in trust; or</w:t>
      </w:r>
      <w:r>
        <w:rPr>
          <w:noProof/>
        </w:rPr>
        <w:t xml:space="preserve"> </w:t>
      </w:r>
      <w:r w:rsidRPr="00B6755E">
        <w:rPr>
          <w:noProof/>
        </w:rPr>
        <w:t>a bank guarantee</w:t>
      </w:r>
      <w:r>
        <w:rPr>
          <w:noProof/>
        </w:rPr>
        <w:t>,</w:t>
      </w:r>
      <w:r w:rsidRPr="00B6755E">
        <w:rPr>
          <w:noProof/>
        </w:rPr>
        <w:t xml:space="preserve"> or</w:t>
      </w:r>
      <w:r>
        <w:rPr>
          <w:noProof/>
        </w:rPr>
        <w:t xml:space="preserve"> </w:t>
      </w:r>
      <w:r w:rsidRPr="00B6755E">
        <w:rPr>
          <w:noProof/>
        </w:rPr>
        <w:t>a surety bond or insurance bond.</w:t>
      </w:r>
    </w:p>
    <w:p w14:paraId="49A443F0" w14:textId="77777777" w:rsidR="00423A29" w:rsidRDefault="00423A29" w:rsidP="00423A29">
      <w:pPr>
        <w:pStyle w:val="Heading2"/>
      </w:pPr>
      <w:bookmarkStart w:id="15" w:name="_Toc126684379"/>
      <w:bookmarkStart w:id="16" w:name="_Toc137719061"/>
      <w:r>
        <w:t>Environmental securities</w:t>
      </w:r>
      <w:bookmarkEnd w:id="15"/>
      <w:bookmarkEnd w:id="16"/>
    </w:p>
    <w:p w14:paraId="3DCF1F1C" w14:textId="77777777" w:rsidR="00B6755E" w:rsidRPr="003D42D5" w:rsidRDefault="00B6755E" w:rsidP="00B6755E">
      <w:pPr>
        <w:rPr>
          <w:noProof/>
        </w:rPr>
      </w:pPr>
      <w:r>
        <w:rPr>
          <w:noProof/>
        </w:rPr>
        <w:t xml:space="preserve">The </w:t>
      </w:r>
      <w:r w:rsidR="005844E2">
        <w:rPr>
          <w:noProof/>
        </w:rPr>
        <w:t xml:space="preserve">amending </w:t>
      </w:r>
      <w:r>
        <w:rPr>
          <w:noProof/>
        </w:rPr>
        <w:t xml:space="preserve">Act establishes that </w:t>
      </w:r>
      <w:r w:rsidRPr="003D42D5">
        <w:rPr>
          <w:noProof/>
        </w:rPr>
        <w:t>an environmental security may provide for:</w:t>
      </w:r>
    </w:p>
    <w:p w14:paraId="4DE9559B" w14:textId="77777777" w:rsidR="00B6755E" w:rsidRPr="003D42D5" w:rsidRDefault="00B6755E" w:rsidP="00B6755E">
      <w:pPr>
        <w:pStyle w:val="ListParagraph"/>
        <w:numPr>
          <w:ilvl w:val="0"/>
          <w:numId w:val="40"/>
        </w:numPr>
        <w:rPr>
          <w:noProof/>
        </w:rPr>
      </w:pPr>
      <w:r w:rsidRPr="003D42D5">
        <w:rPr>
          <w:noProof/>
        </w:rPr>
        <w:t xml:space="preserve">standardised costs to address specific costs, liabilities and risks associated with environmental impacts and risk of environmental harm resulting from activities to which an approved </w:t>
      </w:r>
      <w:r>
        <w:rPr>
          <w:noProof/>
        </w:rPr>
        <w:t>EMP</w:t>
      </w:r>
      <w:r w:rsidRPr="003D42D5">
        <w:rPr>
          <w:noProof/>
        </w:rPr>
        <w:t xml:space="preserve"> relates, including costs for remediation and rehabilitation; and</w:t>
      </w:r>
    </w:p>
    <w:p w14:paraId="0B85EC62" w14:textId="77777777" w:rsidR="00B6755E" w:rsidRPr="003D42D5" w:rsidRDefault="00B6755E" w:rsidP="00B6755E">
      <w:pPr>
        <w:pStyle w:val="ListParagraph"/>
        <w:numPr>
          <w:ilvl w:val="0"/>
          <w:numId w:val="40"/>
        </w:numPr>
        <w:rPr>
          <w:noProof/>
        </w:rPr>
      </w:pPr>
      <w:r w:rsidRPr="003D42D5">
        <w:rPr>
          <w:noProof/>
        </w:rPr>
        <w:t>standardised costs to manage residual risk of environmental harm, including monitoring, after remediation and rehabilitation has been undertaken; and</w:t>
      </w:r>
    </w:p>
    <w:p w14:paraId="2BCA339C" w14:textId="77777777" w:rsidR="00B6755E" w:rsidRPr="003D42D5" w:rsidRDefault="00B6755E" w:rsidP="00B6755E">
      <w:pPr>
        <w:pStyle w:val="ListParagraph"/>
        <w:numPr>
          <w:ilvl w:val="0"/>
          <w:numId w:val="40"/>
        </w:numPr>
        <w:rPr>
          <w:noProof/>
        </w:rPr>
      </w:pPr>
      <w:r w:rsidRPr="003D42D5">
        <w:rPr>
          <w:noProof/>
        </w:rPr>
        <w:t>a contingency amount to reduce the risk that the value of the security is inadequate.</w:t>
      </w:r>
    </w:p>
    <w:p w14:paraId="072AB082" w14:textId="23EDF167" w:rsidR="00360383" w:rsidRPr="00B6755E" w:rsidRDefault="00B6755E" w:rsidP="00B6755E">
      <w:r w:rsidRPr="003D42D5">
        <w:rPr>
          <w:noProof/>
        </w:rPr>
        <w:t xml:space="preserve">The </w:t>
      </w:r>
      <w:r>
        <w:rPr>
          <w:noProof/>
        </w:rPr>
        <w:t>standardised costs and method r</w:t>
      </w:r>
      <w:r w:rsidR="0042049C">
        <w:rPr>
          <w:noProof/>
        </w:rPr>
        <w:t>equired to calculate environment</w:t>
      </w:r>
      <w:r>
        <w:rPr>
          <w:noProof/>
        </w:rPr>
        <w:t xml:space="preserve">al securities are still being finalised. Once these have been </w:t>
      </w:r>
      <w:r w:rsidRPr="003D42D5">
        <w:rPr>
          <w:noProof/>
        </w:rPr>
        <w:t xml:space="preserve">determined by the Environment Minister </w:t>
      </w:r>
      <w:r>
        <w:rPr>
          <w:noProof/>
        </w:rPr>
        <w:t xml:space="preserve">they will be </w:t>
      </w:r>
      <w:r w:rsidRPr="003D42D5">
        <w:rPr>
          <w:noProof/>
        </w:rPr>
        <w:t xml:space="preserve">published </w:t>
      </w:r>
      <w:r>
        <w:rPr>
          <w:noProof/>
        </w:rPr>
        <w:t xml:space="preserve">online. </w:t>
      </w:r>
      <w:r w:rsidR="00360383">
        <w:rPr>
          <w:noProof/>
        </w:rPr>
        <w:t xml:space="preserve">In the </w:t>
      </w:r>
      <w:r w:rsidR="008C3DC0">
        <w:rPr>
          <w:noProof/>
        </w:rPr>
        <w:t xml:space="preserve">interim, </w:t>
      </w:r>
      <w:r w:rsidR="00360383">
        <w:rPr>
          <w:noProof/>
        </w:rPr>
        <w:t xml:space="preserve">petroleum interest holders must continue to calculate </w:t>
      </w:r>
      <w:r w:rsidR="008C3DC0">
        <w:rPr>
          <w:noProof/>
        </w:rPr>
        <w:t xml:space="preserve">and pay </w:t>
      </w:r>
      <w:r w:rsidR="00360383">
        <w:rPr>
          <w:noProof/>
        </w:rPr>
        <w:t>en</w:t>
      </w:r>
      <w:r w:rsidR="00D80CE4">
        <w:rPr>
          <w:noProof/>
        </w:rPr>
        <w:t>vironmental securities in accor</w:t>
      </w:r>
      <w:r w:rsidR="00360383">
        <w:rPr>
          <w:noProof/>
        </w:rPr>
        <w:t xml:space="preserve">dance with the current requirements. </w:t>
      </w:r>
    </w:p>
    <w:p w14:paraId="0BC20D9F" w14:textId="77777777" w:rsidR="0000336C" w:rsidRDefault="0000336C" w:rsidP="001C5831">
      <w:pPr>
        <w:pStyle w:val="Heading2"/>
      </w:pPr>
      <w:bookmarkStart w:id="17" w:name="_Toc126684380"/>
      <w:bookmarkStart w:id="18" w:name="_Toc137719062"/>
      <w:r>
        <w:t>Petroleum infrastructure decommissioning securities</w:t>
      </w:r>
      <w:bookmarkEnd w:id="17"/>
      <w:bookmarkEnd w:id="18"/>
    </w:p>
    <w:p w14:paraId="2E914E8D" w14:textId="77777777" w:rsidR="00ED4C85" w:rsidRPr="003D42D5" w:rsidRDefault="00ED4C85" w:rsidP="00ED4C85">
      <w:pPr>
        <w:rPr>
          <w:noProof/>
        </w:rPr>
      </w:pPr>
      <w:r>
        <w:rPr>
          <w:noProof/>
        </w:rPr>
        <w:t xml:space="preserve">The </w:t>
      </w:r>
      <w:r w:rsidR="005844E2">
        <w:rPr>
          <w:noProof/>
        </w:rPr>
        <w:t xml:space="preserve">amending </w:t>
      </w:r>
      <w:r>
        <w:rPr>
          <w:noProof/>
        </w:rPr>
        <w:t xml:space="preserve">Act establishes that new </w:t>
      </w:r>
      <w:r w:rsidRPr="003D42D5">
        <w:rPr>
          <w:noProof/>
        </w:rPr>
        <w:t>petroleum infrastructure decommissioning securit</w:t>
      </w:r>
      <w:r>
        <w:rPr>
          <w:noProof/>
        </w:rPr>
        <w:t xml:space="preserve">ies will be required to </w:t>
      </w:r>
      <w:r w:rsidRPr="003D42D5">
        <w:rPr>
          <w:noProof/>
        </w:rPr>
        <w:t>secure costs and liabilities associated with:</w:t>
      </w:r>
    </w:p>
    <w:p w14:paraId="177F3D22" w14:textId="77777777" w:rsidR="00ED4C85" w:rsidRPr="003D42D5" w:rsidRDefault="00ED4C85" w:rsidP="00ED4C85">
      <w:pPr>
        <w:pStyle w:val="ListParagraph"/>
        <w:numPr>
          <w:ilvl w:val="0"/>
          <w:numId w:val="42"/>
        </w:numPr>
        <w:rPr>
          <w:noProof/>
        </w:rPr>
      </w:pPr>
      <w:r w:rsidRPr="003D42D5">
        <w:rPr>
          <w:noProof/>
        </w:rPr>
        <w:t xml:space="preserve">well decommissioning </w:t>
      </w:r>
      <w:r w:rsidR="00497BF4">
        <w:rPr>
          <w:noProof/>
        </w:rPr>
        <w:t>applicable to an approved or submitted WOMP</w:t>
      </w:r>
      <w:r w:rsidRPr="003D42D5">
        <w:rPr>
          <w:noProof/>
        </w:rPr>
        <w:t>; and</w:t>
      </w:r>
    </w:p>
    <w:p w14:paraId="075906E4" w14:textId="77777777" w:rsidR="00ED4C85" w:rsidRPr="003D42D5" w:rsidRDefault="00ED4C85" w:rsidP="00ED4C85">
      <w:pPr>
        <w:pStyle w:val="ListParagraph"/>
        <w:numPr>
          <w:ilvl w:val="0"/>
          <w:numId w:val="42"/>
        </w:numPr>
        <w:rPr>
          <w:noProof/>
        </w:rPr>
      </w:pPr>
      <w:r w:rsidRPr="003D42D5">
        <w:rPr>
          <w:noProof/>
        </w:rPr>
        <w:t xml:space="preserve">decommissioning petroleum surface infrastructure to which an approved </w:t>
      </w:r>
      <w:r w:rsidR="00497BF4">
        <w:rPr>
          <w:noProof/>
        </w:rPr>
        <w:t>PSIP</w:t>
      </w:r>
      <w:r w:rsidRPr="003D42D5">
        <w:rPr>
          <w:noProof/>
        </w:rPr>
        <w:t>; and</w:t>
      </w:r>
    </w:p>
    <w:p w14:paraId="7D69FB84" w14:textId="77777777" w:rsidR="00ED4C85" w:rsidRPr="003D42D5" w:rsidRDefault="00ED4C85" w:rsidP="00ED4C85">
      <w:pPr>
        <w:pStyle w:val="ListParagraph"/>
        <w:numPr>
          <w:ilvl w:val="0"/>
          <w:numId w:val="42"/>
        </w:numPr>
        <w:rPr>
          <w:noProof/>
        </w:rPr>
      </w:pPr>
      <w:r>
        <w:rPr>
          <w:noProof/>
        </w:rPr>
        <w:t>decommissioning</w:t>
      </w:r>
      <w:r w:rsidRPr="003D42D5">
        <w:rPr>
          <w:noProof/>
        </w:rPr>
        <w:t xml:space="preserve"> appraisal production infrastructure.</w:t>
      </w:r>
    </w:p>
    <w:p w14:paraId="65E2FAFA" w14:textId="77777777" w:rsidR="0042049C" w:rsidRDefault="0042049C" w:rsidP="00933EC8">
      <w:pPr>
        <w:rPr>
          <w:noProof/>
        </w:rPr>
      </w:pPr>
      <w:r>
        <w:rPr>
          <w:noProof/>
        </w:rPr>
        <w:t>As with environ</w:t>
      </w:r>
      <w:r w:rsidR="00497BF4">
        <w:rPr>
          <w:noProof/>
        </w:rPr>
        <w:t>me</w:t>
      </w:r>
      <w:r>
        <w:rPr>
          <w:noProof/>
        </w:rPr>
        <w:t>n</w:t>
      </w:r>
      <w:r w:rsidR="00E22F60">
        <w:rPr>
          <w:noProof/>
        </w:rPr>
        <w:t>t</w:t>
      </w:r>
      <w:r>
        <w:rPr>
          <w:noProof/>
        </w:rPr>
        <w:t>al securities, th</w:t>
      </w:r>
      <w:r w:rsidRPr="003D42D5">
        <w:rPr>
          <w:noProof/>
        </w:rPr>
        <w:t xml:space="preserve">e </w:t>
      </w:r>
      <w:r>
        <w:rPr>
          <w:noProof/>
        </w:rPr>
        <w:t xml:space="preserve">standardised costs and methodologies required to calulate these securities are still being finalised. Once these have been </w:t>
      </w:r>
      <w:r w:rsidRPr="003D42D5">
        <w:rPr>
          <w:noProof/>
        </w:rPr>
        <w:t>determined by the Minister</w:t>
      </w:r>
      <w:r w:rsidR="00A01ADA">
        <w:rPr>
          <w:noProof/>
        </w:rPr>
        <w:t xml:space="preserve"> for Mini</w:t>
      </w:r>
      <w:r w:rsidR="00FA377D">
        <w:rPr>
          <w:noProof/>
        </w:rPr>
        <w:t>n</w:t>
      </w:r>
      <w:r w:rsidR="00A01ADA">
        <w:rPr>
          <w:noProof/>
        </w:rPr>
        <w:t>g and Industry</w:t>
      </w:r>
      <w:r w:rsidRPr="003D42D5">
        <w:rPr>
          <w:noProof/>
        </w:rPr>
        <w:t xml:space="preserve"> </w:t>
      </w:r>
      <w:r>
        <w:rPr>
          <w:noProof/>
        </w:rPr>
        <w:t xml:space="preserve">they will be </w:t>
      </w:r>
      <w:r w:rsidRPr="003D42D5">
        <w:rPr>
          <w:noProof/>
        </w:rPr>
        <w:t xml:space="preserve">published </w:t>
      </w:r>
      <w:r>
        <w:rPr>
          <w:noProof/>
        </w:rPr>
        <w:t xml:space="preserve">online. </w:t>
      </w:r>
    </w:p>
    <w:p w14:paraId="4FC324C2" w14:textId="77777777" w:rsidR="0000336C" w:rsidRDefault="0000336C" w:rsidP="001C5831">
      <w:pPr>
        <w:pStyle w:val="Heading2"/>
      </w:pPr>
      <w:bookmarkStart w:id="19" w:name="_Toc126684381"/>
      <w:bookmarkStart w:id="20" w:name="_Toc137719063"/>
      <w:r>
        <w:t>Insurance</w:t>
      </w:r>
      <w:bookmarkEnd w:id="19"/>
      <w:bookmarkEnd w:id="20"/>
    </w:p>
    <w:p w14:paraId="0C65FB73" w14:textId="77777777" w:rsidR="0000336C" w:rsidRDefault="0000336C" w:rsidP="0000336C">
      <w:r>
        <w:t xml:space="preserve">New </w:t>
      </w:r>
      <w:r w:rsidR="00E22F60">
        <w:t>section</w:t>
      </w:r>
      <w:r>
        <w:t xml:space="preserve"> 57AAE of the </w:t>
      </w:r>
      <w:r w:rsidR="005844E2">
        <w:t xml:space="preserve">amending </w:t>
      </w:r>
      <w:r>
        <w:t>Act establishes that, as a condition of a petroleum permit or licence, all petroleum interest holders must maintain an insurance policy as required by the Minister. Insurance policies will need to be issued by an appropriately regulated entity and should contains an appropriate minimum coverage per unexpected petroleum incident and will need to adequately cover third party damages and liabilities, including environmental impacts and damages.</w:t>
      </w:r>
    </w:p>
    <w:p w14:paraId="3F6C1D81" w14:textId="77777777" w:rsidR="0000336C" w:rsidRPr="005E689C" w:rsidRDefault="0000336C" w:rsidP="001C5831">
      <w:pPr>
        <w:pStyle w:val="Heading1"/>
      </w:pPr>
      <w:bookmarkStart w:id="21" w:name="_Toc137719064"/>
      <w:r w:rsidRPr="005E689C">
        <w:t>Orphan well levy</w:t>
      </w:r>
      <w:bookmarkEnd w:id="21"/>
    </w:p>
    <w:p w14:paraId="31B4B694" w14:textId="77777777" w:rsidR="0000336C" w:rsidRPr="00A636CB" w:rsidRDefault="0000336C" w:rsidP="0000336C">
      <w:r>
        <w:t>The orphan well levy is a</w:t>
      </w:r>
      <w:r w:rsidRPr="00A636CB">
        <w:t xml:space="preserve"> non-refundable levy</w:t>
      </w:r>
      <w:r>
        <w:t xml:space="preserve"> that must be paid by all petroleum interest holders</w:t>
      </w:r>
      <w:r w:rsidRPr="00A636CB">
        <w:t xml:space="preserve"> for the </w:t>
      </w:r>
      <w:r>
        <w:t xml:space="preserve">purpose of </w:t>
      </w:r>
      <w:r w:rsidRPr="00A636CB">
        <w:t>long-term monitoring, management and remediation of abandoned onshore gas wells in the NT.</w:t>
      </w:r>
    </w:p>
    <w:p w14:paraId="7CCD2800" w14:textId="77777777" w:rsidR="005844E2" w:rsidRDefault="0000336C" w:rsidP="0000336C">
      <w:r>
        <w:t>New Part VE of the</w:t>
      </w:r>
      <w:r w:rsidRPr="005E689C">
        <w:t xml:space="preserve"> </w:t>
      </w:r>
      <w:r w:rsidR="005844E2">
        <w:t xml:space="preserve">amending </w:t>
      </w:r>
      <w:r>
        <w:t xml:space="preserve">Act establishes that an </w:t>
      </w:r>
      <w:r w:rsidRPr="005E689C">
        <w:t xml:space="preserve">orphan well levy </w:t>
      </w:r>
      <w:r>
        <w:t>must be paid</w:t>
      </w:r>
      <w:r w:rsidRPr="005E689C">
        <w:t xml:space="preserve"> annually, per graticular</w:t>
      </w:r>
      <w:r>
        <w:t xml:space="preserve"> block, across all petroleum titles.</w:t>
      </w:r>
      <w:r w:rsidRPr="00B35E68">
        <w:t xml:space="preserve"> </w:t>
      </w:r>
      <w:r w:rsidRPr="005E689C">
        <w:t xml:space="preserve">The amount payable </w:t>
      </w:r>
      <w:r>
        <w:t xml:space="preserve">in 2023/24 </w:t>
      </w:r>
      <w:r w:rsidRPr="005E689C">
        <w:t xml:space="preserve">will </w:t>
      </w:r>
      <w:r>
        <w:t>be</w:t>
      </w:r>
      <w:r w:rsidRPr="005E689C">
        <w:t xml:space="preserve"> 84 revenue units</w:t>
      </w:r>
      <w:r>
        <w:t xml:space="preserve"> per block</w:t>
      </w:r>
      <w:r w:rsidRPr="005E689C">
        <w:t xml:space="preserve"> increasin</w:t>
      </w:r>
      <w:r>
        <w:t xml:space="preserve">g by 15 revenue units per year </w:t>
      </w:r>
      <w:r w:rsidRPr="005E689C">
        <w:t>(or a number specified by regulation)</w:t>
      </w:r>
      <w:r>
        <w:t>.</w:t>
      </w:r>
      <w:r w:rsidR="005844E2">
        <w:t xml:space="preserve"> New Part 5C of the Petroleum Regulations describes an annual increase in the rate of the levy that will apply until 2034/2035.</w:t>
      </w:r>
    </w:p>
    <w:p w14:paraId="658478D7" w14:textId="77777777" w:rsidR="005844E2" w:rsidRDefault="005844E2" w:rsidP="0000336C">
      <w:r>
        <w:t xml:space="preserve">The Table below provides an indication of levy amounts payable, taking into account the increasing number of revenue units described in Part 5C of the Petroleum Regulations, as well as the minimum 3% increase expected in the value of individual revenue unit. </w:t>
      </w:r>
    </w:p>
    <w:tbl>
      <w:tblPr>
        <w:tblW w:w="0" w:type="auto"/>
        <w:tblCellMar>
          <w:left w:w="0" w:type="dxa"/>
          <w:right w:w="0" w:type="dxa"/>
        </w:tblCellMar>
        <w:tblLook w:val="04A0" w:firstRow="1" w:lastRow="0" w:firstColumn="1" w:lastColumn="0" w:noHBand="0" w:noVBand="1"/>
      </w:tblPr>
      <w:tblGrid>
        <w:gridCol w:w="2258"/>
        <w:gridCol w:w="4253"/>
        <w:gridCol w:w="3685"/>
      </w:tblGrid>
      <w:tr w:rsidR="00D4785F" w14:paraId="37E0D5DC" w14:textId="77777777" w:rsidTr="00103A80">
        <w:tc>
          <w:tcPr>
            <w:tcW w:w="1019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1CBF3A" w14:textId="77777777" w:rsidR="00D4785F" w:rsidRPr="00D4785F" w:rsidRDefault="00D4785F" w:rsidP="00103A80">
            <w:pPr>
              <w:spacing w:before="40" w:after="40"/>
              <w:rPr>
                <w:rFonts w:ascii="Calibri" w:hAnsi="Calibri"/>
                <w:b/>
                <w:bCs/>
                <w:sz w:val="21"/>
                <w:szCs w:val="21"/>
              </w:rPr>
            </w:pPr>
            <w:r w:rsidRPr="00D4785F">
              <w:rPr>
                <w:b/>
                <w:bCs/>
                <w:sz w:val="21"/>
                <w:szCs w:val="21"/>
              </w:rPr>
              <w:t>Orphan Well Levy</w:t>
            </w:r>
          </w:p>
        </w:tc>
      </w:tr>
      <w:tr w:rsidR="00D4785F" w14:paraId="78A13B78" w14:textId="77777777" w:rsidTr="005844E2">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791ED4" w14:textId="77777777" w:rsidR="00D4785F" w:rsidRPr="00D4785F" w:rsidRDefault="00D4785F" w:rsidP="00103A80">
            <w:pPr>
              <w:spacing w:before="40" w:after="40"/>
              <w:rPr>
                <w:sz w:val="21"/>
                <w:szCs w:val="21"/>
              </w:rPr>
            </w:pPr>
            <w:r w:rsidRPr="00D4785F">
              <w:rPr>
                <w:sz w:val="21"/>
                <w:szCs w:val="21"/>
              </w:rPr>
              <w:t>Year</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A096EA" w14:textId="77777777" w:rsidR="00D4785F" w:rsidRPr="00D4785F" w:rsidRDefault="00FB02CB" w:rsidP="00103A80">
            <w:pPr>
              <w:spacing w:before="40" w:after="40"/>
              <w:rPr>
                <w:sz w:val="21"/>
                <w:szCs w:val="21"/>
              </w:rPr>
            </w:pPr>
            <w:r>
              <w:rPr>
                <w:sz w:val="21"/>
                <w:szCs w:val="21"/>
              </w:rPr>
              <w:t>Levy Amount per Block</w:t>
            </w:r>
            <w:r w:rsidR="0045299D">
              <w:rPr>
                <w:rStyle w:val="FootnoteReference"/>
                <w:sz w:val="21"/>
                <w:szCs w:val="21"/>
              </w:rPr>
              <w:footnoteReference w:id="3"/>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CA5811" w14:textId="77777777" w:rsidR="00D4785F" w:rsidRPr="00D4785F" w:rsidRDefault="00D4785F" w:rsidP="00103A80">
            <w:pPr>
              <w:spacing w:before="40" w:after="40"/>
              <w:jc w:val="center"/>
              <w:rPr>
                <w:sz w:val="21"/>
                <w:szCs w:val="21"/>
              </w:rPr>
            </w:pPr>
            <w:r w:rsidRPr="00D4785F">
              <w:rPr>
                <w:sz w:val="21"/>
                <w:szCs w:val="21"/>
              </w:rPr>
              <w:t>Maximum Levy per title</w:t>
            </w:r>
            <w:r w:rsidR="00103A80">
              <w:rPr>
                <w:sz w:val="21"/>
                <w:szCs w:val="21"/>
              </w:rPr>
              <w:t xml:space="preserve"> </w:t>
            </w:r>
            <w:r w:rsidRPr="00D4785F">
              <w:rPr>
                <w:sz w:val="21"/>
                <w:szCs w:val="21"/>
              </w:rPr>
              <w:t>(200 blocks)</w:t>
            </w:r>
          </w:p>
        </w:tc>
      </w:tr>
      <w:tr w:rsidR="00D4785F" w14:paraId="2A0840C0" w14:textId="77777777" w:rsidTr="005844E2">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736CBE" w14:textId="77777777" w:rsidR="00D4785F" w:rsidRPr="00D4785F" w:rsidRDefault="00D4785F" w:rsidP="00103A80">
            <w:pPr>
              <w:spacing w:before="40" w:after="40"/>
              <w:rPr>
                <w:sz w:val="21"/>
                <w:szCs w:val="21"/>
              </w:rPr>
            </w:pPr>
            <w:r w:rsidRPr="00D4785F">
              <w:rPr>
                <w:sz w:val="21"/>
                <w:szCs w:val="21"/>
              </w:rPr>
              <w:t>2023/2024</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1FA27E" w14:textId="77777777" w:rsidR="00D4785F" w:rsidRPr="00D4785F" w:rsidRDefault="00D4785F" w:rsidP="00433308">
            <w:pPr>
              <w:spacing w:before="40" w:after="40"/>
              <w:rPr>
                <w:sz w:val="21"/>
                <w:szCs w:val="21"/>
              </w:rPr>
            </w:pPr>
            <w:r w:rsidRPr="00D4785F">
              <w:rPr>
                <w:sz w:val="21"/>
                <w:szCs w:val="21"/>
              </w:rPr>
              <w:t>84 revenue units</w:t>
            </w:r>
            <w:r w:rsidR="0046335F">
              <w:rPr>
                <w:sz w:val="21"/>
                <w:szCs w:val="21"/>
              </w:rPr>
              <w:t xml:space="preserve"> x $1.35</w:t>
            </w:r>
            <w:r w:rsidRPr="00D4785F">
              <w:rPr>
                <w:sz w:val="21"/>
                <w:szCs w:val="21"/>
              </w:rPr>
              <w:t xml:space="preserve"> ($</w:t>
            </w:r>
            <w:r w:rsidR="00433308">
              <w:rPr>
                <w:sz w:val="21"/>
                <w:szCs w:val="21"/>
              </w:rPr>
              <w:t>113</w:t>
            </w:r>
            <w:r w:rsidRPr="00D4785F">
              <w:rPr>
                <w:sz w:val="21"/>
                <w:szCs w:val="21"/>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A9A412" w14:textId="77777777" w:rsidR="00D4785F" w:rsidRPr="00D4785F" w:rsidRDefault="00D4785F" w:rsidP="0048497E">
            <w:pPr>
              <w:spacing w:before="40" w:after="40"/>
              <w:jc w:val="center"/>
              <w:rPr>
                <w:sz w:val="21"/>
                <w:szCs w:val="21"/>
              </w:rPr>
            </w:pPr>
            <w:r w:rsidRPr="00D4785F">
              <w:rPr>
                <w:sz w:val="21"/>
                <w:szCs w:val="21"/>
              </w:rPr>
              <w:t>$</w:t>
            </w:r>
            <w:r w:rsidR="0046335F">
              <w:rPr>
                <w:sz w:val="21"/>
                <w:szCs w:val="21"/>
              </w:rPr>
              <w:t>22</w:t>
            </w:r>
            <w:r w:rsidR="005844E2">
              <w:rPr>
                <w:sz w:val="21"/>
                <w:szCs w:val="21"/>
              </w:rPr>
              <w:t>,</w:t>
            </w:r>
            <w:r w:rsidR="0046335F">
              <w:rPr>
                <w:sz w:val="21"/>
                <w:szCs w:val="21"/>
              </w:rPr>
              <w:t>680</w:t>
            </w:r>
          </w:p>
        </w:tc>
      </w:tr>
      <w:tr w:rsidR="00D4785F" w14:paraId="3D558493" w14:textId="77777777" w:rsidTr="005844E2">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A8C31E" w14:textId="77777777" w:rsidR="00D4785F" w:rsidRPr="00D4785F" w:rsidRDefault="00D4785F" w:rsidP="00103A80">
            <w:pPr>
              <w:spacing w:before="40" w:after="40"/>
              <w:rPr>
                <w:sz w:val="21"/>
                <w:szCs w:val="21"/>
              </w:rPr>
            </w:pPr>
            <w:r w:rsidRPr="00D4785F">
              <w:rPr>
                <w:sz w:val="21"/>
                <w:szCs w:val="21"/>
              </w:rPr>
              <w:t>2024/2025</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5226AB" w14:textId="77777777" w:rsidR="00D4785F" w:rsidRPr="00D4785F" w:rsidRDefault="00D4785F" w:rsidP="00433308">
            <w:pPr>
              <w:spacing w:before="40" w:after="40"/>
              <w:rPr>
                <w:sz w:val="21"/>
                <w:szCs w:val="21"/>
              </w:rPr>
            </w:pPr>
            <w:r w:rsidRPr="00D4785F">
              <w:rPr>
                <w:sz w:val="21"/>
                <w:szCs w:val="21"/>
              </w:rPr>
              <w:t xml:space="preserve">99 revenue units </w:t>
            </w:r>
            <w:r w:rsidR="0046335F">
              <w:rPr>
                <w:sz w:val="21"/>
                <w:szCs w:val="21"/>
              </w:rPr>
              <w:t xml:space="preserve">x $1.39 </w:t>
            </w:r>
            <w:r w:rsidRPr="00D4785F">
              <w:rPr>
                <w:sz w:val="21"/>
                <w:szCs w:val="21"/>
              </w:rPr>
              <w:t>($</w:t>
            </w:r>
            <w:r w:rsidR="00642360">
              <w:rPr>
                <w:sz w:val="21"/>
                <w:szCs w:val="21"/>
              </w:rPr>
              <w:t>137</w:t>
            </w:r>
            <w:r w:rsidRPr="00D4785F">
              <w:rPr>
                <w:sz w:val="21"/>
                <w:szCs w:val="21"/>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A266FB" w14:textId="77777777" w:rsidR="00D4785F" w:rsidRPr="00D4785F" w:rsidRDefault="00D4785F" w:rsidP="0048497E">
            <w:pPr>
              <w:spacing w:before="40" w:after="40"/>
              <w:jc w:val="center"/>
              <w:rPr>
                <w:sz w:val="21"/>
                <w:szCs w:val="21"/>
              </w:rPr>
            </w:pPr>
            <w:r w:rsidRPr="00D4785F">
              <w:rPr>
                <w:sz w:val="21"/>
                <w:szCs w:val="21"/>
              </w:rPr>
              <w:t>$</w:t>
            </w:r>
            <w:r w:rsidR="0046335F">
              <w:rPr>
                <w:sz w:val="21"/>
                <w:szCs w:val="21"/>
              </w:rPr>
              <w:t>2</w:t>
            </w:r>
            <w:r w:rsidR="00E46557">
              <w:rPr>
                <w:sz w:val="21"/>
                <w:szCs w:val="21"/>
              </w:rPr>
              <w:t>7</w:t>
            </w:r>
            <w:r w:rsidR="005844E2">
              <w:rPr>
                <w:sz w:val="21"/>
                <w:szCs w:val="21"/>
              </w:rPr>
              <w:t>,</w:t>
            </w:r>
            <w:r w:rsidR="00E46557">
              <w:rPr>
                <w:sz w:val="21"/>
                <w:szCs w:val="21"/>
              </w:rPr>
              <w:t>400</w:t>
            </w:r>
          </w:p>
        </w:tc>
      </w:tr>
      <w:tr w:rsidR="00D4785F" w14:paraId="27A64662" w14:textId="77777777" w:rsidTr="005844E2">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CBC9A1" w14:textId="77777777" w:rsidR="00D4785F" w:rsidRPr="00D4785F" w:rsidRDefault="00D4785F" w:rsidP="00103A80">
            <w:pPr>
              <w:spacing w:before="40" w:after="40"/>
              <w:rPr>
                <w:sz w:val="21"/>
                <w:szCs w:val="21"/>
              </w:rPr>
            </w:pPr>
            <w:r w:rsidRPr="00D4785F">
              <w:rPr>
                <w:sz w:val="21"/>
                <w:szCs w:val="21"/>
              </w:rPr>
              <w:t>2025/2026</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02F13D" w14:textId="77777777" w:rsidR="00D4785F" w:rsidRPr="00D4785F" w:rsidRDefault="00D4785F" w:rsidP="00433308">
            <w:pPr>
              <w:spacing w:before="40" w:after="40"/>
              <w:rPr>
                <w:sz w:val="21"/>
                <w:szCs w:val="21"/>
              </w:rPr>
            </w:pPr>
            <w:r w:rsidRPr="00D4785F">
              <w:rPr>
                <w:sz w:val="21"/>
                <w:szCs w:val="21"/>
              </w:rPr>
              <w:t>114 revenue units</w:t>
            </w:r>
            <w:r w:rsidR="0046335F">
              <w:rPr>
                <w:sz w:val="21"/>
                <w:szCs w:val="21"/>
              </w:rPr>
              <w:t xml:space="preserve"> x $1.43</w:t>
            </w:r>
            <w:r w:rsidRPr="00D4785F">
              <w:rPr>
                <w:sz w:val="21"/>
                <w:szCs w:val="21"/>
              </w:rPr>
              <w:t xml:space="preserve"> ($</w:t>
            </w:r>
            <w:r w:rsidR="00642360">
              <w:rPr>
                <w:sz w:val="21"/>
                <w:szCs w:val="21"/>
              </w:rPr>
              <w:t>163</w:t>
            </w:r>
            <w:r w:rsidRPr="00D4785F">
              <w:rPr>
                <w:sz w:val="21"/>
                <w:szCs w:val="21"/>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EDA381" w14:textId="77777777" w:rsidR="00D4785F" w:rsidRPr="00D4785F" w:rsidRDefault="00D4785F" w:rsidP="0048497E">
            <w:pPr>
              <w:spacing w:before="40" w:after="40"/>
              <w:jc w:val="center"/>
              <w:rPr>
                <w:sz w:val="21"/>
                <w:szCs w:val="21"/>
              </w:rPr>
            </w:pPr>
            <w:r w:rsidRPr="00D4785F">
              <w:rPr>
                <w:sz w:val="21"/>
                <w:szCs w:val="21"/>
              </w:rPr>
              <w:t>$</w:t>
            </w:r>
            <w:r w:rsidR="00E46557">
              <w:rPr>
                <w:sz w:val="21"/>
                <w:szCs w:val="21"/>
              </w:rPr>
              <w:t>32</w:t>
            </w:r>
            <w:r w:rsidR="005844E2">
              <w:rPr>
                <w:sz w:val="21"/>
                <w:szCs w:val="21"/>
              </w:rPr>
              <w:t>,</w:t>
            </w:r>
            <w:r w:rsidR="00E46557">
              <w:rPr>
                <w:sz w:val="21"/>
                <w:szCs w:val="21"/>
              </w:rPr>
              <w:t>600</w:t>
            </w:r>
          </w:p>
        </w:tc>
      </w:tr>
      <w:tr w:rsidR="00D4785F" w14:paraId="0FF91A6A" w14:textId="77777777" w:rsidTr="005844E2">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E6F21F" w14:textId="77777777" w:rsidR="00D4785F" w:rsidRPr="00D4785F" w:rsidRDefault="00D4785F" w:rsidP="00103A80">
            <w:pPr>
              <w:spacing w:before="40" w:after="40"/>
              <w:rPr>
                <w:sz w:val="21"/>
                <w:szCs w:val="21"/>
              </w:rPr>
            </w:pPr>
            <w:r w:rsidRPr="00D4785F">
              <w:rPr>
                <w:sz w:val="21"/>
                <w:szCs w:val="21"/>
              </w:rPr>
              <w:t>2026/2027</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E364E8" w14:textId="77777777" w:rsidR="00D4785F" w:rsidRPr="00D4785F" w:rsidRDefault="00D4785F" w:rsidP="00FA377D">
            <w:pPr>
              <w:spacing w:before="40" w:after="40"/>
              <w:rPr>
                <w:sz w:val="21"/>
                <w:szCs w:val="21"/>
              </w:rPr>
            </w:pPr>
            <w:r w:rsidRPr="00D4785F">
              <w:rPr>
                <w:sz w:val="21"/>
                <w:szCs w:val="21"/>
              </w:rPr>
              <w:t>129 revenue units</w:t>
            </w:r>
            <w:r w:rsidR="0046335F">
              <w:rPr>
                <w:sz w:val="21"/>
                <w:szCs w:val="21"/>
              </w:rPr>
              <w:t xml:space="preserve"> </w:t>
            </w:r>
            <w:r w:rsidR="00642360">
              <w:rPr>
                <w:sz w:val="21"/>
                <w:szCs w:val="21"/>
              </w:rPr>
              <w:t>x $1.47</w:t>
            </w:r>
            <w:r w:rsidRPr="00D4785F">
              <w:rPr>
                <w:sz w:val="21"/>
                <w:szCs w:val="21"/>
              </w:rPr>
              <w:t xml:space="preserve"> ($</w:t>
            </w:r>
            <w:r w:rsidR="00642360">
              <w:rPr>
                <w:sz w:val="21"/>
                <w:szCs w:val="21"/>
              </w:rPr>
              <w:t>1</w:t>
            </w:r>
            <w:r w:rsidR="00FA377D">
              <w:rPr>
                <w:sz w:val="21"/>
                <w:szCs w:val="21"/>
              </w:rPr>
              <w:t>89</w:t>
            </w:r>
            <w:r w:rsidRPr="00D4785F">
              <w:rPr>
                <w:sz w:val="21"/>
                <w:szCs w:val="21"/>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A2E35B" w14:textId="77777777" w:rsidR="00D4785F" w:rsidRPr="00D4785F" w:rsidRDefault="00D4785F" w:rsidP="00FA377D">
            <w:pPr>
              <w:spacing w:before="40" w:after="40"/>
              <w:jc w:val="center"/>
              <w:rPr>
                <w:sz w:val="21"/>
                <w:szCs w:val="21"/>
              </w:rPr>
            </w:pPr>
            <w:r w:rsidRPr="00D4785F">
              <w:rPr>
                <w:sz w:val="21"/>
                <w:szCs w:val="21"/>
              </w:rPr>
              <w:t>$</w:t>
            </w:r>
            <w:r w:rsidR="00FA377D">
              <w:rPr>
                <w:sz w:val="21"/>
                <w:szCs w:val="21"/>
              </w:rPr>
              <w:t>37,800</w:t>
            </w:r>
          </w:p>
        </w:tc>
      </w:tr>
      <w:tr w:rsidR="00D4785F" w14:paraId="26B1B357" w14:textId="77777777" w:rsidTr="005844E2">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770DD4" w14:textId="77777777" w:rsidR="00D4785F" w:rsidRPr="00D4785F" w:rsidRDefault="00D4785F" w:rsidP="00103A80">
            <w:pPr>
              <w:spacing w:before="40" w:after="40"/>
              <w:rPr>
                <w:sz w:val="21"/>
                <w:szCs w:val="21"/>
              </w:rPr>
            </w:pPr>
            <w:r w:rsidRPr="00D4785F">
              <w:rPr>
                <w:sz w:val="21"/>
                <w:szCs w:val="21"/>
              </w:rPr>
              <w:t>2027/2028</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5A5623" w14:textId="77777777" w:rsidR="00D4785F" w:rsidRPr="00D4785F" w:rsidRDefault="00D4785F" w:rsidP="00433308">
            <w:pPr>
              <w:spacing w:before="40" w:after="40"/>
              <w:rPr>
                <w:sz w:val="21"/>
                <w:szCs w:val="21"/>
              </w:rPr>
            </w:pPr>
            <w:r w:rsidRPr="00D4785F">
              <w:rPr>
                <w:sz w:val="21"/>
                <w:szCs w:val="21"/>
              </w:rPr>
              <w:t xml:space="preserve">144 revenue units </w:t>
            </w:r>
            <w:r w:rsidR="00642360">
              <w:rPr>
                <w:sz w:val="21"/>
                <w:szCs w:val="21"/>
              </w:rPr>
              <w:t xml:space="preserve">x $1.51 </w:t>
            </w:r>
            <w:r w:rsidRPr="00D4785F">
              <w:rPr>
                <w:sz w:val="21"/>
                <w:szCs w:val="21"/>
              </w:rPr>
              <w:t>($</w:t>
            </w:r>
            <w:r w:rsidR="00642360">
              <w:rPr>
                <w:sz w:val="21"/>
                <w:szCs w:val="21"/>
              </w:rPr>
              <w:t>217</w:t>
            </w:r>
            <w:r w:rsidRPr="00D4785F">
              <w:rPr>
                <w:sz w:val="21"/>
                <w:szCs w:val="21"/>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A72136" w14:textId="77777777" w:rsidR="00D4785F" w:rsidRPr="00D4785F" w:rsidRDefault="00D4785F" w:rsidP="0048497E">
            <w:pPr>
              <w:spacing w:before="40" w:after="40"/>
              <w:jc w:val="center"/>
              <w:rPr>
                <w:sz w:val="21"/>
                <w:szCs w:val="21"/>
              </w:rPr>
            </w:pPr>
            <w:r w:rsidRPr="00D4785F">
              <w:rPr>
                <w:sz w:val="21"/>
                <w:szCs w:val="21"/>
              </w:rPr>
              <w:t>$</w:t>
            </w:r>
            <w:r w:rsidR="00E46557">
              <w:rPr>
                <w:sz w:val="21"/>
                <w:szCs w:val="21"/>
              </w:rPr>
              <w:t>43</w:t>
            </w:r>
            <w:r w:rsidR="005844E2">
              <w:rPr>
                <w:sz w:val="21"/>
                <w:szCs w:val="21"/>
              </w:rPr>
              <w:t>,</w:t>
            </w:r>
            <w:r w:rsidR="00E46557">
              <w:rPr>
                <w:sz w:val="21"/>
                <w:szCs w:val="21"/>
              </w:rPr>
              <w:t>400</w:t>
            </w:r>
          </w:p>
        </w:tc>
      </w:tr>
      <w:tr w:rsidR="00D4785F" w14:paraId="0129C757" w14:textId="77777777" w:rsidTr="005844E2">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39D638" w14:textId="77777777" w:rsidR="00D4785F" w:rsidRPr="00D4785F" w:rsidRDefault="00D4785F" w:rsidP="00103A80">
            <w:pPr>
              <w:spacing w:before="40" w:after="40"/>
              <w:rPr>
                <w:sz w:val="21"/>
                <w:szCs w:val="21"/>
              </w:rPr>
            </w:pPr>
            <w:r w:rsidRPr="00D4785F">
              <w:rPr>
                <w:sz w:val="21"/>
                <w:szCs w:val="21"/>
              </w:rPr>
              <w:t>2028/2029</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DBD781" w14:textId="77777777" w:rsidR="00D4785F" w:rsidRPr="00D4785F" w:rsidRDefault="00D4785F" w:rsidP="00433308">
            <w:pPr>
              <w:spacing w:before="40" w:after="40"/>
              <w:rPr>
                <w:sz w:val="21"/>
                <w:szCs w:val="21"/>
              </w:rPr>
            </w:pPr>
            <w:r w:rsidRPr="00D4785F">
              <w:rPr>
                <w:sz w:val="21"/>
                <w:szCs w:val="21"/>
              </w:rPr>
              <w:t xml:space="preserve">159 revenue units </w:t>
            </w:r>
            <w:r w:rsidR="00642360">
              <w:rPr>
                <w:sz w:val="21"/>
                <w:szCs w:val="21"/>
              </w:rPr>
              <w:t xml:space="preserve">x $1.55 </w:t>
            </w:r>
            <w:r w:rsidRPr="00D4785F">
              <w:rPr>
                <w:sz w:val="21"/>
                <w:szCs w:val="21"/>
              </w:rPr>
              <w:t>($</w:t>
            </w:r>
            <w:r w:rsidR="00642360">
              <w:rPr>
                <w:sz w:val="21"/>
                <w:szCs w:val="21"/>
              </w:rPr>
              <w:t>246</w:t>
            </w:r>
            <w:r w:rsidRPr="00D4785F">
              <w:rPr>
                <w:sz w:val="21"/>
                <w:szCs w:val="21"/>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E7580C" w14:textId="77777777" w:rsidR="00D4785F" w:rsidRPr="00D4785F" w:rsidRDefault="00D4785F" w:rsidP="0048497E">
            <w:pPr>
              <w:spacing w:before="40" w:after="40"/>
              <w:jc w:val="center"/>
              <w:rPr>
                <w:sz w:val="21"/>
                <w:szCs w:val="21"/>
              </w:rPr>
            </w:pPr>
            <w:r w:rsidRPr="00D4785F">
              <w:rPr>
                <w:sz w:val="21"/>
                <w:szCs w:val="21"/>
              </w:rPr>
              <w:t>$</w:t>
            </w:r>
            <w:r w:rsidR="00E46557">
              <w:rPr>
                <w:sz w:val="21"/>
                <w:szCs w:val="21"/>
              </w:rPr>
              <w:t>49</w:t>
            </w:r>
            <w:r w:rsidR="005844E2">
              <w:rPr>
                <w:sz w:val="21"/>
                <w:szCs w:val="21"/>
              </w:rPr>
              <w:t>,</w:t>
            </w:r>
            <w:r w:rsidR="00E46557">
              <w:rPr>
                <w:sz w:val="21"/>
                <w:szCs w:val="21"/>
              </w:rPr>
              <w:t>200</w:t>
            </w:r>
          </w:p>
        </w:tc>
      </w:tr>
      <w:tr w:rsidR="00D4785F" w14:paraId="327AA547" w14:textId="77777777" w:rsidTr="005844E2">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D0F533" w14:textId="77777777" w:rsidR="00D4785F" w:rsidRPr="00D4785F" w:rsidRDefault="00D4785F" w:rsidP="00103A80">
            <w:pPr>
              <w:spacing w:before="40" w:after="40"/>
              <w:rPr>
                <w:sz w:val="21"/>
                <w:szCs w:val="21"/>
              </w:rPr>
            </w:pPr>
            <w:r w:rsidRPr="00D4785F">
              <w:rPr>
                <w:sz w:val="21"/>
                <w:szCs w:val="21"/>
              </w:rPr>
              <w:t>2029/2030</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5B7FE3" w14:textId="77777777" w:rsidR="00D4785F" w:rsidRPr="00D4785F" w:rsidRDefault="00D4785F" w:rsidP="00FA377D">
            <w:pPr>
              <w:spacing w:before="40" w:after="40"/>
              <w:rPr>
                <w:sz w:val="21"/>
                <w:szCs w:val="21"/>
              </w:rPr>
            </w:pPr>
            <w:r w:rsidRPr="00D4785F">
              <w:rPr>
                <w:sz w:val="21"/>
                <w:szCs w:val="21"/>
              </w:rPr>
              <w:t>174 revenue units</w:t>
            </w:r>
            <w:r w:rsidR="00642360">
              <w:rPr>
                <w:sz w:val="21"/>
                <w:szCs w:val="21"/>
              </w:rPr>
              <w:t xml:space="preserve"> x $1.59</w:t>
            </w:r>
            <w:r w:rsidRPr="00D4785F">
              <w:rPr>
                <w:sz w:val="21"/>
                <w:szCs w:val="21"/>
              </w:rPr>
              <w:t xml:space="preserve"> ($</w:t>
            </w:r>
            <w:r w:rsidR="00642360">
              <w:rPr>
                <w:sz w:val="21"/>
                <w:szCs w:val="21"/>
              </w:rPr>
              <w:t>27</w:t>
            </w:r>
            <w:r w:rsidR="00FA377D">
              <w:rPr>
                <w:sz w:val="21"/>
                <w:szCs w:val="21"/>
              </w:rPr>
              <w:t>6</w:t>
            </w:r>
            <w:r w:rsidRPr="00D4785F">
              <w:rPr>
                <w:sz w:val="21"/>
                <w:szCs w:val="21"/>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463561" w14:textId="77777777" w:rsidR="00D4785F" w:rsidRPr="00D4785F" w:rsidRDefault="00D4785F" w:rsidP="00FA377D">
            <w:pPr>
              <w:spacing w:before="40" w:after="40"/>
              <w:jc w:val="center"/>
              <w:rPr>
                <w:sz w:val="21"/>
                <w:szCs w:val="21"/>
              </w:rPr>
            </w:pPr>
            <w:r w:rsidRPr="00D4785F">
              <w:rPr>
                <w:sz w:val="21"/>
                <w:szCs w:val="21"/>
              </w:rPr>
              <w:t>$</w:t>
            </w:r>
            <w:r w:rsidR="00E46557">
              <w:rPr>
                <w:sz w:val="21"/>
                <w:szCs w:val="21"/>
              </w:rPr>
              <w:t>55</w:t>
            </w:r>
            <w:r w:rsidR="005844E2">
              <w:rPr>
                <w:sz w:val="21"/>
                <w:szCs w:val="21"/>
              </w:rPr>
              <w:t>,</w:t>
            </w:r>
            <w:r w:rsidR="00FA377D">
              <w:rPr>
                <w:sz w:val="21"/>
                <w:szCs w:val="21"/>
              </w:rPr>
              <w:t>200</w:t>
            </w:r>
          </w:p>
        </w:tc>
      </w:tr>
      <w:tr w:rsidR="00D4785F" w14:paraId="0505C4EF" w14:textId="77777777" w:rsidTr="005844E2">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2362DF" w14:textId="77777777" w:rsidR="00D4785F" w:rsidRPr="00D4785F" w:rsidRDefault="00D4785F" w:rsidP="00103A80">
            <w:pPr>
              <w:spacing w:before="40" w:after="40"/>
              <w:rPr>
                <w:sz w:val="21"/>
                <w:szCs w:val="21"/>
              </w:rPr>
            </w:pPr>
            <w:r w:rsidRPr="00D4785F">
              <w:rPr>
                <w:sz w:val="21"/>
                <w:szCs w:val="21"/>
              </w:rPr>
              <w:t>2030/2031</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94C2D4" w14:textId="77777777" w:rsidR="00D4785F" w:rsidRPr="00D4785F" w:rsidRDefault="00D4785F" w:rsidP="00433308">
            <w:pPr>
              <w:spacing w:before="40" w:after="40"/>
              <w:rPr>
                <w:sz w:val="21"/>
                <w:szCs w:val="21"/>
              </w:rPr>
            </w:pPr>
            <w:r w:rsidRPr="00D4785F">
              <w:rPr>
                <w:sz w:val="21"/>
                <w:szCs w:val="21"/>
              </w:rPr>
              <w:t xml:space="preserve">189 revenue units </w:t>
            </w:r>
            <w:r w:rsidR="00642360">
              <w:rPr>
                <w:sz w:val="21"/>
                <w:szCs w:val="21"/>
              </w:rPr>
              <w:t xml:space="preserve">x $1.63 </w:t>
            </w:r>
            <w:r w:rsidRPr="00D4785F">
              <w:rPr>
                <w:sz w:val="21"/>
                <w:szCs w:val="21"/>
              </w:rPr>
              <w:t>($</w:t>
            </w:r>
            <w:r w:rsidR="00642360">
              <w:rPr>
                <w:sz w:val="21"/>
                <w:szCs w:val="21"/>
              </w:rPr>
              <w:t>308</w:t>
            </w:r>
            <w:r w:rsidRPr="00D4785F">
              <w:rPr>
                <w:sz w:val="21"/>
                <w:szCs w:val="21"/>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03133D" w14:textId="77777777" w:rsidR="00D4785F" w:rsidRPr="00D4785F" w:rsidRDefault="00D4785F" w:rsidP="0048497E">
            <w:pPr>
              <w:spacing w:before="40" w:after="40"/>
              <w:jc w:val="center"/>
              <w:rPr>
                <w:sz w:val="21"/>
                <w:szCs w:val="21"/>
              </w:rPr>
            </w:pPr>
            <w:r w:rsidRPr="00D4785F">
              <w:rPr>
                <w:sz w:val="21"/>
                <w:szCs w:val="21"/>
              </w:rPr>
              <w:t>$</w:t>
            </w:r>
            <w:r w:rsidR="00E46557">
              <w:rPr>
                <w:sz w:val="21"/>
                <w:szCs w:val="21"/>
              </w:rPr>
              <w:t>61</w:t>
            </w:r>
            <w:r w:rsidR="005844E2">
              <w:rPr>
                <w:sz w:val="21"/>
                <w:szCs w:val="21"/>
              </w:rPr>
              <w:t>,</w:t>
            </w:r>
            <w:r w:rsidR="00E46557">
              <w:rPr>
                <w:sz w:val="21"/>
                <w:szCs w:val="21"/>
              </w:rPr>
              <w:t>600</w:t>
            </w:r>
          </w:p>
        </w:tc>
      </w:tr>
      <w:tr w:rsidR="00D4785F" w14:paraId="245F31C5" w14:textId="77777777" w:rsidTr="005844E2">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60BA06" w14:textId="77777777" w:rsidR="00D4785F" w:rsidRPr="00D4785F" w:rsidRDefault="00D4785F" w:rsidP="00103A80">
            <w:pPr>
              <w:spacing w:before="40" w:after="40"/>
              <w:rPr>
                <w:sz w:val="21"/>
                <w:szCs w:val="21"/>
              </w:rPr>
            </w:pPr>
            <w:r w:rsidRPr="00D4785F">
              <w:rPr>
                <w:sz w:val="21"/>
                <w:szCs w:val="21"/>
              </w:rPr>
              <w:t>2031/2032</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CD50AC" w14:textId="77777777" w:rsidR="00D4785F" w:rsidRPr="00D4785F" w:rsidRDefault="00D4785F" w:rsidP="00FA377D">
            <w:pPr>
              <w:spacing w:before="40" w:after="40"/>
              <w:rPr>
                <w:sz w:val="21"/>
                <w:szCs w:val="21"/>
              </w:rPr>
            </w:pPr>
            <w:r w:rsidRPr="00D4785F">
              <w:rPr>
                <w:sz w:val="21"/>
                <w:szCs w:val="21"/>
              </w:rPr>
              <w:t xml:space="preserve">204 revenue units </w:t>
            </w:r>
            <w:r w:rsidR="00642360">
              <w:rPr>
                <w:sz w:val="21"/>
                <w:szCs w:val="21"/>
              </w:rPr>
              <w:t xml:space="preserve">x 1.67 </w:t>
            </w:r>
            <w:r w:rsidRPr="00D4785F">
              <w:rPr>
                <w:sz w:val="21"/>
                <w:szCs w:val="21"/>
              </w:rPr>
              <w:t>($</w:t>
            </w:r>
            <w:r w:rsidR="00642360">
              <w:rPr>
                <w:sz w:val="21"/>
                <w:szCs w:val="21"/>
              </w:rPr>
              <w:t>34</w:t>
            </w:r>
            <w:r w:rsidR="00FA377D">
              <w:rPr>
                <w:sz w:val="21"/>
                <w:szCs w:val="21"/>
              </w:rPr>
              <w:t>0</w:t>
            </w:r>
            <w:r w:rsidRPr="00D4785F">
              <w:rPr>
                <w:sz w:val="21"/>
                <w:szCs w:val="21"/>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9C9DD1" w14:textId="77777777" w:rsidR="00D4785F" w:rsidRPr="00D4785F" w:rsidRDefault="00D4785F" w:rsidP="0048497E">
            <w:pPr>
              <w:spacing w:before="40" w:after="40"/>
              <w:jc w:val="center"/>
              <w:rPr>
                <w:sz w:val="21"/>
                <w:szCs w:val="21"/>
              </w:rPr>
            </w:pPr>
            <w:r w:rsidRPr="00D4785F">
              <w:rPr>
                <w:sz w:val="21"/>
                <w:szCs w:val="21"/>
              </w:rPr>
              <w:t>$</w:t>
            </w:r>
            <w:r w:rsidR="00E46557">
              <w:rPr>
                <w:sz w:val="21"/>
                <w:szCs w:val="21"/>
              </w:rPr>
              <w:t>68</w:t>
            </w:r>
            <w:r w:rsidR="005844E2">
              <w:rPr>
                <w:sz w:val="21"/>
                <w:szCs w:val="21"/>
              </w:rPr>
              <w:t>,</w:t>
            </w:r>
            <w:r w:rsidR="00FA377D">
              <w:rPr>
                <w:sz w:val="21"/>
                <w:szCs w:val="21"/>
              </w:rPr>
              <w:t>0</w:t>
            </w:r>
            <w:r w:rsidR="00E46557">
              <w:rPr>
                <w:sz w:val="21"/>
                <w:szCs w:val="21"/>
              </w:rPr>
              <w:t>00</w:t>
            </w:r>
          </w:p>
        </w:tc>
      </w:tr>
      <w:tr w:rsidR="00D4785F" w14:paraId="71AA77D2" w14:textId="77777777" w:rsidTr="005844E2">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051A0C" w14:textId="77777777" w:rsidR="00D4785F" w:rsidRPr="00D4785F" w:rsidRDefault="00D4785F" w:rsidP="00103A80">
            <w:pPr>
              <w:spacing w:before="40" w:after="40"/>
              <w:rPr>
                <w:sz w:val="21"/>
                <w:szCs w:val="21"/>
              </w:rPr>
            </w:pPr>
            <w:r w:rsidRPr="00D4785F">
              <w:rPr>
                <w:sz w:val="21"/>
                <w:szCs w:val="21"/>
              </w:rPr>
              <w:t>2032/2033</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C52324" w14:textId="77777777" w:rsidR="00D4785F" w:rsidRPr="00D4785F" w:rsidRDefault="00D4785F" w:rsidP="00433308">
            <w:pPr>
              <w:spacing w:before="40" w:after="40"/>
              <w:rPr>
                <w:sz w:val="21"/>
                <w:szCs w:val="21"/>
              </w:rPr>
            </w:pPr>
            <w:r w:rsidRPr="00D4785F">
              <w:rPr>
                <w:sz w:val="21"/>
                <w:szCs w:val="21"/>
              </w:rPr>
              <w:t>219 revenue units</w:t>
            </w:r>
            <w:r w:rsidR="00642360">
              <w:rPr>
                <w:sz w:val="21"/>
                <w:szCs w:val="21"/>
              </w:rPr>
              <w:t xml:space="preserve"> x 1.71</w:t>
            </w:r>
            <w:r w:rsidRPr="00D4785F">
              <w:rPr>
                <w:sz w:val="21"/>
                <w:szCs w:val="21"/>
              </w:rPr>
              <w:t xml:space="preserve"> ($</w:t>
            </w:r>
            <w:r w:rsidR="00642360">
              <w:rPr>
                <w:sz w:val="21"/>
                <w:szCs w:val="21"/>
              </w:rPr>
              <w:t>374</w:t>
            </w:r>
            <w:r w:rsidRPr="00D4785F">
              <w:rPr>
                <w:sz w:val="21"/>
                <w:szCs w:val="21"/>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E1DB65" w14:textId="77777777" w:rsidR="00D4785F" w:rsidRPr="00D4785F" w:rsidRDefault="00D4785F" w:rsidP="0048497E">
            <w:pPr>
              <w:spacing w:before="40" w:after="40"/>
              <w:jc w:val="center"/>
              <w:rPr>
                <w:sz w:val="21"/>
                <w:szCs w:val="21"/>
              </w:rPr>
            </w:pPr>
            <w:r w:rsidRPr="00D4785F">
              <w:rPr>
                <w:sz w:val="21"/>
                <w:szCs w:val="21"/>
              </w:rPr>
              <w:t>$</w:t>
            </w:r>
            <w:r w:rsidR="00E46557">
              <w:rPr>
                <w:sz w:val="21"/>
                <w:szCs w:val="21"/>
              </w:rPr>
              <w:t>74</w:t>
            </w:r>
            <w:r w:rsidR="005844E2">
              <w:rPr>
                <w:sz w:val="21"/>
                <w:szCs w:val="21"/>
              </w:rPr>
              <w:t>,</w:t>
            </w:r>
            <w:r w:rsidR="00E46557">
              <w:rPr>
                <w:sz w:val="21"/>
                <w:szCs w:val="21"/>
              </w:rPr>
              <w:t>800</w:t>
            </w:r>
          </w:p>
        </w:tc>
      </w:tr>
      <w:tr w:rsidR="00D4785F" w14:paraId="1EBD18BA" w14:textId="77777777" w:rsidTr="005844E2">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C3B418" w14:textId="77777777" w:rsidR="00D4785F" w:rsidRPr="00D4785F" w:rsidRDefault="00D4785F" w:rsidP="00103A80">
            <w:pPr>
              <w:spacing w:before="40" w:after="40"/>
              <w:rPr>
                <w:sz w:val="21"/>
                <w:szCs w:val="21"/>
              </w:rPr>
            </w:pPr>
            <w:r w:rsidRPr="00D4785F">
              <w:rPr>
                <w:sz w:val="21"/>
                <w:szCs w:val="21"/>
              </w:rPr>
              <w:t>2033/2034</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E0B97C" w14:textId="77777777" w:rsidR="00D4785F" w:rsidRPr="00D4785F" w:rsidRDefault="00D4785F" w:rsidP="00433308">
            <w:pPr>
              <w:spacing w:before="40" w:after="40"/>
              <w:rPr>
                <w:sz w:val="21"/>
                <w:szCs w:val="21"/>
              </w:rPr>
            </w:pPr>
            <w:r w:rsidRPr="00E46557">
              <w:rPr>
                <w:sz w:val="21"/>
                <w:szCs w:val="21"/>
                <w:u w:val="single"/>
              </w:rPr>
              <w:t>234</w:t>
            </w:r>
            <w:r w:rsidRPr="00D4785F">
              <w:rPr>
                <w:sz w:val="21"/>
                <w:szCs w:val="21"/>
              </w:rPr>
              <w:t xml:space="preserve"> revenue units </w:t>
            </w:r>
            <w:r w:rsidR="00642360">
              <w:rPr>
                <w:sz w:val="21"/>
                <w:szCs w:val="21"/>
              </w:rPr>
              <w:t>x 1.75</w:t>
            </w:r>
            <w:r w:rsidR="00E46557">
              <w:rPr>
                <w:sz w:val="21"/>
                <w:szCs w:val="21"/>
              </w:rPr>
              <w:t xml:space="preserve"> </w:t>
            </w:r>
            <w:r w:rsidRPr="00D4785F">
              <w:rPr>
                <w:sz w:val="21"/>
                <w:szCs w:val="21"/>
              </w:rPr>
              <w:t>($</w:t>
            </w:r>
            <w:r w:rsidR="00E46557">
              <w:rPr>
                <w:sz w:val="21"/>
                <w:szCs w:val="21"/>
              </w:rPr>
              <w:t>409</w:t>
            </w:r>
            <w:r w:rsidRPr="00D4785F">
              <w:rPr>
                <w:sz w:val="21"/>
                <w:szCs w:val="21"/>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38AFCD" w14:textId="77777777" w:rsidR="00D4785F" w:rsidRPr="00D4785F" w:rsidRDefault="00D4785F" w:rsidP="0048497E">
            <w:pPr>
              <w:spacing w:before="40" w:after="40"/>
              <w:jc w:val="center"/>
              <w:rPr>
                <w:sz w:val="21"/>
                <w:szCs w:val="21"/>
              </w:rPr>
            </w:pPr>
            <w:r w:rsidRPr="00D4785F">
              <w:rPr>
                <w:sz w:val="21"/>
                <w:szCs w:val="21"/>
              </w:rPr>
              <w:t>$</w:t>
            </w:r>
            <w:r w:rsidR="00E46557">
              <w:rPr>
                <w:sz w:val="21"/>
                <w:szCs w:val="21"/>
              </w:rPr>
              <w:t>81</w:t>
            </w:r>
            <w:r w:rsidR="005844E2">
              <w:rPr>
                <w:sz w:val="21"/>
                <w:szCs w:val="21"/>
              </w:rPr>
              <w:t>,</w:t>
            </w:r>
            <w:r w:rsidR="00E46557">
              <w:rPr>
                <w:sz w:val="21"/>
                <w:szCs w:val="21"/>
              </w:rPr>
              <w:t>800</w:t>
            </w:r>
          </w:p>
        </w:tc>
      </w:tr>
      <w:tr w:rsidR="00E46557" w14:paraId="0BE0D41A" w14:textId="77777777" w:rsidTr="007E569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6A5576" w14:textId="77777777" w:rsidR="00E46557" w:rsidRPr="00D4785F" w:rsidRDefault="00E46557" w:rsidP="0046335F">
            <w:pPr>
              <w:spacing w:before="40" w:after="40"/>
              <w:rPr>
                <w:sz w:val="21"/>
                <w:szCs w:val="21"/>
              </w:rPr>
            </w:pPr>
            <w:r w:rsidRPr="00D4785F">
              <w:rPr>
                <w:sz w:val="21"/>
                <w:szCs w:val="21"/>
              </w:rPr>
              <w:t xml:space="preserve">2034/2035 </w:t>
            </w:r>
            <w:r>
              <w:rPr>
                <w:sz w:val="21"/>
                <w:szCs w:val="21"/>
              </w:rPr>
              <w:t xml:space="preserve">ongoing </w:t>
            </w:r>
          </w:p>
        </w:tc>
        <w:tc>
          <w:tcPr>
            <w:tcW w:w="793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5D6B0F" w14:textId="77777777" w:rsidR="00E46557" w:rsidRPr="00D4785F" w:rsidRDefault="00E46557" w:rsidP="00E46557">
            <w:pPr>
              <w:spacing w:before="40" w:after="40"/>
              <w:jc w:val="center"/>
              <w:rPr>
                <w:sz w:val="21"/>
                <w:szCs w:val="21"/>
              </w:rPr>
            </w:pPr>
            <w:r w:rsidRPr="00E46557">
              <w:rPr>
                <w:sz w:val="21"/>
                <w:szCs w:val="21"/>
                <w:u w:val="single"/>
              </w:rPr>
              <w:t>234</w:t>
            </w:r>
            <w:r w:rsidRPr="00D4785F">
              <w:rPr>
                <w:sz w:val="21"/>
                <w:szCs w:val="21"/>
              </w:rPr>
              <w:t xml:space="preserve"> revenue units</w:t>
            </w:r>
            <w:r>
              <w:rPr>
                <w:sz w:val="21"/>
                <w:szCs w:val="21"/>
              </w:rPr>
              <w:t xml:space="preserve"> (no further increase)  x 1.75 (+≥3%</w:t>
            </w:r>
            <w:r w:rsidRPr="00D4785F">
              <w:rPr>
                <w:sz w:val="21"/>
                <w:szCs w:val="21"/>
              </w:rPr>
              <w:t xml:space="preserve"> </w:t>
            </w:r>
            <w:r>
              <w:rPr>
                <w:sz w:val="21"/>
                <w:szCs w:val="21"/>
              </w:rPr>
              <w:t xml:space="preserve">annual revenue unit increase) </w:t>
            </w:r>
          </w:p>
        </w:tc>
      </w:tr>
    </w:tbl>
    <w:p w14:paraId="4B359F05" w14:textId="77777777" w:rsidR="00242917" w:rsidRDefault="00242917" w:rsidP="00242917">
      <w:pPr>
        <w:pStyle w:val="Heading1"/>
      </w:pPr>
      <w:bookmarkStart w:id="22" w:name="_Toc137719065"/>
      <w:r>
        <w:t>Failure to pay</w:t>
      </w:r>
      <w:bookmarkEnd w:id="22"/>
    </w:p>
    <w:p w14:paraId="632257C9" w14:textId="77777777" w:rsidR="00242917" w:rsidRPr="00242917" w:rsidRDefault="00242917" w:rsidP="00242917">
      <w:r w:rsidRPr="008B015E">
        <w:t>A permittee or licensee who fails to pay an annual fee or levy in accordance with the Act will be charged interest at a rate determined by the</w:t>
      </w:r>
      <w:r w:rsidRPr="00737DCE">
        <w:rPr>
          <w:i/>
        </w:rPr>
        <w:t xml:space="preserve"> </w:t>
      </w:r>
      <w:hyperlink r:id="rId14" w:history="1">
        <w:r w:rsidRPr="00737DCE">
          <w:rPr>
            <w:rStyle w:val="Hyperlink"/>
            <w:i/>
          </w:rPr>
          <w:t>Taxation Administration Act 2007.</w:t>
        </w:r>
      </w:hyperlink>
    </w:p>
    <w:sectPr w:rsidR="00242917" w:rsidRPr="00242917" w:rsidSect="00CC571B">
      <w:headerReference w:type="default" r:id="rId15"/>
      <w:footerReference w:type="first" r:id="rId16"/>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59F13" w14:textId="77777777" w:rsidR="00790967" w:rsidRDefault="00790967" w:rsidP="007332FF">
      <w:r>
        <w:separator/>
      </w:r>
    </w:p>
  </w:endnote>
  <w:endnote w:type="continuationSeparator" w:id="0">
    <w:p w14:paraId="50941A7F" w14:textId="77777777" w:rsidR="00790967" w:rsidRDefault="0079096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36940" w14:textId="63792660" w:rsidR="00976837" w:rsidRDefault="00976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5E0DD" w14:textId="77777777" w:rsidR="00790967" w:rsidRDefault="00790967" w:rsidP="007332FF">
      <w:r>
        <w:separator/>
      </w:r>
    </w:p>
  </w:footnote>
  <w:footnote w:type="continuationSeparator" w:id="0">
    <w:p w14:paraId="2B25C31F" w14:textId="77777777" w:rsidR="00790967" w:rsidRDefault="00790967" w:rsidP="007332FF">
      <w:r>
        <w:continuationSeparator/>
      </w:r>
    </w:p>
  </w:footnote>
  <w:footnote w:id="1">
    <w:p w14:paraId="032C3C6F" w14:textId="77777777" w:rsidR="00976837" w:rsidRPr="001B6A1A" w:rsidRDefault="00976837" w:rsidP="001B6A1A">
      <w:pPr>
        <w:spacing w:after="240"/>
        <w:jc w:val="both"/>
        <w:rPr>
          <w:sz w:val="18"/>
          <w:szCs w:val="18"/>
        </w:rPr>
      </w:pPr>
      <w:r w:rsidRPr="001B6A1A">
        <w:rPr>
          <w:rStyle w:val="FootnoteReference"/>
          <w:sz w:val="18"/>
          <w:szCs w:val="18"/>
        </w:rPr>
        <w:footnoteRef/>
      </w:r>
      <w:r w:rsidRPr="001B6A1A">
        <w:rPr>
          <w:sz w:val="18"/>
          <w:szCs w:val="18"/>
        </w:rPr>
        <w:t xml:space="preserve"> </w:t>
      </w:r>
      <w:r w:rsidRPr="001B6A1A">
        <w:rPr>
          <w:rFonts w:asciiTheme="minorHAnsi" w:eastAsia="Times New Roman" w:hAnsiTheme="minorHAnsi"/>
          <w:i/>
          <w:sz w:val="18"/>
          <w:szCs w:val="18"/>
          <w:lang w:eastAsia="en-AU"/>
        </w:rPr>
        <w:t>Petroleum (Transitional) Regulations 2023</w:t>
      </w:r>
      <w:r w:rsidRPr="001B6A1A">
        <w:rPr>
          <w:rFonts w:asciiTheme="minorHAnsi" w:eastAsia="Times New Roman" w:hAnsiTheme="minorHAnsi"/>
          <w:sz w:val="18"/>
          <w:szCs w:val="18"/>
          <w:lang w:eastAsia="en-AU"/>
        </w:rPr>
        <w:t xml:space="preserve"> are temporary in nature and will be automatically repealed two years after their commencement. </w:t>
      </w:r>
    </w:p>
  </w:footnote>
  <w:footnote w:id="2">
    <w:p w14:paraId="531712D0" w14:textId="77777777" w:rsidR="00976837" w:rsidRDefault="00976837" w:rsidP="001B6A1A">
      <w:r w:rsidRPr="001B6A1A">
        <w:rPr>
          <w:rStyle w:val="FootnoteReference"/>
          <w:sz w:val="18"/>
          <w:szCs w:val="18"/>
        </w:rPr>
        <w:footnoteRef/>
      </w:r>
      <w:r w:rsidRPr="001B6A1A">
        <w:rPr>
          <w:sz w:val="18"/>
          <w:szCs w:val="18"/>
        </w:rPr>
        <w:t xml:space="preserve"> Revenue units are a simple way of maintaining the real value of NT fees and charges while taking into account inflation. The value of a revenue unit increases each financial year by the annual percentage change in Darwin's Consumer Price Index (CPI), or by 3% – whichever is higher</w:t>
      </w:r>
    </w:p>
  </w:footnote>
  <w:footnote w:id="3">
    <w:p w14:paraId="3739A103" w14:textId="77777777" w:rsidR="00976837" w:rsidRDefault="00976837" w:rsidP="001B6A1A">
      <w:r w:rsidRPr="00103A80">
        <w:rPr>
          <w:rStyle w:val="FootnoteReference"/>
          <w:sz w:val="18"/>
        </w:rPr>
        <w:footnoteRef/>
      </w:r>
      <w:r w:rsidRPr="00103A80">
        <w:rPr>
          <w:sz w:val="18"/>
        </w:rPr>
        <w:t xml:space="preserve"> </w:t>
      </w:r>
      <w:r w:rsidRPr="00433308">
        <w:rPr>
          <w:sz w:val="18"/>
          <w:szCs w:val="18"/>
        </w:rPr>
        <w:t>Dollar value shown is the number of revenue units by multiplied by $1.35 which is the value of a revenue unit of the 2023/2024 year. The value of a revenue unit increases each financial year by the annual percentage change in Darwin's Consumer Price Index (CPI), or by 3% – whichever is higher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414FD" w14:textId="77777777" w:rsidR="00976837" w:rsidRPr="00162207" w:rsidRDefault="00790967"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976837">
          <w:t>Cost recovery and financial assurance for the onshore gas industry in the Northern Territory</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49295E0"/>
    <w:lvl w:ilvl="0">
      <w:start w:val="1"/>
      <w:numFmt w:val="decimal"/>
      <w:lvlText w:val="%1."/>
      <w:lvlJc w:val="left"/>
      <w:pPr>
        <w:tabs>
          <w:tab w:val="num" w:pos="643"/>
        </w:tabs>
        <w:ind w:left="643" w:hanging="360"/>
      </w:pPr>
    </w:lvl>
  </w:abstractNum>
  <w:abstractNum w:abstractNumId="1" w15:restartNumberingAfterBreak="0">
    <w:nsid w:val="00E32F77"/>
    <w:multiLevelType w:val="hybridMultilevel"/>
    <w:tmpl w:val="48EE41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CF0F33"/>
    <w:multiLevelType w:val="hybridMultilevel"/>
    <w:tmpl w:val="7174D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DEF4E8A"/>
    <w:multiLevelType w:val="hybridMultilevel"/>
    <w:tmpl w:val="A2F4E4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0D86151"/>
    <w:multiLevelType w:val="hybridMultilevel"/>
    <w:tmpl w:val="D7F0B2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84139D5"/>
    <w:multiLevelType w:val="hybridMultilevel"/>
    <w:tmpl w:val="C206156C"/>
    <w:lvl w:ilvl="0" w:tplc="32960276">
      <w:start w:val="1"/>
      <w:numFmt w:val="bullet"/>
      <w:lvlText w:val="•"/>
      <w:lvlJc w:val="left"/>
      <w:pPr>
        <w:tabs>
          <w:tab w:val="num" w:pos="720"/>
        </w:tabs>
        <w:ind w:left="720" w:hanging="360"/>
      </w:pPr>
      <w:rPr>
        <w:rFonts w:ascii="Arial" w:hAnsi="Arial" w:hint="default"/>
      </w:rPr>
    </w:lvl>
    <w:lvl w:ilvl="1" w:tplc="A31280CA" w:tentative="1">
      <w:start w:val="1"/>
      <w:numFmt w:val="bullet"/>
      <w:lvlText w:val="•"/>
      <w:lvlJc w:val="left"/>
      <w:pPr>
        <w:tabs>
          <w:tab w:val="num" w:pos="1440"/>
        </w:tabs>
        <w:ind w:left="1440" w:hanging="360"/>
      </w:pPr>
      <w:rPr>
        <w:rFonts w:ascii="Arial" w:hAnsi="Arial" w:hint="default"/>
      </w:rPr>
    </w:lvl>
    <w:lvl w:ilvl="2" w:tplc="6742BD30" w:tentative="1">
      <w:start w:val="1"/>
      <w:numFmt w:val="bullet"/>
      <w:lvlText w:val="•"/>
      <w:lvlJc w:val="left"/>
      <w:pPr>
        <w:tabs>
          <w:tab w:val="num" w:pos="2160"/>
        </w:tabs>
        <w:ind w:left="2160" w:hanging="360"/>
      </w:pPr>
      <w:rPr>
        <w:rFonts w:ascii="Arial" w:hAnsi="Arial" w:hint="default"/>
      </w:rPr>
    </w:lvl>
    <w:lvl w:ilvl="3" w:tplc="5CE2DA1C" w:tentative="1">
      <w:start w:val="1"/>
      <w:numFmt w:val="bullet"/>
      <w:lvlText w:val="•"/>
      <w:lvlJc w:val="left"/>
      <w:pPr>
        <w:tabs>
          <w:tab w:val="num" w:pos="2880"/>
        </w:tabs>
        <w:ind w:left="2880" w:hanging="360"/>
      </w:pPr>
      <w:rPr>
        <w:rFonts w:ascii="Arial" w:hAnsi="Arial" w:hint="default"/>
      </w:rPr>
    </w:lvl>
    <w:lvl w:ilvl="4" w:tplc="19F04ADE" w:tentative="1">
      <w:start w:val="1"/>
      <w:numFmt w:val="bullet"/>
      <w:lvlText w:val="•"/>
      <w:lvlJc w:val="left"/>
      <w:pPr>
        <w:tabs>
          <w:tab w:val="num" w:pos="3600"/>
        </w:tabs>
        <w:ind w:left="3600" w:hanging="360"/>
      </w:pPr>
      <w:rPr>
        <w:rFonts w:ascii="Arial" w:hAnsi="Arial" w:hint="default"/>
      </w:rPr>
    </w:lvl>
    <w:lvl w:ilvl="5" w:tplc="B752559C" w:tentative="1">
      <w:start w:val="1"/>
      <w:numFmt w:val="bullet"/>
      <w:lvlText w:val="•"/>
      <w:lvlJc w:val="left"/>
      <w:pPr>
        <w:tabs>
          <w:tab w:val="num" w:pos="4320"/>
        </w:tabs>
        <w:ind w:left="4320" w:hanging="360"/>
      </w:pPr>
      <w:rPr>
        <w:rFonts w:ascii="Arial" w:hAnsi="Arial" w:hint="default"/>
      </w:rPr>
    </w:lvl>
    <w:lvl w:ilvl="6" w:tplc="9CDADBA0" w:tentative="1">
      <w:start w:val="1"/>
      <w:numFmt w:val="bullet"/>
      <w:lvlText w:val="•"/>
      <w:lvlJc w:val="left"/>
      <w:pPr>
        <w:tabs>
          <w:tab w:val="num" w:pos="5040"/>
        </w:tabs>
        <w:ind w:left="5040" w:hanging="360"/>
      </w:pPr>
      <w:rPr>
        <w:rFonts w:ascii="Arial" w:hAnsi="Arial" w:hint="default"/>
      </w:rPr>
    </w:lvl>
    <w:lvl w:ilvl="7" w:tplc="2AC89FE2" w:tentative="1">
      <w:start w:val="1"/>
      <w:numFmt w:val="bullet"/>
      <w:lvlText w:val="•"/>
      <w:lvlJc w:val="left"/>
      <w:pPr>
        <w:tabs>
          <w:tab w:val="num" w:pos="5760"/>
        </w:tabs>
        <w:ind w:left="5760" w:hanging="360"/>
      </w:pPr>
      <w:rPr>
        <w:rFonts w:ascii="Arial" w:hAnsi="Arial" w:hint="default"/>
      </w:rPr>
    </w:lvl>
    <w:lvl w:ilvl="8" w:tplc="0916DD1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3E4BCC"/>
    <w:multiLevelType w:val="hybridMultilevel"/>
    <w:tmpl w:val="35FA07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BDE413B"/>
    <w:multiLevelType w:val="hybridMultilevel"/>
    <w:tmpl w:val="75861BDE"/>
    <w:lvl w:ilvl="0" w:tplc="7A66FE72">
      <w:start w:val="1"/>
      <w:numFmt w:val="bullet"/>
      <w:lvlText w:val=""/>
      <w:lvlJc w:val="left"/>
      <w:pPr>
        <w:tabs>
          <w:tab w:val="num" w:pos="720"/>
        </w:tabs>
        <w:ind w:left="720" w:hanging="360"/>
      </w:pPr>
      <w:rPr>
        <w:rFonts w:ascii="Symbol" w:hAnsi="Symbol" w:hint="default"/>
      </w:rPr>
    </w:lvl>
    <w:lvl w:ilvl="1" w:tplc="13A4B7A4" w:tentative="1">
      <w:start w:val="1"/>
      <w:numFmt w:val="bullet"/>
      <w:lvlText w:val=""/>
      <w:lvlJc w:val="left"/>
      <w:pPr>
        <w:tabs>
          <w:tab w:val="num" w:pos="1440"/>
        </w:tabs>
        <w:ind w:left="1440" w:hanging="360"/>
      </w:pPr>
      <w:rPr>
        <w:rFonts w:ascii="Symbol" w:hAnsi="Symbol" w:hint="default"/>
      </w:rPr>
    </w:lvl>
    <w:lvl w:ilvl="2" w:tplc="8A042696" w:tentative="1">
      <w:start w:val="1"/>
      <w:numFmt w:val="bullet"/>
      <w:lvlText w:val=""/>
      <w:lvlJc w:val="left"/>
      <w:pPr>
        <w:tabs>
          <w:tab w:val="num" w:pos="2160"/>
        </w:tabs>
        <w:ind w:left="2160" w:hanging="360"/>
      </w:pPr>
      <w:rPr>
        <w:rFonts w:ascii="Symbol" w:hAnsi="Symbol" w:hint="default"/>
      </w:rPr>
    </w:lvl>
    <w:lvl w:ilvl="3" w:tplc="98661538" w:tentative="1">
      <w:start w:val="1"/>
      <w:numFmt w:val="bullet"/>
      <w:lvlText w:val=""/>
      <w:lvlJc w:val="left"/>
      <w:pPr>
        <w:tabs>
          <w:tab w:val="num" w:pos="2880"/>
        </w:tabs>
        <w:ind w:left="2880" w:hanging="360"/>
      </w:pPr>
      <w:rPr>
        <w:rFonts w:ascii="Symbol" w:hAnsi="Symbol" w:hint="default"/>
      </w:rPr>
    </w:lvl>
    <w:lvl w:ilvl="4" w:tplc="5AD88D5E" w:tentative="1">
      <w:start w:val="1"/>
      <w:numFmt w:val="bullet"/>
      <w:lvlText w:val=""/>
      <w:lvlJc w:val="left"/>
      <w:pPr>
        <w:tabs>
          <w:tab w:val="num" w:pos="3600"/>
        </w:tabs>
        <w:ind w:left="3600" w:hanging="360"/>
      </w:pPr>
      <w:rPr>
        <w:rFonts w:ascii="Symbol" w:hAnsi="Symbol" w:hint="default"/>
      </w:rPr>
    </w:lvl>
    <w:lvl w:ilvl="5" w:tplc="C7FED5CA" w:tentative="1">
      <w:start w:val="1"/>
      <w:numFmt w:val="bullet"/>
      <w:lvlText w:val=""/>
      <w:lvlJc w:val="left"/>
      <w:pPr>
        <w:tabs>
          <w:tab w:val="num" w:pos="4320"/>
        </w:tabs>
        <w:ind w:left="4320" w:hanging="360"/>
      </w:pPr>
      <w:rPr>
        <w:rFonts w:ascii="Symbol" w:hAnsi="Symbol" w:hint="default"/>
      </w:rPr>
    </w:lvl>
    <w:lvl w:ilvl="6" w:tplc="3DFAF2F8" w:tentative="1">
      <w:start w:val="1"/>
      <w:numFmt w:val="bullet"/>
      <w:lvlText w:val=""/>
      <w:lvlJc w:val="left"/>
      <w:pPr>
        <w:tabs>
          <w:tab w:val="num" w:pos="5040"/>
        </w:tabs>
        <w:ind w:left="5040" w:hanging="360"/>
      </w:pPr>
      <w:rPr>
        <w:rFonts w:ascii="Symbol" w:hAnsi="Symbol" w:hint="default"/>
      </w:rPr>
    </w:lvl>
    <w:lvl w:ilvl="7" w:tplc="B4C8DCBE" w:tentative="1">
      <w:start w:val="1"/>
      <w:numFmt w:val="bullet"/>
      <w:lvlText w:val=""/>
      <w:lvlJc w:val="left"/>
      <w:pPr>
        <w:tabs>
          <w:tab w:val="num" w:pos="5760"/>
        </w:tabs>
        <w:ind w:left="5760" w:hanging="360"/>
      </w:pPr>
      <w:rPr>
        <w:rFonts w:ascii="Symbol" w:hAnsi="Symbol" w:hint="default"/>
      </w:rPr>
    </w:lvl>
    <w:lvl w:ilvl="8" w:tplc="26BEBA3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945A29"/>
    <w:multiLevelType w:val="hybridMultilevel"/>
    <w:tmpl w:val="3D4ABF7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9A02BFB"/>
    <w:multiLevelType w:val="hybridMultilevel"/>
    <w:tmpl w:val="D9FEA2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DB110AC"/>
    <w:multiLevelType w:val="hybridMultilevel"/>
    <w:tmpl w:val="8F344CEE"/>
    <w:lvl w:ilvl="0" w:tplc="E8103F80">
      <w:start w:val="1"/>
      <w:numFmt w:val="decimal"/>
      <w:lvlText w:val="(%1)"/>
      <w:lvlJc w:val="left"/>
      <w:pPr>
        <w:ind w:left="1095" w:hanging="48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7" w15:restartNumberingAfterBreak="0">
    <w:nsid w:val="2DCC2B7C"/>
    <w:multiLevelType w:val="multilevel"/>
    <w:tmpl w:val="800E076A"/>
    <w:styleLink w:val="OPCNumbering"/>
    <w:lvl w:ilvl="0">
      <w:start w:val="1"/>
      <w:numFmt w:val="decimal"/>
      <w:pStyle w:val="SectionHeading"/>
      <w:lvlText w:val="%1"/>
      <w:lvlJc w:val="left"/>
      <w:pPr>
        <w:tabs>
          <w:tab w:val="num" w:pos="0"/>
        </w:tabs>
        <w:ind w:left="720" w:hanging="720"/>
      </w:pPr>
      <w:rPr>
        <w:rFonts w:hint="default"/>
      </w:rPr>
    </w:lvl>
    <w:lvl w:ilvl="1">
      <w:start w:val="1"/>
      <w:numFmt w:val="none"/>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8" w15:restartNumberingAfterBreak="0">
    <w:nsid w:val="2E693641"/>
    <w:multiLevelType w:val="multilevel"/>
    <w:tmpl w:val="3E5E177A"/>
    <w:name w:val="NTG Table Bullet List33"/>
    <w:numStyleLink w:val="Tablenumberlist"/>
  </w:abstractNum>
  <w:abstractNum w:abstractNumId="29" w15:restartNumberingAfterBreak="0">
    <w:nsid w:val="2E71567C"/>
    <w:multiLevelType w:val="hybridMultilevel"/>
    <w:tmpl w:val="3094F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DF44DA"/>
    <w:multiLevelType w:val="multilevel"/>
    <w:tmpl w:val="3E5E177A"/>
    <w:name w:val="NTG Table Bullet List3222323"/>
    <w:numStyleLink w:val="Tablenumberlist"/>
  </w:abstractNum>
  <w:abstractNum w:abstractNumId="3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15:restartNumberingAfterBreak="0">
    <w:nsid w:val="391F07F9"/>
    <w:multiLevelType w:val="hybridMultilevel"/>
    <w:tmpl w:val="16BC714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3DD56611"/>
    <w:multiLevelType w:val="hybridMultilevel"/>
    <w:tmpl w:val="705CFD94"/>
    <w:lvl w:ilvl="0" w:tplc="50A8A758">
      <w:start w:val="1"/>
      <w:numFmt w:val="decimal"/>
      <w:lvlText w:val="(%1)"/>
      <w:lvlJc w:val="left"/>
      <w:pPr>
        <w:ind w:left="1095" w:hanging="48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6" w15:restartNumberingAfterBreak="0">
    <w:nsid w:val="3EAE608B"/>
    <w:multiLevelType w:val="hybridMultilevel"/>
    <w:tmpl w:val="D7F0B2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1E118A6"/>
    <w:multiLevelType w:val="hybridMultilevel"/>
    <w:tmpl w:val="8EA49D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325259E"/>
    <w:multiLevelType w:val="hybridMultilevel"/>
    <w:tmpl w:val="8E329CB8"/>
    <w:lvl w:ilvl="0" w:tplc="D53E57EA">
      <w:start w:val="1"/>
      <w:numFmt w:val="bullet"/>
      <w:lvlText w:val="•"/>
      <w:lvlJc w:val="left"/>
      <w:pPr>
        <w:tabs>
          <w:tab w:val="num" w:pos="720"/>
        </w:tabs>
        <w:ind w:left="720" w:hanging="360"/>
      </w:pPr>
      <w:rPr>
        <w:rFonts w:ascii="Arial" w:hAnsi="Arial" w:hint="default"/>
      </w:rPr>
    </w:lvl>
    <w:lvl w:ilvl="1" w:tplc="3ED292EA" w:tentative="1">
      <w:start w:val="1"/>
      <w:numFmt w:val="bullet"/>
      <w:lvlText w:val="•"/>
      <w:lvlJc w:val="left"/>
      <w:pPr>
        <w:tabs>
          <w:tab w:val="num" w:pos="1440"/>
        </w:tabs>
        <w:ind w:left="1440" w:hanging="360"/>
      </w:pPr>
      <w:rPr>
        <w:rFonts w:ascii="Arial" w:hAnsi="Arial" w:hint="default"/>
      </w:rPr>
    </w:lvl>
    <w:lvl w:ilvl="2" w:tplc="88BAE0F6" w:tentative="1">
      <w:start w:val="1"/>
      <w:numFmt w:val="bullet"/>
      <w:lvlText w:val="•"/>
      <w:lvlJc w:val="left"/>
      <w:pPr>
        <w:tabs>
          <w:tab w:val="num" w:pos="2160"/>
        </w:tabs>
        <w:ind w:left="2160" w:hanging="360"/>
      </w:pPr>
      <w:rPr>
        <w:rFonts w:ascii="Arial" w:hAnsi="Arial" w:hint="default"/>
      </w:rPr>
    </w:lvl>
    <w:lvl w:ilvl="3" w:tplc="DE608E40" w:tentative="1">
      <w:start w:val="1"/>
      <w:numFmt w:val="bullet"/>
      <w:lvlText w:val="•"/>
      <w:lvlJc w:val="left"/>
      <w:pPr>
        <w:tabs>
          <w:tab w:val="num" w:pos="2880"/>
        </w:tabs>
        <w:ind w:left="2880" w:hanging="360"/>
      </w:pPr>
      <w:rPr>
        <w:rFonts w:ascii="Arial" w:hAnsi="Arial" w:hint="default"/>
      </w:rPr>
    </w:lvl>
    <w:lvl w:ilvl="4" w:tplc="D172A8AC" w:tentative="1">
      <w:start w:val="1"/>
      <w:numFmt w:val="bullet"/>
      <w:lvlText w:val="•"/>
      <w:lvlJc w:val="left"/>
      <w:pPr>
        <w:tabs>
          <w:tab w:val="num" w:pos="3600"/>
        </w:tabs>
        <w:ind w:left="3600" w:hanging="360"/>
      </w:pPr>
      <w:rPr>
        <w:rFonts w:ascii="Arial" w:hAnsi="Arial" w:hint="default"/>
      </w:rPr>
    </w:lvl>
    <w:lvl w:ilvl="5" w:tplc="46DA9124" w:tentative="1">
      <w:start w:val="1"/>
      <w:numFmt w:val="bullet"/>
      <w:lvlText w:val="•"/>
      <w:lvlJc w:val="left"/>
      <w:pPr>
        <w:tabs>
          <w:tab w:val="num" w:pos="4320"/>
        </w:tabs>
        <w:ind w:left="4320" w:hanging="360"/>
      </w:pPr>
      <w:rPr>
        <w:rFonts w:ascii="Arial" w:hAnsi="Arial" w:hint="default"/>
      </w:rPr>
    </w:lvl>
    <w:lvl w:ilvl="6" w:tplc="BA6EA25A" w:tentative="1">
      <w:start w:val="1"/>
      <w:numFmt w:val="bullet"/>
      <w:lvlText w:val="•"/>
      <w:lvlJc w:val="left"/>
      <w:pPr>
        <w:tabs>
          <w:tab w:val="num" w:pos="5040"/>
        </w:tabs>
        <w:ind w:left="5040" w:hanging="360"/>
      </w:pPr>
      <w:rPr>
        <w:rFonts w:ascii="Arial" w:hAnsi="Arial" w:hint="default"/>
      </w:rPr>
    </w:lvl>
    <w:lvl w:ilvl="7" w:tplc="02A6FA88" w:tentative="1">
      <w:start w:val="1"/>
      <w:numFmt w:val="bullet"/>
      <w:lvlText w:val="•"/>
      <w:lvlJc w:val="left"/>
      <w:pPr>
        <w:tabs>
          <w:tab w:val="num" w:pos="5760"/>
        </w:tabs>
        <w:ind w:left="5760" w:hanging="360"/>
      </w:pPr>
      <w:rPr>
        <w:rFonts w:ascii="Arial" w:hAnsi="Arial" w:hint="default"/>
      </w:rPr>
    </w:lvl>
    <w:lvl w:ilvl="8" w:tplc="F1BC577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5CD0EE4"/>
    <w:multiLevelType w:val="hybridMultilevel"/>
    <w:tmpl w:val="D7F0B2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7890536"/>
    <w:multiLevelType w:val="hybridMultilevel"/>
    <w:tmpl w:val="2CF080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49FD3A20"/>
    <w:multiLevelType w:val="multilevel"/>
    <w:tmpl w:val="3E5E177A"/>
    <w:name w:val="NTG Table Bullet List3322222222222"/>
    <w:numStyleLink w:val="Tablenumberlist"/>
  </w:abstractNum>
  <w:abstractNum w:abstractNumId="42" w15:restartNumberingAfterBreak="0">
    <w:nsid w:val="4B012FDB"/>
    <w:multiLevelType w:val="hybridMultilevel"/>
    <w:tmpl w:val="245E95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CF80EDB"/>
    <w:multiLevelType w:val="hybridMultilevel"/>
    <w:tmpl w:val="48EE41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3842BC6"/>
    <w:multiLevelType w:val="multilevel"/>
    <w:tmpl w:val="0C78A7AC"/>
    <w:numStyleLink w:val="Tablebulletlist"/>
  </w:abstractNum>
  <w:abstractNum w:abstractNumId="47" w15:restartNumberingAfterBreak="0">
    <w:nsid w:val="53A06435"/>
    <w:multiLevelType w:val="hybridMultilevel"/>
    <w:tmpl w:val="02083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9" w15:restartNumberingAfterBreak="0">
    <w:nsid w:val="5656701F"/>
    <w:multiLevelType w:val="hybridMultilevel"/>
    <w:tmpl w:val="4AB69F14"/>
    <w:lvl w:ilvl="0" w:tplc="4DCC1F68">
      <w:start w:val="1"/>
      <w:numFmt w:val="bullet"/>
      <w:lvlText w:val="•"/>
      <w:lvlJc w:val="left"/>
      <w:pPr>
        <w:tabs>
          <w:tab w:val="num" w:pos="720"/>
        </w:tabs>
        <w:ind w:left="720" w:hanging="360"/>
      </w:pPr>
      <w:rPr>
        <w:rFonts w:ascii="Arial" w:hAnsi="Arial" w:hint="default"/>
      </w:rPr>
    </w:lvl>
    <w:lvl w:ilvl="1" w:tplc="640A4C9A" w:tentative="1">
      <w:start w:val="1"/>
      <w:numFmt w:val="bullet"/>
      <w:lvlText w:val="•"/>
      <w:lvlJc w:val="left"/>
      <w:pPr>
        <w:tabs>
          <w:tab w:val="num" w:pos="1440"/>
        </w:tabs>
        <w:ind w:left="1440" w:hanging="360"/>
      </w:pPr>
      <w:rPr>
        <w:rFonts w:ascii="Arial" w:hAnsi="Arial" w:hint="default"/>
      </w:rPr>
    </w:lvl>
    <w:lvl w:ilvl="2" w:tplc="29EA55B4" w:tentative="1">
      <w:start w:val="1"/>
      <w:numFmt w:val="bullet"/>
      <w:lvlText w:val="•"/>
      <w:lvlJc w:val="left"/>
      <w:pPr>
        <w:tabs>
          <w:tab w:val="num" w:pos="2160"/>
        </w:tabs>
        <w:ind w:left="2160" w:hanging="360"/>
      </w:pPr>
      <w:rPr>
        <w:rFonts w:ascii="Arial" w:hAnsi="Arial" w:hint="default"/>
      </w:rPr>
    </w:lvl>
    <w:lvl w:ilvl="3" w:tplc="503A425A" w:tentative="1">
      <w:start w:val="1"/>
      <w:numFmt w:val="bullet"/>
      <w:lvlText w:val="•"/>
      <w:lvlJc w:val="left"/>
      <w:pPr>
        <w:tabs>
          <w:tab w:val="num" w:pos="2880"/>
        </w:tabs>
        <w:ind w:left="2880" w:hanging="360"/>
      </w:pPr>
      <w:rPr>
        <w:rFonts w:ascii="Arial" w:hAnsi="Arial" w:hint="default"/>
      </w:rPr>
    </w:lvl>
    <w:lvl w:ilvl="4" w:tplc="F00EF9B0" w:tentative="1">
      <w:start w:val="1"/>
      <w:numFmt w:val="bullet"/>
      <w:lvlText w:val="•"/>
      <w:lvlJc w:val="left"/>
      <w:pPr>
        <w:tabs>
          <w:tab w:val="num" w:pos="3600"/>
        </w:tabs>
        <w:ind w:left="3600" w:hanging="360"/>
      </w:pPr>
      <w:rPr>
        <w:rFonts w:ascii="Arial" w:hAnsi="Arial" w:hint="default"/>
      </w:rPr>
    </w:lvl>
    <w:lvl w:ilvl="5" w:tplc="62605C8C" w:tentative="1">
      <w:start w:val="1"/>
      <w:numFmt w:val="bullet"/>
      <w:lvlText w:val="•"/>
      <w:lvlJc w:val="left"/>
      <w:pPr>
        <w:tabs>
          <w:tab w:val="num" w:pos="4320"/>
        </w:tabs>
        <w:ind w:left="4320" w:hanging="360"/>
      </w:pPr>
      <w:rPr>
        <w:rFonts w:ascii="Arial" w:hAnsi="Arial" w:hint="default"/>
      </w:rPr>
    </w:lvl>
    <w:lvl w:ilvl="6" w:tplc="D882AFBE" w:tentative="1">
      <w:start w:val="1"/>
      <w:numFmt w:val="bullet"/>
      <w:lvlText w:val="•"/>
      <w:lvlJc w:val="left"/>
      <w:pPr>
        <w:tabs>
          <w:tab w:val="num" w:pos="5040"/>
        </w:tabs>
        <w:ind w:left="5040" w:hanging="360"/>
      </w:pPr>
      <w:rPr>
        <w:rFonts w:ascii="Arial" w:hAnsi="Arial" w:hint="default"/>
      </w:rPr>
    </w:lvl>
    <w:lvl w:ilvl="7" w:tplc="9C7A7D5C" w:tentative="1">
      <w:start w:val="1"/>
      <w:numFmt w:val="bullet"/>
      <w:lvlText w:val="•"/>
      <w:lvlJc w:val="left"/>
      <w:pPr>
        <w:tabs>
          <w:tab w:val="num" w:pos="5760"/>
        </w:tabs>
        <w:ind w:left="5760" w:hanging="360"/>
      </w:pPr>
      <w:rPr>
        <w:rFonts w:ascii="Arial" w:hAnsi="Arial" w:hint="default"/>
      </w:rPr>
    </w:lvl>
    <w:lvl w:ilvl="8" w:tplc="D0F27AFA"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56DA2CAE"/>
    <w:multiLevelType w:val="multilevel"/>
    <w:tmpl w:val="3E5E177A"/>
    <w:name w:val="NTG Table Bullet List332222222222222"/>
    <w:numStyleLink w:val="Tablenumberlist"/>
  </w:abstractNum>
  <w:abstractNum w:abstractNumId="51" w15:restartNumberingAfterBreak="0">
    <w:nsid w:val="583359D9"/>
    <w:multiLevelType w:val="multilevel"/>
    <w:tmpl w:val="3E5E177A"/>
    <w:name w:val="NTG Table Bullet List332222222"/>
    <w:numStyleLink w:val="Tablenumberlist"/>
  </w:abstractNum>
  <w:abstractNum w:abstractNumId="52" w15:restartNumberingAfterBreak="0">
    <w:nsid w:val="5B9A5FFE"/>
    <w:multiLevelType w:val="multilevel"/>
    <w:tmpl w:val="0C78A7AC"/>
    <w:name w:val="NTG Table Bullet List33222222222222"/>
    <w:numStyleLink w:val="Tablebulletlist"/>
  </w:abstractNum>
  <w:abstractNum w:abstractNumId="53" w15:restartNumberingAfterBreak="0">
    <w:nsid w:val="5BB464E3"/>
    <w:multiLevelType w:val="hybridMultilevel"/>
    <w:tmpl w:val="2AE060A2"/>
    <w:lvl w:ilvl="0" w:tplc="8BA853EE">
      <w:start w:val="1"/>
      <w:numFmt w:val="bullet"/>
      <w:lvlText w:val="•"/>
      <w:lvlJc w:val="left"/>
      <w:pPr>
        <w:tabs>
          <w:tab w:val="num" w:pos="720"/>
        </w:tabs>
        <w:ind w:left="720" w:hanging="360"/>
      </w:pPr>
      <w:rPr>
        <w:rFonts w:ascii="Arial" w:hAnsi="Arial" w:hint="default"/>
      </w:rPr>
    </w:lvl>
    <w:lvl w:ilvl="1" w:tplc="6B82FB16" w:tentative="1">
      <w:start w:val="1"/>
      <w:numFmt w:val="bullet"/>
      <w:lvlText w:val="•"/>
      <w:lvlJc w:val="left"/>
      <w:pPr>
        <w:tabs>
          <w:tab w:val="num" w:pos="1440"/>
        </w:tabs>
        <w:ind w:left="1440" w:hanging="360"/>
      </w:pPr>
      <w:rPr>
        <w:rFonts w:ascii="Arial" w:hAnsi="Arial" w:hint="default"/>
      </w:rPr>
    </w:lvl>
    <w:lvl w:ilvl="2" w:tplc="283E486A" w:tentative="1">
      <w:start w:val="1"/>
      <w:numFmt w:val="bullet"/>
      <w:lvlText w:val="•"/>
      <w:lvlJc w:val="left"/>
      <w:pPr>
        <w:tabs>
          <w:tab w:val="num" w:pos="2160"/>
        </w:tabs>
        <w:ind w:left="2160" w:hanging="360"/>
      </w:pPr>
      <w:rPr>
        <w:rFonts w:ascii="Arial" w:hAnsi="Arial" w:hint="default"/>
      </w:rPr>
    </w:lvl>
    <w:lvl w:ilvl="3" w:tplc="7BF4B146" w:tentative="1">
      <w:start w:val="1"/>
      <w:numFmt w:val="bullet"/>
      <w:lvlText w:val="•"/>
      <w:lvlJc w:val="left"/>
      <w:pPr>
        <w:tabs>
          <w:tab w:val="num" w:pos="2880"/>
        </w:tabs>
        <w:ind w:left="2880" w:hanging="360"/>
      </w:pPr>
      <w:rPr>
        <w:rFonts w:ascii="Arial" w:hAnsi="Arial" w:hint="default"/>
      </w:rPr>
    </w:lvl>
    <w:lvl w:ilvl="4" w:tplc="72B29670" w:tentative="1">
      <w:start w:val="1"/>
      <w:numFmt w:val="bullet"/>
      <w:lvlText w:val="•"/>
      <w:lvlJc w:val="left"/>
      <w:pPr>
        <w:tabs>
          <w:tab w:val="num" w:pos="3600"/>
        </w:tabs>
        <w:ind w:left="3600" w:hanging="360"/>
      </w:pPr>
      <w:rPr>
        <w:rFonts w:ascii="Arial" w:hAnsi="Arial" w:hint="default"/>
      </w:rPr>
    </w:lvl>
    <w:lvl w:ilvl="5" w:tplc="ABA8DC16" w:tentative="1">
      <w:start w:val="1"/>
      <w:numFmt w:val="bullet"/>
      <w:lvlText w:val="•"/>
      <w:lvlJc w:val="left"/>
      <w:pPr>
        <w:tabs>
          <w:tab w:val="num" w:pos="4320"/>
        </w:tabs>
        <w:ind w:left="4320" w:hanging="360"/>
      </w:pPr>
      <w:rPr>
        <w:rFonts w:ascii="Arial" w:hAnsi="Arial" w:hint="default"/>
      </w:rPr>
    </w:lvl>
    <w:lvl w:ilvl="6" w:tplc="F1EA23B2" w:tentative="1">
      <w:start w:val="1"/>
      <w:numFmt w:val="bullet"/>
      <w:lvlText w:val="•"/>
      <w:lvlJc w:val="left"/>
      <w:pPr>
        <w:tabs>
          <w:tab w:val="num" w:pos="5040"/>
        </w:tabs>
        <w:ind w:left="5040" w:hanging="360"/>
      </w:pPr>
      <w:rPr>
        <w:rFonts w:ascii="Arial" w:hAnsi="Arial" w:hint="default"/>
      </w:rPr>
    </w:lvl>
    <w:lvl w:ilvl="7" w:tplc="AB56ABB0" w:tentative="1">
      <w:start w:val="1"/>
      <w:numFmt w:val="bullet"/>
      <w:lvlText w:val="•"/>
      <w:lvlJc w:val="left"/>
      <w:pPr>
        <w:tabs>
          <w:tab w:val="num" w:pos="5760"/>
        </w:tabs>
        <w:ind w:left="5760" w:hanging="360"/>
      </w:pPr>
      <w:rPr>
        <w:rFonts w:ascii="Arial" w:hAnsi="Arial" w:hint="default"/>
      </w:rPr>
    </w:lvl>
    <w:lvl w:ilvl="8" w:tplc="EEEC970E"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5D444259"/>
    <w:multiLevelType w:val="multilevel"/>
    <w:tmpl w:val="0C78A7AC"/>
    <w:name w:val="NTG Table Bullet List332222"/>
    <w:numStyleLink w:val="Tablebulletlist"/>
  </w:abstractNum>
  <w:abstractNum w:abstractNumId="55" w15:restartNumberingAfterBreak="0">
    <w:nsid w:val="619E241C"/>
    <w:multiLevelType w:val="hybridMultilevel"/>
    <w:tmpl w:val="D7F0B2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3D24C76"/>
    <w:multiLevelType w:val="hybridMultilevel"/>
    <w:tmpl w:val="F69424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7" w15:restartNumberingAfterBreak="0">
    <w:nsid w:val="67FC72B1"/>
    <w:multiLevelType w:val="hybridMultilevel"/>
    <w:tmpl w:val="CADC0B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9262556"/>
    <w:multiLevelType w:val="multilevel"/>
    <w:tmpl w:val="3E5E177A"/>
    <w:name w:val="NTG Table Bullet List3322222222222222"/>
    <w:numStyleLink w:val="Tablenumberlist"/>
  </w:abstractNum>
  <w:abstractNum w:abstractNumId="59" w15:restartNumberingAfterBreak="0">
    <w:nsid w:val="6A3674E2"/>
    <w:multiLevelType w:val="hybridMultilevel"/>
    <w:tmpl w:val="8F344CEE"/>
    <w:lvl w:ilvl="0" w:tplc="FFFFFFFF">
      <w:start w:val="1"/>
      <w:numFmt w:val="decimal"/>
      <w:lvlText w:val="(%1)"/>
      <w:lvlJc w:val="left"/>
      <w:pPr>
        <w:ind w:left="1095" w:hanging="480"/>
      </w:pPr>
      <w:rPr>
        <w:rFonts w:hint="default"/>
      </w:rPr>
    </w:lvl>
    <w:lvl w:ilvl="1" w:tplc="FFFFFFFF" w:tentative="1">
      <w:start w:val="1"/>
      <w:numFmt w:val="lowerLetter"/>
      <w:lvlText w:val="%2."/>
      <w:lvlJc w:val="left"/>
      <w:pPr>
        <w:ind w:left="1695" w:hanging="360"/>
      </w:pPr>
    </w:lvl>
    <w:lvl w:ilvl="2" w:tplc="FFFFFFFF" w:tentative="1">
      <w:start w:val="1"/>
      <w:numFmt w:val="lowerRoman"/>
      <w:lvlText w:val="%3."/>
      <w:lvlJc w:val="right"/>
      <w:pPr>
        <w:ind w:left="2415" w:hanging="180"/>
      </w:pPr>
    </w:lvl>
    <w:lvl w:ilvl="3" w:tplc="FFFFFFFF" w:tentative="1">
      <w:start w:val="1"/>
      <w:numFmt w:val="decimal"/>
      <w:lvlText w:val="%4."/>
      <w:lvlJc w:val="left"/>
      <w:pPr>
        <w:ind w:left="3135" w:hanging="360"/>
      </w:pPr>
    </w:lvl>
    <w:lvl w:ilvl="4" w:tplc="FFFFFFFF" w:tentative="1">
      <w:start w:val="1"/>
      <w:numFmt w:val="lowerLetter"/>
      <w:lvlText w:val="%5."/>
      <w:lvlJc w:val="left"/>
      <w:pPr>
        <w:ind w:left="3855" w:hanging="360"/>
      </w:pPr>
    </w:lvl>
    <w:lvl w:ilvl="5" w:tplc="FFFFFFFF" w:tentative="1">
      <w:start w:val="1"/>
      <w:numFmt w:val="lowerRoman"/>
      <w:lvlText w:val="%6."/>
      <w:lvlJc w:val="right"/>
      <w:pPr>
        <w:ind w:left="4575" w:hanging="180"/>
      </w:pPr>
    </w:lvl>
    <w:lvl w:ilvl="6" w:tplc="FFFFFFFF" w:tentative="1">
      <w:start w:val="1"/>
      <w:numFmt w:val="decimal"/>
      <w:lvlText w:val="%7."/>
      <w:lvlJc w:val="left"/>
      <w:pPr>
        <w:ind w:left="5295" w:hanging="360"/>
      </w:pPr>
    </w:lvl>
    <w:lvl w:ilvl="7" w:tplc="FFFFFFFF" w:tentative="1">
      <w:start w:val="1"/>
      <w:numFmt w:val="lowerLetter"/>
      <w:lvlText w:val="%8."/>
      <w:lvlJc w:val="left"/>
      <w:pPr>
        <w:ind w:left="6015" w:hanging="360"/>
      </w:pPr>
    </w:lvl>
    <w:lvl w:ilvl="8" w:tplc="FFFFFFFF" w:tentative="1">
      <w:start w:val="1"/>
      <w:numFmt w:val="lowerRoman"/>
      <w:lvlText w:val="%9."/>
      <w:lvlJc w:val="right"/>
      <w:pPr>
        <w:ind w:left="6735" w:hanging="180"/>
      </w:pPr>
    </w:lvl>
  </w:abstractNum>
  <w:abstractNum w:abstractNumId="60" w15:restartNumberingAfterBreak="0">
    <w:nsid w:val="6A685DEA"/>
    <w:multiLevelType w:val="hybridMultilevel"/>
    <w:tmpl w:val="271EFB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1" w15:restartNumberingAfterBreak="0">
    <w:nsid w:val="6D7F6DDE"/>
    <w:multiLevelType w:val="hybridMultilevel"/>
    <w:tmpl w:val="B0903BAE"/>
    <w:lvl w:ilvl="0" w:tplc="F0964C4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0AB221A"/>
    <w:multiLevelType w:val="hybridMultilevel"/>
    <w:tmpl w:val="D7F0B2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453664D"/>
    <w:multiLevelType w:val="multilevel"/>
    <w:tmpl w:val="0C78A7AC"/>
    <w:name w:val="NTG Table Bullet List3322222222222222222"/>
    <w:numStyleLink w:val="Tablebulletlist"/>
  </w:abstractNum>
  <w:abstractNum w:abstractNumId="64" w15:restartNumberingAfterBreak="0">
    <w:nsid w:val="74E078B0"/>
    <w:multiLevelType w:val="hybridMultilevel"/>
    <w:tmpl w:val="F42A7A1C"/>
    <w:lvl w:ilvl="0" w:tplc="7452FDB6">
      <w:start w:val="4"/>
      <w:numFmt w:val="bullet"/>
      <w:lvlText w:val="-"/>
      <w:lvlJc w:val="left"/>
      <w:pPr>
        <w:ind w:left="720" w:hanging="360"/>
      </w:pPr>
      <w:rPr>
        <w:rFonts w:ascii="Lato" w:eastAsia="Times New Roman" w:hAnsi="Lat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54414A6"/>
    <w:multiLevelType w:val="hybridMultilevel"/>
    <w:tmpl w:val="8D768492"/>
    <w:lvl w:ilvl="0" w:tplc="A1723E52">
      <w:start w:val="1"/>
      <w:numFmt w:val="bullet"/>
      <w:lvlText w:val="–"/>
      <w:lvlJc w:val="left"/>
      <w:pPr>
        <w:ind w:left="720" w:hanging="360"/>
      </w:pPr>
      <w:rPr>
        <w:rFonts w:ascii="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5713D87"/>
    <w:multiLevelType w:val="hybridMultilevel"/>
    <w:tmpl w:val="C1CAD9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6141D1E"/>
    <w:multiLevelType w:val="multilevel"/>
    <w:tmpl w:val="0C78A7AC"/>
    <w:name w:val="NTG Table Bullet List332222222222"/>
    <w:numStyleLink w:val="Tablebulletlist"/>
  </w:abstractNum>
  <w:abstractNum w:abstractNumId="6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9" w15:restartNumberingAfterBreak="0">
    <w:nsid w:val="7A817108"/>
    <w:multiLevelType w:val="hybridMultilevel"/>
    <w:tmpl w:val="0C381A34"/>
    <w:lvl w:ilvl="0" w:tplc="BED2EFF4">
      <w:start w:val="1"/>
      <w:numFmt w:val="bullet"/>
      <w:lvlText w:val="•"/>
      <w:lvlJc w:val="left"/>
      <w:pPr>
        <w:tabs>
          <w:tab w:val="num" w:pos="720"/>
        </w:tabs>
        <w:ind w:left="720" w:hanging="360"/>
      </w:pPr>
      <w:rPr>
        <w:rFonts w:ascii="Arial" w:hAnsi="Arial" w:hint="default"/>
      </w:rPr>
    </w:lvl>
    <w:lvl w:ilvl="1" w:tplc="F0FECF80" w:tentative="1">
      <w:start w:val="1"/>
      <w:numFmt w:val="bullet"/>
      <w:lvlText w:val="•"/>
      <w:lvlJc w:val="left"/>
      <w:pPr>
        <w:tabs>
          <w:tab w:val="num" w:pos="1440"/>
        </w:tabs>
        <w:ind w:left="1440" w:hanging="360"/>
      </w:pPr>
      <w:rPr>
        <w:rFonts w:ascii="Arial" w:hAnsi="Arial" w:hint="default"/>
      </w:rPr>
    </w:lvl>
    <w:lvl w:ilvl="2" w:tplc="D65627B0" w:tentative="1">
      <w:start w:val="1"/>
      <w:numFmt w:val="bullet"/>
      <w:lvlText w:val="•"/>
      <w:lvlJc w:val="left"/>
      <w:pPr>
        <w:tabs>
          <w:tab w:val="num" w:pos="2160"/>
        </w:tabs>
        <w:ind w:left="2160" w:hanging="360"/>
      </w:pPr>
      <w:rPr>
        <w:rFonts w:ascii="Arial" w:hAnsi="Arial" w:hint="default"/>
      </w:rPr>
    </w:lvl>
    <w:lvl w:ilvl="3" w:tplc="EC3A204C" w:tentative="1">
      <w:start w:val="1"/>
      <w:numFmt w:val="bullet"/>
      <w:lvlText w:val="•"/>
      <w:lvlJc w:val="left"/>
      <w:pPr>
        <w:tabs>
          <w:tab w:val="num" w:pos="2880"/>
        </w:tabs>
        <w:ind w:left="2880" w:hanging="360"/>
      </w:pPr>
      <w:rPr>
        <w:rFonts w:ascii="Arial" w:hAnsi="Arial" w:hint="default"/>
      </w:rPr>
    </w:lvl>
    <w:lvl w:ilvl="4" w:tplc="5FC20C24" w:tentative="1">
      <w:start w:val="1"/>
      <w:numFmt w:val="bullet"/>
      <w:lvlText w:val="•"/>
      <w:lvlJc w:val="left"/>
      <w:pPr>
        <w:tabs>
          <w:tab w:val="num" w:pos="3600"/>
        </w:tabs>
        <w:ind w:left="3600" w:hanging="360"/>
      </w:pPr>
      <w:rPr>
        <w:rFonts w:ascii="Arial" w:hAnsi="Arial" w:hint="default"/>
      </w:rPr>
    </w:lvl>
    <w:lvl w:ilvl="5" w:tplc="FC0841FC" w:tentative="1">
      <w:start w:val="1"/>
      <w:numFmt w:val="bullet"/>
      <w:lvlText w:val="•"/>
      <w:lvlJc w:val="left"/>
      <w:pPr>
        <w:tabs>
          <w:tab w:val="num" w:pos="4320"/>
        </w:tabs>
        <w:ind w:left="4320" w:hanging="360"/>
      </w:pPr>
      <w:rPr>
        <w:rFonts w:ascii="Arial" w:hAnsi="Arial" w:hint="default"/>
      </w:rPr>
    </w:lvl>
    <w:lvl w:ilvl="6" w:tplc="ACC0B20E" w:tentative="1">
      <w:start w:val="1"/>
      <w:numFmt w:val="bullet"/>
      <w:lvlText w:val="•"/>
      <w:lvlJc w:val="left"/>
      <w:pPr>
        <w:tabs>
          <w:tab w:val="num" w:pos="5040"/>
        </w:tabs>
        <w:ind w:left="5040" w:hanging="360"/>
      </w:pPr>
      <w:rPr>
        <w:rFonts w:ascii="Arial" w:hAnsi="Arial" w:hint="default"/>
      </w:rPr>
    </w:lvl>
    <w:lvl w:ilvl="7" w:tplc="6966F496" w:tentative="1">
      <w:start w:val="1"/>
      <w:numFmt w:val="bullet"/>
      <w:lvlText w:val="•"/>
      <w:lvlJc w:val="left"/>
      <w:pPr>
        <w:tabs>
          <w:tab w:val="num" w:pos="5760"/>
        </w:tabs>
        <w:ind w:left="5760" w:hanging="360"/>
      </w:pPr>
      <w:rPr>
        <w:rFonts w:ascii="Arial" w:hAnsi="Arial" w:hint="default"/>
      </w:rPr>
    </w:lvl>
    <w:lvl w:ilvl="8" w:tplc="A7A85AA8"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2"/>
  </w:num>
  <w:num w:numId="2">
    <w:abstractNumId w:val="20"/>
  </w:num>
  <w:num w:numId="3">
    <w:abstractNumId w:val="68"/>
  </w:num>
  <w:num w:numId="4">
    <w:abstractNumId w:val="43"/>
  </w:num>
  <w:num w:numId="5">
    <w:abstractNumId w:val="25"/>
  </w:num>
  <w:num w:numId="6">
    <w:abstractNumId w:val="13"/>
  </w:num>
  <w:num w:numId="7">
    <w:abstractNumId w:val="46"/>
  </w:num>
  <w:num w:numId="8">
    <w:abstractNumId w:val="23"/>
  </w:num>
  <w:num w:numId="9">
    <w:abstractNumId w:val="56"/>
  </w:num>
  <w:num w:numId="10">
    <w:abstractNumId w:val="60"/>
  </w:num>
  <w:num w:numId="11">
    <w:abstractNumId w:val="24"/>
  </w:num>
  <w:num w:numId="12">
    <w:abstractNumId w:val="15"/>
  </w:num>
  <w:num w:numId="13">
    <w:abstractNumId w:val="29"/>
  </w:num>
  <w:num w:numId="14">
    <w:abstractNumId w:val="4"/>
  </w:num>
  <w:num w:numId="15">
    <w:abstractNumId w:val="42"/>
  </w:num>
  <w:num w:numId="16">
    <w:abstractNumId w:val="66"/>
  </w:num>
  <w:num w:numId="17">
    <w:abstractNumId w:val="40"/>
  </w:num>
  <w:num w:numId="18">
    <w:abstractNumId w:val="62"/>
  </w:num>
  <w:num w:numId="19">
    <w:abstractNumId w:val="8"/>
  </w:num>
  <w:num w:numId="20">
    <w:abstractNumId w:val="39"/>
  </w:num>
  <w:num w:numId="21">
    <w:abstractNumId w:val="55"/>
  </w:num>
  <w:num w:numId="22">
    <w:abstractNumId w:val="47"/>
  </w:num>
  <w:num w:numId="23">
    <w:abstractNumId w:val="36"/>
  </w:num>
  <w:num w:numId="24">
    <w:abstractNumId w:val="33"/>
  </w:num>
  <w:num w:numId="25">
    <w:abstractNumId w:val="49"/>
  </w:num>
  <w:num w:numId="26">
    <w:abstractNumId w:val="69"/>
  </w:num>
  <w:num w:numId="27">
    <w:abstractNumId w:val="38"/>
  </w:num>
  <w:num w:numId="28">
    <w:abstractNumId w:val="19"/>
  </w:num>
  <w:num w:numId="29">
    <w:abstractNumId w:val="53"/>
  </w:num>
  <w:num w:numId="30">
    <w:abstractNumId w:val="17"/>
  </w:num>
  <w:num w:numId="31">
    <w:abstractNumId w:val="10"/>
  </w:num>
  <w:num w:numId="32">
    <w:abstractNumId w:val="65"/>
  </w:num>
  <w:num w:numId="33">
    <w:abstractNumId w:val="64"/>
  </w:num>
  <w:num w:numId="34">
    <w:abstractNumId w:val="27"/>
  </w:num>
  <w:num w:numId="35">
    <w:abstractNumId w:val="0"/>
  </w:num>
  <w:num w:numId="36">
    <w:abstractNumId w:val="57"/>
  </w:num>
  <w:num w:numId="37">
    <w:abstractNumId w:val="37"/>
  </w:num>
  <w:num w:numId="38">
    <w:abstractNumId w:val="35"/>
  </w:num>
  <w:num w:numId="39">
    <w:abstractNumId w:val="26"/>
  </w:num>
  <w:num w:numId="40">
    <w:abstractNumId w:val="44"/>
  </w:num>
  <w:num w:numId="41">
    <w:abstractNumId w:val="59"/>
  </w:num>
  <w:num w:numId="42">
    <w:abstractNumId w:val="1"/>
  </w:num>
  <w:num w:numId="43">
    <w:abstractNumId w:val="2"/>
  </w:num>
  <w:num w:numId="44">
    <w:abstractNumId w:val="6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1C"/>
    <w:rsid w:val="0000141D"/>
    <w:rsid w:val="00001DDF"/>
    <w:rsid w:val="0000322D"/>
    <w:rsid w:val="0000336C"/>
    <w:rsid w:val="00007670"/>
    <w:rsid w:val="00010665"/>
    <w:rsid w:val="0002393A"/>
    <w:rsid w:val="00027D3D"/>
    <w:rsid w:val="00027DB8"/>
    <w:rsid w:val="00031A96"/>
    <w:rsid w:val="00036BB1"/>
    <w:rsid w:val="00040BF3"/>
    <w:rsid w:val="0004211C"/>
    <w:rsid w:val="00046C59"/>
    <w:rsid w:val="00051257"/>
    <w:rsid w:val="00051362"/>
    <w:rsid w:val="00051F45"/>
    <w:rsid w:val="00052953"/>
    <w:rsid w:val="00052DE2"/>
    <w:rsid w:val="0005341A"/>
    <w:rsid w:val="0005465F"/>
    <w:rsid w:val="00056DEF"/>
    <w:rsid w:val="00056EDC"/>
    <w:rsid w:val="00061DAC"/>
    <w:rsid w:val="00062460"/>
    <w:rsid w:val="0006635A"/>
    <w:rsid w:val="000720BE"/>
    <w:rsid w:val="0007259C"/>
    <w:rsid w:val="00074F8C"/>
    <w:rsid w:val="00080202"/>
    <w:rsid w:val="00080DCD"/>
    <w:rsid w:val="00080E22"/>
    <w:rsid w:val="00082573"/>
    <w:rsid w:val="000840A3"/>
    <w:rsid w:val="00085062"/>
    <w:rsid w:val="00086A5F"/>
    <w:rsid w:val="000911EF"/>
    <w:rsid w:val="000962C5"/>
    <w:rsid w:val="00097865"/>
    <w:rsid w:val="000A4317"/>
    <w:rsid w:val="000A559C"/>
    <w:rsid w:val="000B0147"/>
    <w:rsid w:val="000B2CA1"/>
    <w:rsid w:val="000D1F29"/>
    <w:rsid w:val="000D1FAA"/>
    <w:rsid w:val="000D633D"/>
    <w:rsid w:val="000E165E"/>
    <w:rsid w:val="000E342B"/>
    <w:rsid w:val="000E3ED2"/>
    <w:rsid w:val="000E5DD2"/>
    <w:rsid w:val="000F2958"/>
    <w:rsid w:val="000F3850"/>
    <w:rsid w:val="000F5EC7"/>
    <w:rsid w:val="000F604F"/>
    <w:rsid w:val="000F6530"/>
    <w:rsid w:val="0010273C"/>
    <w:rsid w:val="00103A80"/>
    <w:rsid w:val="00104E7F"/>
    <w:rsid w:val="00106585"/>
    <w:rsid w:val="001137EC"/>
    <w:rsid w:val="00114404"/>
    <w:rsid w:val="00115069"/>
    <w:rsid w:val="001152F5"/>
    <w:rsid w:val="00117743"/>
    <w:rsid w:val="00117F5B"/>
    <w:rsid w:val="00127715"/>
    <w:rsid w:val="00127C14"/>
    <w:rsid w:val="00132658"/>
    <w:rsid w:val="00142D3C"/>
    <w:rsid w:val="00150DC0"/>
    <w:rsid w:val="00156CD4"/>
    <w:rsid w:val="00157380"/>
    <w:rsid w:val="0016153B"/>
    <w:rsid w:val="00162207"/>
    <w:rsid w:val="00164A3E"/>
    <w:rsid w:val="00166FF6"/>
    <w:rsid w:val="00170DD2"/>
    <w:rsid w:val="00174961"/>
    <w:rsid w:val="00176123"/>
    <w:rsid w:val="00181620"/>
    <w:rsid w:val="00187130"/>
    <w:rsid w:val="001957AD"/>
    <w:rsid w:val="00196F8E"/>
    <w:rsid w:val="001A2B7F"/>
    <w:rsid w:val="001A399F"/>
    <w:rsid w:val="001A3AFD"/>
    <w:rsid w:val="001A3BB2"/>
    <w:rsid w:val="001A496C"/>
    <w:rsid w:val="001A54FD"/>
    <w:rsid w:val="001A576A"/>
    <w:rsid w:val="001B28DA"/>
    <w:rsid w:val="001B2B6C"/>
    <w:rsid w:val="001B6A1A"/>
    <w:rsid w:val="001C5831"/>
    <w:rsid w:val="001D01C4"/>
    <w:rsid w:val="001D4F99"/>
    <w:rsid w:val="001D52B0"/>
    <w:rsid w:val="001D5A18"/>
    <w:rsid w:val="001D7CA4"/>
    <w:rsid w:val="001E057F"/>
    <w:rsid w:val="001E14EB"/>
    <w:rsid w:val="001F59E6"/>
    <w:rsid w:val="001F62BB"/>
    <w:rsid w:val="00203F1C"/>
    <w:rsid w:val="0020513D"/>
    <w:rsid w:val="00206936"/>
    <w:rsid w:val="00206C6F"/>
    <w:rsid w:val="00206FBD"/>
    <w:rsid w:val="0020726B"/>
    <w:rsid w:val="00207746"/>
    <w:rsid w:val="00207B41"/>
    <w:rsid w:val="00215904"/>
    <w:rsid w:val="00230031"/>
    <w:rsid w:val="00235C01"/>
    <w:rsid w:val="0024281C"/>
    <w:rsid w:val="00242917"/>
    <w:rsid w:val="00247343"/>
    <w:rsid w:val="00265C56"/>
    <w:rsid w:val="0026672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1FE9"/>
    <w:rsid w:val="002D3A57"/>
    <w:rsid w:val="002D7D05"/>
    <w:rsid w:val="002E20C8"/>
    <w:rsid w:val="002E4290"/>
    <w:rsid w:val="002E66A6"/>
    <w:rsid w:val="002F0DB1"/>
    <w:rsid w:val="002F2885"/>
    <w:rsid w:val="002F35C6"/>
    <w:rsid w:val="002F45A1"/>
    <w:rsid w:val="002F525F"/>
    <w:rsid w:val="0030203D"/>
    <w:rsid w:val="003037F9"/>
    <w:rsid w:val="0030583E"/>
    <w:rsid w:val="00307FE1"/>
    <w:rsid w:val="003135C7"/>
    <w:rsid w:val="003164BA"/>
    <w:rsid w:val="003258E6"/>
    <w:rsid w:val="003265F2"/>
    <w:rsid w:val="0032786A"/>
    <w:rsid w:val="003362C5"/>
    <w:rsid w:val="003375AC"/>
    <w:rsid w:val="00342283"/>
    <w:rsid w:val="00343A87"/>
    <w:rsid w:val="00344A36"/>
    <w:rsid w:val="003456F4"/>
    <w:rsid w:val="00347FB6"/>
    <w:rsid w:val="003504FD"/>
    <w:rsid w:val="00350881"/>
    <w:rsid w:val="00351568"/>
    <w:rsid w:val="00357D55"/>
    <w:rsid w:val="00360383"/>
    <w:rsid w:val="00363513"/>
    <w:rsid w:val="003657E5"/>
    <w:rsid w:val="0036589C"/>
    <w:rsid w:val="0036745B"/>
    <w:rsid w:val="00371312"/>
    <w:rsid w:val="00371DC7"/>
    <w:rsid w:val="00373B4F"/>
    <w:rsid w:val="00377B21"/>
    <w:rsid w:val="00390CE3"/>
    <w:rsid w:val="00394876"/>
    <w:rsid w:val="00394AAF"/>
    <w:rsid w:val="00394CE5"/>
    <w:rsid w:val="003A6341"/>
    <w:rsid w:val="003B67FD"/>
    <w:rsid w:val="003B6A61"/>
    <w:rsid w:val="003D0F63"/>
    <w:rsid w:val="003D33A3"/>
    <w:rsid w:val="003D42C0"/>
    <w:rsid w:val="003D5B29"/>
    <w:rsid w:val="003D7818"/>
    <w:rsid w:val="003E02C8"/>
    <w:rsid w:val="003E0783"/>
    <w:rsid w:val="003E2445"/>
    <w:rsid w:val="003E2B8D"/>
    <w:rsid w:val="003E3BB2"/>
    <w:rsid w:val="003E433A"/>
    <w:rsid w:val="003F5B58"/>
    <w:rsid w:val="0040222A"/>
    <w:rsid w:val="004047BC"/>
    <w:rsid w:val="004100F7"/>
    <w:rsid w:val="00414CB3"/>
    <w:rsid w:val="0041563D"/>
    <w:rsid w:val="00416277"/>
    <w:rsid w:val="0042049C"/>
    <w:rsid w:val="00423A29"/>
    <w:rsid w:val="0042427A"/>
    <w:rsid w:val="00426E25"/>
    <w:rsid w:val="00427D9C"/>
    <w:rsid w:val="00427E7E"/>
    <w:rsid w:val="00433308"/>
    <w:rsid w:val="0043465D"/>
    <w:rsid w:val="00443B6E"/>
    <w:rsid w:val="0045299D"/>
    <w:rsid w:val="0045420A"/>
    <w:rsid w:val="004554D4"/>
    <w:rsid w:val="00461744"/>
    <w:rsid w:val="0046335F"/>
    <w:rsid w:val="004652AA"/>
    <w:rsid w:val="00466185"/>
    <w:rsid w:val="00466303"/>
    <w:rsid w:val="004668A7"/>
    <w:rsid w:val="00466D96"/>
    <w:rsid w:val="00467747"/>
    <w:rsid w:val="00470017"/>
    <w:rsid w:val="0047105A"/>
    <w:rsid w:val="00473C98"/>
    <w:rsid w:val="00474965"/>
    <w:rsid w:val="00477403"/>
    <w:rsid w:val="00477A10"/>
    <w:rsid w:val="00482DF8"/>
    <w:rsid w:val="0048497E"/>
    <w:rsid w:val="004864DE"/>
    <w:rsid w:val="0049421B"/>
    <w:rsid w:val="00494BE5"/>
    <w:rsid w:val="00497BF4"/>
    <w:rsid w:val="004A0EBA"/>
    <w:rsid w:val="004A2538"/>
    <w:rsid w:val="004A331E"/>
    <w:rsid w:val="004A3E17"/>
    <w:rsid w:val="004B0C15"/>
    <w:rsid w:val="004B35EA"/>
    <w:rsid w:val="004B69E4"/>
    <w:rsid w:val="004C3ACC"/>
    <w:rsid w:val="004C5E72"/>
    <w:rsid w:val="004C6C39"/>
    <w:rsid w:val="004D075F"/>
    <w:rsid w:val="004D1B76"/>
    <w:rsid w:val="004D344E"/>
    <w:rsid w:val="004D7350"/>
    <w:rsid w:val="004E019E"/>
    <w:rsid w:val="004E06EC"/>
    <w:rsid w:val="004E0A3F"/>
    <w:rsid w:val="004E2CB7"/>
    <w:rsid w:val="004E3946"/>
    <w:rsid w:val="004E612D"/>
    <w:rsid w:val="004F016A"/>
    <w:rsid w:val="00500F94"/>
    <w:rsid w:val="00502FB3"/>
    <w:rsid w:val="00503DE9"/>
    <w:rsid w:val="0050530C"/>
    <w:rsid w:val="00505DEA"/>
    <w:rsid w:val="00507782"/>
    <w:rsid w:val="005100DE"/>
    <w:rsid w:val="00512A04"/>
    <w:rsid w:val="00520499"/>
    <w:rsid w:val="00521E2C"/>
    <w:rsid w:val="005249F5"/>
    <w:rsid w:val="005260F7"/>
    <w:rsid w:val="00543BD1"/>
    <w:rsid w:val="00556113"/>
    <w:rsid w:val="00563360"/>
    <w:rsid w:val="00564C12"/>
    <w:rsid w:val="005654B8"/>
    <w:rsid w:val="005762CC"/>
    <w:rsid w:val="00582D3D"/>
    <w:rsid w:val="005844E2"/>
    <w:rsid w:val="00590040"/>
    <w:rsid w:val="00592E78"/>
    <w:rsid w:val="00595386"/>
    <w:rsid w:val="00597234"/>
    <w:rsid w:val="005A4AC0"/>
    <w:rsid w:val="005A5FDF"/>
    <w:rsid w:val="005B0B66"/>
    <w:rsid w:val="005B0FB7"/>
    <w:rsid w:val="005B122A"/>
    <w:rsid w:val="005B1FCB"/>
    <w:rsid w:val="005B5AC2"/>
    <w:rsid w:val="005C2833"/>
    <w:rsid w:val="005D0A55"/>
    <w:rsid w:val="005D631C"/>
    <w:rsid w:val="005E144D"/>
    <w:rsid w:val="005E1500"/>
    <w:rsid w:val="005E3A43"/>
    <w:rsid w:val="005E3FC4"/>
    <w:rsid w:val="005E689C"/>
    <w:rsid w:val="005F0B17"/>
    <w:rsid w:val="005F77C7"/>
    <w:rsid w:val="006136A4"/>
    <w:rsid w:val="0061381B"/>
    <w:rsid w:val="00620675"/>
    <w:rsid w:val="00622910"/>
    <w:rsid w:val="006254B6"/>
    <w:rsid w:val="00627FC8"/>
    <w:rsid w:val="00642360"/>
    <w:rsid w:val="006433C3"/>
    <w:rsid w:val="00650F5B"/>
    <w:rsid w:val="00655B7A"/>
    <w:rsid w:val="006670D7"/>
    <w:rsid w:val="006719EA"/>
    <w:rsid w:val="00671F13"/>
    <w:rsid w:val="0067400A"/>
    <w:rsid w:val="0067448C"/>
    <w:rsid w:val="006847AD"/>
    <w:rsid w:val="0069114B"/>
    <w:rsid w:val="006944C1"/>
    <w:rsid w:val="00696438"/>
    <w:rsid w:val="006A2F2D"/>
    <w:rsid w:val="006A5086"/>
    <w:rsid w:val="006A756A"/>
    <w:rsid w:val="006B10BD"/>
    <w:rsid w:val="006B1834"/>
    <w:rsid w:val="006C2930"/>
    <w:rsid w:val="006D66F7"/>
    <w:rsid w:val="006E7CDA"/>
    <w:rsid w:val="007003E6"/>
    <w:rsid w:val="00705C9D"/>
    <w:rsid w:val="00705F13"/>
    <w:rsid w:val="00714F1D"/>
    <w:rsid w:val="00715225"/>
    <w:rsid w:val="00720CC6"/>
    <w:rsid w:val="00722DDB"/>
    <w:rsid w:val="00724728"/>
    <w:rsid w:val="00724F98"/>
    <w:rsid w:val="00730B9B"/>
    <w:rsid w:val="0073182E"/>
    <w:rsid w:val="007332FF"/>
    <w:rsid w:val="00737DCE"/>
    <w:rsid w:val="007408F5"/>
    <w:rsid w:val="00741EAE"/>
    <w:rsid w:val="00743E0C"/>
    <w:rsid w:val="00750D2F"/>
    <w:rsid w:val="00755248"/>
    <w:rsid w:val="0076190B"/>
    <w:rsid w:val="00763448"/>
    <w:rsid w:val="0076355D"/>
    <w:rsid w:val="00763A2D"/>
    <w:rsid w:val="007670BC"/>
    <w:rsid w:val="007676A4"/>
    <w:rsid w:val="00771DC5"/>
    <w:rsid w:val="00777795"/>
    <w:rsid w:val="00783A57"/>
    <w:rsid w:val="00784C92"/>
    <w:rsid w:val="007859CD"/>
    <w:rsid w:val="00785C24"/>
    <w:rsid w:val="007907E4"/>
    <w:rsid w:val="00790967"/>
    <w:rsid w:val="00796461"/>
    <w:rsid w:val="007A2466"/>
    <w:rsid w:val="007A4244"/>
    <w:rsid w:val="007A6A4F"/>
    <w:rsid w:val="007A7F1A"/>
    <w:rsid w:val="007B03F5"/>
    <w:rsid w:val="007B5C09"/>
    <w:rsid w:val="007B5DA2"/>
    <w:rsid w:val="007C0966"/>
    <w:rsid w:val="007C19E7"/>
    <w:rsid w:val="007C5CFD"/>
    <w:rsid w:val="007C6D9F"/>
    <w:rsid w:val="007D4893"/>
    <w:rsid w:val="007E128D"/>
    <w:rsid w:val="007E569D"/>
    <w:rsid w:val="007E70CF"/>
    <w:rsid w:val="007E74A4"/>
    <w:rsid w:val="007F1B6F"/>
    <w:rsid w:val="007F263F"/>
    <w:rsid w:val="008015A8"/>
    <w:rsid w:val="0080766E"/>
    <w:rsid w:val="00811169"/>
    <w:rsid w:val="00815297"/>
    <w:rsid w:val="008170DB"/>
    <w:rsid w:val="00817BA1"/>
    <w:rsid w:val="00820E0D"/>
    <w:rsid w:val="00823022"/>
    <w:rsid w:val="0082634E"/>
    <w:rsid w:val="008313C4"/>
    <w:rsid w:val="00835434"/>
    <w:rsid w:val="008358C0"/>
    <w:rsid w:val="00837842"/>
    <w:rsid w:val="00842838"/>
    <w:rsid w:val="00843B0B"/>
    <w:rsid w:val="008527C3"/>
    <w:rsid w:val="00854EC1"/>
    <w:rsid w:val="00855A63"/>
    <w:rsid w:val="0085797F"/>
    <w:rsid w:val="00861923"/>
    <w:rsid w:val="00861DC3"/>
    <w:rsid w:val="00864CC0"/>
    <w:rsid w:val="00867019"/>
    <w:rsid w:val="00872EF1"/>
    <w:rsid w:val="008735A9"/>
    <w:rsid w:val="00874FFF"/>
    <w:rsid w:val="00877BC5"/>
    <w:rsid w:val="00877D20"/>
    <w:rsid w:val="00881C48"/>
    <w:rsid w:val="00885B80"/>
    <w:rsid w:val="00885C30"/>
    <w:rsid w:val="00885E9B"/>
    <w:rsid w:val="00893C96"/>
    <w:rsid w:val="00893D7D"/>
    <w:rsid w:val="0089500A"/>
    <w:rsid w:val="00897C94"/>
    <w:rsid w:val="008A6CA3"/>
    <w:rsid w:val="008A7C12"/>
    <w:rsid w:val="008B015E"/>
    <w:rsid w:val="008B03CE"/>
    <w:rsid w:val="008B529E"/>
    <w:rsid w:val="008C073B"/>
    <w:rsid w:val="008C0D34"/>
    <w:rsid w:val="008C17FB"/>
    <w:rsid w:val="008C3DC0"/>
    <w:rsid w:val="008C49CC"/>
    <w:rsid w:val="008C70BB"/>
    <w:rsid w:val="008D1B00"/>
    <w:rsid w:val="008D278B"/>
    <w:rsid w:val="008D57B8"/>
    <w:rsid w:val="008E03FC"/>
    <w:rsid w:val="008E22E6"/>
    <w:rsid w:val="008E510B"/>
    <w:rsid w:val="008F0E58"/>
    <w:rsid w:val="008F30DE"/>
    <w:rsid w:val="008F422B"/>
    <w:rsid w:val="00901430"/>
    <w:rsid w:val="00902B13"/>
    <w:rsid w:val="0090563E"/>
    <w:rsid w:val="00910D99"/>
    <w:rsid w:val="00911941"/>
    <w:rsid w:val="0092024D"/>
    <w:rsid w:val="00925146"/>
    <w:rsid w:val="00925F0F"/>
    <w:rsid w:val="00932F6B"/>
    <w:rsid w:val="00933EC8"/>
    <w:rsid w:val="00940F8B"/>
    <w:rsid w:val="009468BC"/>
    <w:rsid w:val="00947FAE"/>
    <w:rsid w:val="009535F9"/>
    <w:rsid w:val="00953762"/>
    <w:rsid w:val="009616DF"/>
    <w:rsid w:val="00963E4F"/>
    <w:rsid w:val="0096542F"/>
    <w:rsid w:val="00966686"/>
    <w:rsid w:val="00967FA7"/>
    <w:rsid w:val="00971645"/>
    <w:rsid w:val="0097249C"/>
    <w:rsid w:val="00976837"/>
    <w:rsid w:val="00977919"/>
    <w:rsid w:val="00983000"/>
    <w:rsid w:val="009870FA"/>
    <w:rsid w:val="009921C3"/>
    <w:rsid w:val="00993602"/>
    <w:rsid w:val="0099551D"/>
    <w:rsid w:val="00996655"/>
    <w:rsid w:val="009969A6"/>
    <w:rsid w:val="0099747F"/>
    <w:rsid w:val="00997838"/>
    <w:rsid w:val="009A5897"/>
    <w:rsid w:val="009A5F24"/>
    <w:rsid w:val="009A6935"/>
    <w:rsid w:val="009B01F6"/>
    <w:rsid w:val="009B0B3E"/>
    <w:rsid w:val="009B1913"/>
    <w:rsid w:val="009B2551"/>
    <w:rsid w:val="009B5AF9"/>
    <w:rsid w:val="009B6657"/>
    <w:rsid w:val="009B6966"/>
    <w:rsid w:val="009D0EB5"/>
    <w:rsid w:val="009D14F9"/>
    <w:rsid w:val="009D2B74"/>
    <w:rsid w:val="009D63FF"/>
    <w:rsid w:val="009E175D"/>
    <w:rsid w:val="009E3CC2"/>
    <w:rsid w:val="009E5DCC"/>
    <w:rsid w:val="009E6572"/>
    <w:rsid w:val="009F06BD"/>
    <w:rsid w:val="009F2A4D"/>
    <w:rsid w:val="00A00828"/>
    <w:rsid w:val="00A01ADA"/>
    <w:rsid w:val="00A03290"/>
    <w:rsid w:val="00A0387E"/>
    <w:rsid w:val="00A05BFD"/>
    <w:rsid w:val="00A07490"/>
    <w:rsid w:val="00A10655"/>
    <w:rsid w:val="00A111A1"/>
    <w:rsid w:val="00A12B64"/>
    <w:rsid w:val="00A15858"/>
    <w:rsid w:val="00A22C38"/>
    <w:rsid w:val="00A25193"/>
    <w:rsid w:val="00A26E80"/>
    <w:rsid w:val="00A31AE8"/>
    <w:rsid w:val="00A3739D"/>
    <w:rsid w:val="00A37DDA"/>
    <w:rsid w:val="00A45005"/>
    <w:rsid w:val="00A45E5D"/>
    <w:rsid w:val="00A55A62"/>
    <w:rsid w:val="00A636CB"/>
    <w:rsid w:val="00A66857"/>
    <w:rsid w:val="00A72983"/>
    <w:rsid w:val="00A76790"/>
    <w:rsid w:val="00A77822"/>
    <w:rsid w:val="00A83050"/>
    <w:rsid w:val="00A925EC"/>
    <w:rsid w:val="00A929AA"/>
    <w:rsid w:val="00A92B6B"/>
    <w:rsid w:val="00A93908"/>
    <w:rsid w:val="00AA091B"/>
    <w:rsid w:val="00AA541E"/>
    <w:rsid w:val="00AB5413"/>
    <w:rsid w:val="00AB5FD3"/>
    <w:rsid w:val="00AD0DA4"/>
    <w:rsid w:val="00AD4169"/>
    <w:rsid w:val="00AE25C6"/>
    <w:rsid w:val="00AE306C"/>
    <w:rsid w:val="00AF28C1"/>
    <w:rsid w:val="00AF67FA"/>
    <w:rsid w:val="00B02EF1"/>
    <w:rsid w:val="00B04C7C"/>
    <w:rsid w:val="00B07C97"/>
    <w:rsid w:val="00B10231"/>
    <w:rsid w:val="00B11C67"/>
    <w:rsid w:val="00B15754"/>
    <w:rsid w:val="00B2046E"/>
    <w:rsid w:val="00B20E8B"/>
    <w:rsid w:val="00B257E1"/>
    <w:rsid w:val="00B2599A"/>
    <w:rsid w:val="00B27AC4"/>
    <w:rsid w:val="00B343CC"/>
    <w:rsid w:val="00B35E68"/>
    <w:rsid w:val="00B374A7"/>
    <w:rsid w:val="00B5084A"/>
    <w:rsid w:val="00B570B3"/>
    <w:rsid w:val="00B606A1"/>
    <w:rsid w:val="00B614F7"/>
    <w:rsid w:val="00B61B26"/>
    <w:rsid w:val="00B61FB3"/>
    <w:rsid w:val="00B65E6B"/>
    <w:rsid w:val="00B6755E"/>
    <w:rsid w:val="00B675B2"/>
    <w:rsid w:val="00B74FEA"/>
    <w:rsid w:val="00B7674D"/>
    <w:rsid w:val="00B81261"/>
    <w:rsid w:val="00B8223E"/>
    <w:rsid w:val="00B832AE"/>
    <w:rsid w:val="00B835E5"/>
    <w:rsid w:val="00B86678"/>
    <w:rsid w:val="00B87BBA"/>
    <w:rsid w:val="00B92F9B"/>
    <w:rsid w:val="00B93DB1"/>
    <w:rsid w:val="00B941B3"/>
    <w:rsid w:val="00B96513"/>
    <w:rsid w:val="00BA1D47"/>
    <w:rsid w:val="00BA5D19"/>
    <w:rsid w:val="00BA66F0"/>
    <w:rsid w:val="00BB2239"/>
    <w:rsid w:val="00BB2AE7"/>
    <w:rsid w:val="00BB6464"/>
    <w:rsid w:val="00BC1BB8"/>
    <w:rsid w:val="00BC4ECA"/>
    <w:rsid w:val="00BD3F64"/>
    <w:rsid w:val="00BD7FE1"/>
    <w:rsid w:val="00BE0885"/>
    <w:rsid w:val="00BE37CA"/>
    <w:rsid w:val="00BE6144"/>
    <w:rsid w:val="00BE635A"/>
    <w:rsid w:val="00BF17E9"/>
    <w:rsid w:val="00BF2ABB"/>
    <w:rsid w:val="00BF5099"/>
    <w:rsid w:val="00BF519F"/>
    <w:rsid w:val="00C00DF4"/>
    <w:rsid w:val="00C0326E"/>
    <w:rsid w:val="00C10F10"/>
    <w:rsid w:val="00C138DD"/>
    <w:rsid w:val="00C15D4D"/>
    <w:rsid w:val="00C175DC"/>
    <w:rsid w:val="00C30171"/>
    <w:rsid w:val="00C309D8"/>
    <w:rsid w:val="00C322B4"/>
    <w:rsid w:val="00C35297"/>
    <w:rsid w:val="00C35714"/>
    <w:rsid w:val="00C357F6"/>
    <w:rsid w:val="00C43519"/>
    <w:rsid w:val="00C45263"/>
    <w:rsid w:val="00C51537"/>
    <w:rsid w:val="00C52BC3"/>
    <w:rsid w:val="00C55B5A"/>
    <w:rsid w:val="00C61AFA"/>
    <w:rsid w:val="00C61D64"/>
    <w:rsid w:val="00C62099"/>
    <w:rsid w:val="00C64EA3"/>
    <w:rsid w:val="00C67143"/>
    <w:rsid w:val="00C7256C"/>
    <w:rsid w:val="00C72867"/>
    <w:rsid w:val="00C75E81"/>
    <w:rsid w:val="00C86609"/>
    <w:rsid w:val="00C92B4C"/>
    <w:rsid w:val="00C92C5E"/>
    <w:rsid w:val="00C954F6"/>
    <w:rsid w:val="00CA0A4D"/>
    <w:rsid w:val="00CA36A0"/>
    <w:rsid w:val="00CA6BC5"/>
    <w:rsid w:val="00CB1F90"/>
    <w:rsid w:val="00CB67F2"/>
    <w:rsid w:val="00CC120A"/>
    <w:rsid w:val="00CC571B"/>
    <w:rsid w:val="00CC61CD"/>
    <w:rsid w:val="00CC6C02"/>
    <w:rsid w:val="00CC737B"/>
    <w:rsid w:val="00CD1D96"/>
    <w:rsid w:val="00CD5011"/>
    <w:rsid w:val="00CE640F"/>
    <w:rsid w:val="00CE76BC"/>
    <w:rsid w:val="00CF540E"/>
    <w:rsid w:val="00D0068C"/>
    <w:rsid w:val="00D01FBB"/>
    <w:rsid w:val="00D02F07"/>
    <w:rsid w:val="00D15D88"/>
    <w:rsid w:val="00D27EBE"/>
    <w:rsid w:val="00D3446F"/>
    <w:rsid w:val="00D36A49"/>
    <w:rsid w:val="00D44F90"/>
    <w:rsid w:val="00D4785F"/>
    <w:rsid w:val="00D5096D"/>
    <w:rsid w:val="00D50ABB"/>
    <w:rsid w:val="00D517C6"/>
    <w:rsid w:val="00D61FD1"/>
    <w:rsid w:val="00D71D84"/>
    <w:rsid w:val="00D72464"/>
    <w:rsid w:val="00D72A57"/>
    <w:rsid w:val="00D768EB"/>
    <w:rsid w:val="00D77D37"/>
    <w:rsid w:val="00D80CE4"/>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30E2"/>
    <w:rsid w:val="00DD4E59"/>
    <w:rsid w:val="00DE33B5"/>
    <w:rsid w:val="00DE5E18"/>
    <w:rsid w:val="00DE7CBF"/>
    <w:rsid w:val="00DE7F90"/>
    <w:rsid w:val="00DF0487"/>
    <w:rsid w:val="00DF4BD9"/>
    <w:rsid w:val="00DF5EA4"/>
    <w:rsid w:val="00E01492"/>
    <w:rsid w:val="00E02681"/>
    <w:rsid w:val="00E02792"/>
    <w:rsid w:val="00E034D8"/>
    <w:rsid w:val="00E045B3"/>
    <w:rsid w:val="00E04CC0"/>
    <w:rsid w:val="00E05AFE"/>
    <w:rsid w:val="00E152A3"/>
    <w:rsid w:val="00E15816"/>
    <w:rsid w:val="00E160D5"/>
    <w:rsid w:val="00E22F60"/>
    <w:rsid w:val="00E239FF"/>
    <w:rsid w:val="00E2499F"/>
    <w:rsid w:val="00E27D7B"/>
    <w:rsid w:val="00E30556"/>
    <w:rsid w:val="00E30981"/>
    <w:rsid w:val="00E33136"/>
    <w:rsid w:val="00E34D7C"/>
    <w:rsid w:val="00E36941"/>
    <w:rsid w:val="00E3723D"/>
    <w:rsid w:val="00E41FA9"/>
    <w:rsid w:val="00E44B8A"/>
    <w:rsid w:val="00E44C89"/>
    <w:rsid w:val="00E456FF"/>
    <w:rsid w:val="00E457A6"/>
    <w:rsid w:val="00E46557"/>
    <w:rsid w:val="00E52375"/>
    <w:rsid w:val="00E56722"/>
    <w:rsid w:val="00E61BA2"/>
    <w:rsid w:val="00E63864"/>
    <w:rsid w:val="00E6403F"/>
    <w:rsid w:val="00E75451"/>
    <w:rsid w:val="00E770C4"/>
    <w:rsid w:val="00E81AED"/>
    <w:rsid w:val="00E84C5A"/>
    <w:rsid w:val="00E861DB"/>
    <w:rsid w:val="00E908F1"/>
    <w:rsid w:val="00E93406"/>
    <w:rsid w:val="00E9402C"/>
    <w:rsid w:val="00E956C5"/>
    <w:rsid w:val="00E95C39"/>
    <w:rsid w:val="00EA2C39"/>
    <w:rsid w:val="00EA4EC9"/>
    <w:rsid w:val="00EB0A3C"/>
    <w:rsid w:val="00EB0A96"/>
    <w:rsid w:val="00EB164C"/>
    <w:rsid w:val="00EB1D82"/>
    <w:rsid w:val="00EB456F"/>
    <w:rsid w:val="00EB6AAA"/>
    <w:rsid w:val="00EB77F9"/>
    <w:rsid w:val="00EC46CB"/>
    <w:rsid w:val="00EC5769"/>
    <w:rsid w:val="00EC7D00"/>
    <w:rsid w:val="00ED0304"/>
    <w:rsid w:val="00ED4C85"/>
    <w:rsid w:val="00ED59F6"/>
    <w:rsid w:val="00ED5B7B"/>
    <w:rsid w:val="00EE38FA"/>
    <w:rsid w:val="00EE3E2C"/>
    <w:rsid w:val="00EE5D23"/>
    <w:rsid w:val="00EE750D"/>
    <w:rsid w:val="00EF3CA4"/>
    <w:rsid w:val="00EF7362"/>
    <w:rsid w:val="00EF7859"/>
    <w:rsid w:val="00F014DA"/>
    <w:rsid w:val="00F02591"/>
    <w:rsid w:val="00F16A8C"/>
    <w:rsid w:val="00F22316"/>
    <w:rsid w:val="00F53BEF"/>
    <w:rsid w:val="00F5696E"/>
    <w:rsid w:val="00F60EFF"/>
    <w:rsid w:val="00F6438E"/>
    <w:rsid w:val="00F67D2D"/>
    <w:rsid w:val="00F8539B"/>
    <w:rsid w:val="00F858F2"/>
    <w:rsid w:val="00F860CC"/>
    <w:rsid w:val="00F94398"/>
    <w:rsid w:val="00FA377D"/>
    <w:rsid w:val="00FB02CB"/>
    <w:rsid w:val="00FB2B56"/>
    <w:rsid w:val="00FB55D5"/>
    <w:rsid w:val="00FC12BF"/>
    <w:rsid w:val="00FC2C60"/>
    <w:rsid w:val="00FD3E6F"/>
    <w:rsid w:val="00FD51B9"/>
    <w:rsid w:val="00FD5849"/>
    <w:rsid w:val="00FE2A39"/>
    <w:rsid w:val="00FE2E8A"/>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42DAA"/>
  <w15:docId w15:val="{743C8DC3-609E-4AB8-AA11-73285840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9"/>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9"/>
    <w:qFormat/>
    <w:rsid w:val="00B570B3"/>
    <w:pPr>
      <w:keepNext/>
      <w:keepLines/>
      <w:spacing w:before="240"/>
      <w:outlineLvl w:val="1"/>
    </w:pPr>
    <w:rPr>
      <w:rFonts w:ascii="Lato Semibold" w:eastAsia="Times New Roman" w:hAnsi="Lato Semibold"/>
      <w:color w:val="454347"/>
      <w:sz w:val="28"/>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9"/>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9"/>
    <w:rsid w:val="00B570B3"/>
    <w:rPr>
      <w:rFonts w:ascii="Lato Semibold" w:eastAsia="Times New Roman" w:hAnsi="Lato Semibold"/>
      <w:color w:val="454347"/>
      <w:sz w:val="28"/>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99"/>
    <w:qFormat/>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qFormat/>
    <w:rsid w:val="003B67FD"/>
    <w:pPr>
      <w:spacing w:before="480" w:after="0"/>
      <w:outlineLvl w:val="9"/>
    </w:pPr>
    <w:rPr>
      <w:kern w:val="0"/>
      <w:szCs w:val="28"/>
    </w:rPr>
  </w:style>
  <w:style w:type="paragraph" w:styleId="TOC1">
    <w:name w:val="toc 1"/>
    <w:basedOn w:val="Normal"/>
    <w:next w:val="Normal"/>
    <w:autoRedefine/>
    <w:uiPriority w:val="39"/>
    <w:rsid w:val="007859CD"/>
    <w:pPr>
      <w:spacing w:after="100"/>
    </w:p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E152A3"/>
    <w:pPr>
      <w:spacing w:after="0"/>
    </w:pPr>
    <w:rPr>
      <w:sz w:val="20"/>
      <w:szCs w:val="20"/>
    </w:rPr>
  </w:style>
  <w:style w:type="character" w:customStyle="1" w:styleId="FootnoteTextChar">
    <w:name w:val="Footnote Text Char"/>
    <w:basedOn w:val="DefaultParagraphFont"/>
    <w:link w:val="FootnoteText"/>
    <w:uiPriority w:val="99"/>
    <w:semiHidden/>
    <w:rsid w:val="00E152A3"/>
    <w:rPr>
      <w:rFonts w:ascii="Lato" w:hAnsi="Lato"/>
      <w:sz w:val="20"/>
      <w:szCs w:val="20"/>
    </w:rPr>
  </w:style>
  <w:style w:type="character" w:styleId="FootnoteReference">
    <w:name w:val="footnote reference"/>
    <w:basedOn w:val="DefaultParagraphFont"/>
    <w:uiPriority w:val="99"/>
    <w:semiHidden/>
    <w:unhideWhenUsed/>
    <w:rsid w:val="00E152A3"/>
    <w:rPr>
      <w:vertAlign w:val="superscript"/>
    </w:rPr>
  </w:style>
  <w:style w:type="paragraph" w:customStyle="1" w:styleId="Default">
    <w:name w:val="Default"/>
    <w:basedOn w:val="Normal"/>
    <w:rsid w:val="00B74FEA"/>
    <w:pPr>
      <w:autoSpaceDE w:val="0"/>
      <w:autoSpaceDN w:val="0"/>
      <w:spacing w:after="0"/>
    </w:pPr>
    <w:rPr>
      <w:rFonts w:ascii="Arial" w:eastAsiaTheme="minorHAnsi" w:hAnsi="Arial" w:cs="Arial"/>
      <w:color w:val="000000"/>
      <w:sz w:val="24"/>
      <w:szCs w:val="24"/>
    </w:rPr>
  </w:style>
  <w:style w:type="character" w:styleId="FollowedHyperlink">
    <w:name w:val="FollowedHyperlink"/>
    <w:basedOn w:val="DefaultParagraphFont"/>
    <w:uiPriority w:val="99"/>
    <w:semiHidden/>
    <w:unhideWhenUsed/>
    <w:rsid w:val="009B01F6"/>
    <w:rPr>
      <w:color w:val="8C4799" w:themeColor="followedHyperlink"/>
      <w:u w:val="single"/>
    </w:rPr>
  </w:style>
  <w:style w:type="character" w:customStyle="1" w:styleId="highlight">
    <w:name w:val="highlight"/>
    <w:basedOn w:val="DefaultParagraphFont"/>
    <w:rsid w:val="008B015E"/>
  </w:style>
  <w:style w:type="paragraph" w:customStyle="1" w:styleId="NewPartHeading">
    <w:name w:val="New Part Heading"/>
    <w:basedOn w:val="Normal"/>
    <w:next w:val="Normal"/>
    <w:rsid w:val="00E2499F"/>
    <w:pPr>
      <w:keepNext/>
      <w:keepLines/>
      <w:widowControl w:val="0"/>
      <w:spacing w:before="240" w:after="240"/>
      <w:ind w:left="1985" w:hanging="1985"/>
      <w:outlineLvl w:val="6"/>
    </w:pPr>
    <w:rPr>
      <w:rFonts w:ascii="Helvetica" w:eastAsia="Times New Roman" w:hAnsi="Helvetica"/>
      <w:b/>
      <w:sz w:val="28"/>
      <w:szCs w:val="28"/>
      <w:lang w:eastAsia="en-AU"/>
    </w:rPr>
  </w:style>
  <w:style w:type="character" w:styleId="CommentReference">
    <w:name w:val="annotation reference"/>
    <w:uiPriority w:val="99"/>
    <w:rsid w:val="00215904"/>
    <w:rPr>
      <w:sz w:val="16"/>
      <w:szCs w:val="16"/>
    </w:rPr>
  </w:style>
  <w:style w:type="numbering" w:customStyle="1" w:styleId="OPCNumbering">
    <w:name w:val="OPC Numbering"/>
    <w:rsid w:val="00AF67FA"/>
    <w:pPr>
      <w:numPr>
        <w:numId w:val="34"/>
      </w:numPr>
    </w:pPr>
  </w:style>
  <w:style w:type="paragraph" w:customStyle="1" w:styleId="Paragraph">
    <w:name w:val="Paragraph"/>
    <w:basedOn w:val="Sectiontext"/>
    <w:link w:val="ParagraphChar"/>
    <w:rsid w:val="00AF67FA"/>
    <w:pPr>
      <w:ind w:left="1667" w:hanging="567"/>
    </w:pPr>
  </w:style>
  <w:style w:type="paragraph" w:customStyle="1" w:styleId="Sectiontext">
    <w:name w:val="Section text"/>
    <w:basedOn w:val="Normal"/>
    <w:link w:val="SectiontextChar"/>
    <w:rsid w:val="00AF67FA"/>
    <w:pPr>
      <w:widowControl w:val="0"/>
      <w:spacing w:after="240"/>
      <w:ind w:left="1100"/>
      <w:jc w:val="both"/>
    </w:pPr>
    <w:rPr>
      <w:rFonts w:ascii="Helvetica" w:eastAsia="Times New Roman" w:hAnsi="Helvetica"/>
      <w:sz w:val="24"/>
      <w:szCs w:val="24"/>
      <w:lang w:eastAsia="en-AU"/>
    </w:rPr>
  </w:style>
  <w:style w:type="paragraph" w:customStyle="1" w:styleId="Subsection">
    <w:name w:val="Subsection"/>
    <w:basedOn w:val="Sectiontext"/>
    <w:link w:val="SubsectionChar"/>
    <w:rsid w:val="00AF67FA"/>
    <w:pPr>
      <w:tabs>
        <w:tab w:val="right" w:pos="902"/>
      </w:tabs>
      <w:ind w:hanging="1100"/>
    </w:pPr>
  </w:style>
  <w:style w:type="character" w:customStyle="1" w:styleId="SectiontextChar">
    <w:name w:val="Section text Char"/>
    <w:link w:val="Sectiontext"/>
    <w:rsid w:val="00AF67FA"/>
    <w:rPr>
      <w:rFonts w:ascii="Helvetica" w:eastAsia="Times New Roman" w:hAnsi="Helvetica"/>
      <w:sz w:val="24"/>
      <w:szCs w:val="24"/>
      <w:lang w:eastAsia="en-AU"/>
    </w:rPr>
  </w:style>
  <w:style w:type="paragraph" w:customStyle="1" w:styleId="SectionHeading">
    <w:name w:val="Section Heading"/>
    <w:basedOn w:val="Normal"/>
    <w:next w:val="Sectiontext"/>
    <w:rsid w:val="00AF67FA"/>
    <w:pPr>
      <w:keepNext/>
      <w:keepLines/>
      <w:widowControl w:val="0"/>
      <w:numPr>
        <w:numId w:val="34"/>
      </w:numPr>
      <w:tabs>
        <w:tab w:val="left" w:pos="1100"/>
      </w:tabs>
      <w:spacing w:after="240"/>
      <w:outlineLvl w:val="4"/>
    </w:pPr>
    <w:rPr>
      <w:rFonts w:ascii="Helvetica" w:eastAsia="Times New Roman" w:hAnsi="Helvetica"/>
      <w:b/>
      <w:sz w:val="24"/>
      <w:szCs w:val="24"/>
      <w:lang w:eastAsia="en-AU"/>
    </w:rPr>
  </w:style>
  <w:style w:type="paragraph" w:customStyle="1" w:styleId="Definition">
    <w:name w:val="Definition"/>
    <w:aliases w:val="dd"/>
    <w:basedOn w:val="Normal"/>
    <w:link w:val="DefinitionChar"/>
    <w:rsid w:val="00AF67FA"/>
    <w:pPr>
      <w:widowControl w:val="0"/>
      <w:spacing w:after="240"/>
      <w:ind w:left="1100"/>
      <w:jc w:val="both"/>
    </w:pPr>
    <w:rPr>
      <w:rFonts w:ascii="Helvetica" w:eastAsia="Times New Roman" w:hAnsi="Helvetica"/>
      <w:sz w:val="24"/>
      <w:szCs w:val="20"/>
      <w:lang w:eastAsia="en-AU"/>
    </w:rPr>
  </w:style>
  <w:style w:type="character" w:customStyle="1" w:styleId="SubsectionChar">
    <w:name w:val="Subsection Char"/>
    <w:link w:val="Subsection"/>
    <w:rsid w:val="00AF67FA"/>
    <w:rPr>
      <w:rFonts w:ascii="Helvetica" w:eastAsia="Times New Roman" w:hAnsi="Helvetica"/>
      <w:sz w:val="24"/>
      <w:szCs w:val="24"/>
      <w:lang w:eastAsia="en-AU"/>
    </w:rPr>
  </w:style>
  <w:style w:type="character" w:customStyle="1" w:styleId="DefinitionChar">
    <w:name w:val="Definition Char"/>
    <w:link w:val="Definition"/>
    <w:rsid w:val="00AF67FA"/>
    <w:rPr>
      <w:rFonts w:ascii="Helvetica" w:eastAsia="Times New Roman" w:hAnsi="Helvetica"/>
      <w:sz w:val="24"/>
      <w:szCs w:val="20"/>
      <w:lang w:eastAsia="en-AU"/>
    </w:rPr>
  </w:style>
  <w:style w:type="character" w:customStyle="1" w:styleId="ParagraphChar">
    <w:name w:val="Paragraph Char"/>
    <w:link w:val="Paragraph"/>
    <w:locked/>
    <w:rsid w:val="00AF67FA"/>
    <w:rPr>
      <w:rFonts w:ascii="Helvetica" w:eastAsia="Times New Roman" w:hAnsi="Helvetica"/>
      <w:sz w:val="24"/>
      <w:szCs w:val="24"/>
      <w:lang w:eastAsia="en-AU"/>
    </w:rPr>
  </w:style>
  <w:style w:type="paragraph" w:customStyle="1" w:styleId="AmendingSection">
    <w:name w:val="Amending Section"/>
    <w:basedOn w:val="Sectiontext"/>
    <w:rsid w:val="00423A29"/>
    <w:pPr>
      <w:ind w:hanging="1100"/>
    </w:pPr>
  </w:style>
  <w:style w:type="paragraph" w:customStyle="1" w:styleId="Example">
    <w:name w:val="Example"/>
    <w:basedOn w:val="Sectiontext"/>
    <w:rsid w:val="00B6755E"/>
    <w:pPr>
      <w:spacing w:after="120"/>
    </w:pPr>
    <w:rPr>
      <w:i/>
      <w:sz w:val="20"/>
    </w:rPr>
  </w:style>
  <w:style w:type="paragraph" w:styleId="CommentText">
    <w:name w:val="annotation text"/>
    <w:basedOn w:val="Normal"/>
    <w:link w:val="CommentTextChar"/>
    <w:uiPriority w:val="99"/>
    <w:semiHidden/>
    <w:unhideWhenUsed/>
    <w:rsid w:val="003D33A3"/>
    <w:rPr>
      <w:sz w:val="20"/>
      <w:szCs w:val="20"/>
    </w:rPr>
  </w:style>
  <w:style w:type="character" w:customStyle="1" w:styleId="CommentTextChar">
    <w:name w:val="Comment Text Char"/>
    <w:basedOn w:val="DefaultParagraphFont"/>
    <w:link w:val="CommentText"/>
    <w:uiPriority w:val="99"/>
    <w:semiHidden/>
    <w:rsid w:val="003D33A3"/>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3D33A3"/>
    <w:rPr>
      <w:b/>
      <w:bCs/>
    </w:rPr>
  </w:style>
  <w:style w:type="character" w:customStyle="1" w:styleId="CommentSubjectChar">
    <w:name w:val="Comment Subject Char"/>
    <w:basedOn w:val="CommentTextChar"/>
    <w:link w:val="CommentSubject"/>
    <w:uiPriority w:val="99"/>
    <w:semiHidden/>
    <w:rsid w:val="003D33A3"/>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4343">
      <w:bodyDiv w:val="1"/>
      <w:marLeft w:val="0"/>
      <w:marRight w:val="0"/>
      <w:marTop w:val="0"/>
      <w:marBottom w:val="0"/>
      <w:divBdr>
        <w:top w:val="none" w:sz="0" w:space="0" w:color="auto"/>
        <w:left w:val="none" w:sz="0" w:space="0" w:color="auto"/>
        <w:bottom w:val="none" w:sz="0" w:space="0" w:color="auto"/>
        <w:right w:val="none" w:sz="0" w:space="0" w:color="auto"/>
      </w:divBdr>
    </w:div>
    <w:div w:id="96559441">
      <w:bodyDiv w:val="1"/>
      <w:marLeft w:val="0"/>
      <w:marRight w:val="0"/>
      <w:marTop w:val="0"/>
      <w:marBottom w:val="0"/>
      <w:divBdr>
        <w:top w:val="none" w:sz="0" w:space="0" w:color="auto"/>
        <w:left w:val="none" w:sz="0" w:space="0" w:color="auto"/>
        <w:bottom w:val="none" w:sz="0" w:space="0" w:color="auto"/>
        <w:right w:val="none" w:sz="0" w:space="0" w:color="auto"/>
      </w:divBdr>
      <w:divsChild>
        <w:div w:id="260652076">
          <w:marLeft w:val="547"/>
          <w:marRight w:val="0"/>
          <w:marTop w:val="100"/>
          <w:marBottom w:val="100"/>
          <w:divBdr>
            <w:top w:val="none" w:sz="0" w:space="0" w:color="auto"/>
            <w:left w:val="none" w:sz="0" w:space="0" w:color="auto"/>
            <w:bottom w:val="none" w:sz="0" w:space="0" w:color="auto"/>
            <w:right w:val="none" w:sz="0" w:space="0" w:color="auto"/>
          </w:divBdr>
        </w:div>
      </w:divsChild>
    </w:div>
    <w:div w:id="136069480">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66408377">
      <w:bodyDiv w:val="1"/>
      <w:marLeft w:val="0"/>
      <w:marRight w:val="0"/>
      <w:marTop w:val="0"/>
      <w:marBottom w:val="0"/>
      <w:divBdr>
        <w:top w:val="none" w:sz="0" w:space="0" w:color="auto"/>
        <w:left w:val="none" w:sz="0" w:space="0" w:color="auto"/>
        <w:bottom w:val="none" w:sz="0" w:space="0" w:color="auto"/>
        <w:right w:val="none" w:sz="0" w:space="0" w:color="auto"/>
      </w:divBdr>
    </w:div>
    <w:div w:id="208231701">
      <w:bodyDiv w:val="1"/>
      <w:marLeft w:val="0"/>
      <w:marRight w:val="0"/>
      <w:marTop w:val="0"/>
      <w:marBottom w:val="0"/>
      <w:divBdr>
        <w:top w:val="none" w:sz="0" w:space="0" w:color="auto"/>
        <w:left w:val="none" w:sz="0" w:space="0" w:color="auto"/>
        <w:bottom w:val="none" w:sz="0" w:space="0" w:color="auto"/>
        <w:right w:val="none" w:sz="0" w:space="0" w:color="auto"/>
      </w:divBdr>
      <w:divsChild>
        <w:div w:id="613026791">
          <w:marLeft w:val="0"/>
          <w:marRight w:val="0"/>
          <w:marTop w:val="0"/>
          <w:marBottom w:val="0"/>
          <w:divBdr>
            <w:top w:val="none" w:sz="0" w:space="0" w:color="auto"/>
            <w:left w:val="none" w:sz="0" w:space="0" w:color="auto"/>
            <w:bottom w:val="none" w:sz="0" w:space="0" w:color="auto"/>
            <w:right w:val="none" w:sz="0" w:space="0" w:color="auto"/>
          </w:divBdr>
        </w:div>
        <w:div w:id="872381116">
          <w:marLeft w:val="0"/>
          <w:marRight w:val="0"/>
          <w:marTop w:val="0"/>
          <w:marBottom w:val="0"/>
          <w:divBdr>
            <w:top w:val="none" w:sz="0" w:space="0" w:color="auto"/>
            <w:left w:val="none" w:sz="0" w:space="0" w:color="auto"/>
            <w:bottom w:val="none" w:sz="0" w:space="0" w:color="auto"/>
            <w:right w:val="none" w:sz="0" w:space="0" w:color="auto"/>
          </w:divBdr>
        </w:div>
        <w:div w:id="453134964">
          <w:marLeft w:val="0"/>
          <w:marRight w:val="0"/>
          <w:marTop w:val="0"/>
          <w:marBottom w:val="0"/>
          <w:divBdr>
            <w:top w:val="none" w:sz="0" w:space="0" w:color="auto"/>
            <w:left w:val="none" w:sz="0" w:space="0" w:color="auto"/>
            <w:bottom w:val="none" w:sz="0" w:space="0" w:color="auto"/>
            <w:right w:val="none" w:sz="0" w:space="0" w:color="auto"/>
          </w:divBdr>
        </w:div>
        <w:div w:id="1953898613">
          <w:marLeft w:val="0"/>
          <w:marRight w:val="0"/>
          <w:marTop w:val="0"/>
          <w:marBottom w:val="0"/>
          <w:divBdr>
            <w:top w:val="none" w:sz="0" w:space="0" w:color="auto"/>
            <w:left w:val="none" w:sz="0" w:space="0" w:color="auto"/>
            <w:bottom w:val="none" w:sz="0" w:space="0" w:color="auto"/>
            <w:right w:val="none" w:sz="0" w:space="0" w:color="auto"/>
          </w:divBdr>
        </w:div>
        <w:div w:id="759836389">
          <w:marLeft w:val="0"/>
          <w:marRight w:val="0"/>
          <w:marTop w:val="0"/>
          <w:marBottom w:val="0"/>
          <w:divBdr>
            <w:top w:val="none" w:sz="0" w:space="0" w:color="auto"/>
            <w:left w:val="none" w:sz="0" w:space="0" w:color="auto"/>
            <w:bottom w:val="none" w:sz="0" w:space="0" w:color="auto"/>
            <w:right w:val="none" w:sz="0" w:space="0" w:color="auto"/>
          </w:divBdr>
        </w:div>
        <w:div w:id="521863551">
          <w:marLeft w:val="0"/>
          <w:marRight w:val="0"/>
          <w:marTop w:val="0"/>
          <w:marBottom w:val="0"/>
          <w:divBdr>
            <w:top w:val="none" w:sz="0" w:space="0" w:color="auto"/>
            <w:left w:val="none" w:sz="0" w:space="0" w:color="auto"/>
            <w:bottom w:val="none" w:sz="0" w:space="0" w:color="auto"/>
            <w:right w:val="none" w:sz="0" w:space="0" w:color="auto"/>
          </w:divBdr>
        </w:div>
        <w:div w:id="1522282500">
          <w:marLeft w:val="0"/>
          <w:marRight w:val="0"/>
          <w:marTop w:val="0"/>
          <w:marBottom w:val="0"/>
          <w:divBdr>
            <w:top w:val="none" w:sz="0" w:space="0" w:color="auto"/>
            <w:left w:val="none" w:sz="0" w:space="0" w:color="auto"/>
            <w:bottom w:val="none" w:sz="0" w:space="0" w:color="auto"/>
            <w:right w:val="none" w:sz="0" w:space="0" w:color="auto"/>
          </w:divBdr>
        </w:div>
        <w:div w:id="770974591">
          <w:marLeft w:val="0"/>
          <w:marRight w:val="0"/>
          <w:marTop w:val="0"/>
          <w:marBottom w:val="0"/>
          <w:divBdr>
            <w:top w:val="none" w:sz="0" w:space="0" w:color="auto"/>
            <w:left w:val="none" w:sz="0" w:space="0" w:color="auto"/>
            <w:bottom w:val="none" w:sz="0" w:space="0" w:color="auto"/>
            <w:right w:val="none" w:sz="0" w:space="0" w:color="auto"/>
          </w:divBdr>
        </w:div>
        <w:div w:id="1461075360">
          <w:marLeft w:val="0"/>
          <w:marRight w:val="0"/>
          <w:marTop w:val="0"/>
          <w:marBottom w:val="0"/>
          <w:divBdr>
            <w:top w:val="none" w:sz="0" w:space="0" w:color="auto"/>
            <w:left w:val="none" w:sz="0" w:space="0" w:color="auto"/>
            <w:bottom w:val="none" w:sz="0" w:space="0" w:color="auto"/>
            <w:right w:val="none" w:sz="0" w:space="0" w:color="auto"/>
          </w:divBdr>
        </w:div>
        <w:div w:id="1041513855">
          <w:marLeft w:val="0"/>
          <w:marRight w:val="0"/>
          <w:marTop w:val="0"/>
          <w:marBottom w:val="0"/>
          <w:divBdr>
            <w:top w:val="none" w:sz="0" w:space="0" w:color="auto"/>
            <w:left w:val="none" w:sz="0" w:space="0" w:color="auto"/>
            <w:bottom w:val="none" w:sz="0" w:space="0" w:color="auto"/>
            <w:right w:val="none" w:sz="0" w:space="0" w:color="auto"/>
          </w:divBdr>
        </w:div>
        <w:div w:id="1165514452">
          <w:marLeft w:val="0"/>
          <w:marRight w:val="0"/>
          <w:marTop w:val="0"/>
          <w:marBottom w:val="0"/>
          <w:divBdr>
            <w:top w:val="none" w:sz="0" w:space="0" w:color="auto"/>
            <w:left w:val="none" w:sz="0" w:space="0" w:color="auto"/>
            <w:bottom w:val="none" w:sz="0" w:space="0" w:color="auto"/>
            <w:right w:val="none" w:sz="0" w:space="0" w:color="auto"/>
          </w:divBdr>
        </w:div>
        <w:div w:id="714816964">
          <w:marLeft w:val="0"/>
          <w:marRight w:val="0"/>
          <w:marTop w:val="0"/>
          <w:marBottom w:val="0"/>
          <w:divBdr>
            <w:top w:val="none" w:sz="0" w:space="0" w:color="auto"/>
            <w:left w:val="none" w:sz="0" w:space="0" w:color="auto"/>
            <w:bottom w:val="none" w:sz="0" w:space="0" w:color="auto"/>
            <w:right w:val="none" w:sz="0" w:space="0" w:color="auto"/>
          </w:divBdr>
        </w:div>
        <w:div w:id="794104958">
          <w:marLeft w:val="0"/>
          <w:marRight w:val="0"/>
          <w:marTop w:val="0"/>
          <w:marBottom w:val="0"/>
          <w:divBdr>
            <w:top w:val="none" w:sz="0" w:space="0" w:color="auto"/>
            <w:left w:val="none" w:sz="0" w:space="0" w:color="auto"/>
            <w:bottom w:val="none" w:sz="0" w:space="0" w:color="auto"/>
            <w:right w:val="none" w:sz="0" w:space="0" w:color="auto"/>
          </w:divBdr>
        </w:div>
        <w:div w:id="824005371">
          <w:marLeft w:val="0"/>
          <w:marRight w:val="0"/>
          <w:marTop w:val="0"/>
          <w:marBottom w:val="0"/>
          <w:divBdr>
            <w:top w:val="none" w:sz="0" w:space="0" w:color="auto"/>
            <w:left w:val="none" w:sz="0" w:space="0" w:color="auto"/>
            <w:bottom w:val="none" w:sz="0" w:space="0" w:color="auto"/>
            <w:right w:val="none" w:sz="0" w:space="0" w:color="auto"/>
          </w:divBdr>
        </w:div>
        <w:div w:id="110513002">
          <w:marLeft w:val="0"/>
          <w:marRight w:val="0"/>
          <w:marTop w:val="0"/>
          <w:marBottom w:val="0"/>
          <w:divBdr>
            <w:top w:val="none" w:sz="0" w:space="0" w:color="auto"/>
            <w:left w:val="none" w:sz="0" w:space="0" w:color="auto"/>
            <w:bottom w:val="none" w:sz="0" w:space="0" w:color="auto"/>
            <w:right w:val="none" w:sz="0" w:space="0" w:color="auto"/>
          </w:divBdr>
        </w:div>
        <w:div w:id="774635824">
          <w:marLeft w:val="0"/>
          <w:marRight w:val="0"/>
          <w:marTop w:val="0"/>
          <w:marBottom w:val="0"/>
          <w:divBdr>
            <w:top w:val="none" w:sz="0" w:space="0" w:color="auto"/>
            <w:left w:val="none" w:sz="0" w:space="0" w:color="auto"/>
            <w:bottom w:val="none" w:sz="0" w:space="0" w:color="auto"/>
            <w:right w:val="none" w:sz="0" w:space="0" w:color="auto"/>
          </w:divBdr>
        </w:div>
      </w:divsChild>
    </w:div>
    <w:div w:id="210462790">
      <w:bodyDiv w:val="1"/>
      <w:marLeft w:val="0"/>
      <w:marRight w:val="0"/>
      <w:marTop w:val="0"/>
      <w:marBottom w:val="0"/>
      <w:divBdr>
        <w:top w:val="none" w:sz="0" w:space="0" w:color="auto"/>
        <w:left w:val="none" w:sz="0" w:space="0" w:color="auto"/>
        <w:bottom w:val="none" w:sz="0" w:space="0" w:color="auto"/>
        <w:right w:val="none" w:sz="0" w:space="0" w:color="auto"/>
      </w:divBdr>
    </w:div>
    <w:div w:id="479270072">
      <w:bodyDiv w:val="1"/>
      <w:marLeft w:val="0"/>
      <w:marRight w:val="0"/>
      <w:marTop w:val="0"/>
      <w:marBottom w:val="0"/>
      <w:divBdr>
        <w:top w:val="none" w:sz="0" w:space="0" w:color="auto"/>
        <w:left w:val="none" w:sz="0" w:space="0" w:color="auto"/>
        <w:bottom w:val="none" w:sz="0" w:space="0" w:color="auto"/>
        <w:right w:val="none" w:sz="0" w:space="0" w:color="auto"/>
      </w:divBdr>
      <w:divsChild>
        <w:div w:id="1935743284">
          <w:marLeft w:val="0"/>
          <w:marRight w:val="0"/>
          <w:marTop w:val="0"/>
          <w:marBottom w:val="0"/>
          <w:divBdr>
            <w:top w:val="none" w:sz="0" w:space="0" w:color="auto"/>
            <w:left w:val="none" w:sz="0" w:space="0" w:color="auto"/>
            <w:bottom w:val="none" w:sz="0" w:space="0" w:color="auto"/>
            <w:right w:val="none" w:sz="0" w:space="0" w:color="auto"/>
          </w:divBdr>
        </w:div>
        <w:div w:id="39864425">
          <w:marLeft w:val="0"/>
          <w:marRight w:val="0"/>
          <w:marTop w:val="0"/>
          <w:marBottom w:val="0"/>
          <w:divBdr>
            <w:top w:val="none" w:sz="0" w:space="0" w:color="auto"/>
            <w:left w:val="none" w:sz="0" w:space="0" w:color="auto"/>
            <w:bottom w:val="none" w:sz="0" w:space="0" w:color="auto"/>
            <w:right w:val="none" w:sz="0" w:space="0" w:color="auto"/>
          </w:divBdr>
        </w:div>
        <w:div w:id="180903089">
          <w:marLeft w:val="0"/>
          <w:marRight w:val="0"/>
          <w:marTop w:val="0"/>
          <w:marBottom w:val="0"/>
          <w:divBdr>
            <w:top w:val="none" w:sz="0" w:space="0" w:color="auto"/>
            <w:left w:val="none" w:sz="0" w:space="0" w:color="auto"/>
            <w:bottom w:val="none" w:sz="0" w:space="0" w:color="auto"/>
            <w:right w:val="none" w:sz="0" w:space="0" w:color="auto"/>
          </w:divBdr>
        </w:div>
      </w:divsChild>
    </w:div>
    <w:div w:id="771709966">
      <w:bodyDiv w:val="1"/>
      <w:marLeft w:val="0"/>
      <w:marRight w:val="0"/>
      <w:marTop w:val="0"/>
      <w:marBottom w:val="0"/>
      <w:divBdr>
        <w:top w:val="none" w:sz="0" w:space="0" w:color="auto"/>
        <w:left w:val="none" w:sz="0" w:space="0" w:color="auto"/>
        <w:bottom w:val="none" w:sz="0" w:space="0" w:color="auto"/>
        <w:right w:val="none" w:sz="0" w:space="0" w:color="auto"/>
      </w:divBdr>
    </w:div>
    <w:div w:id="922495861">
      <w:bodyDiv w:val="1"/>
      <w:marLeft w:val="0"/>
      <w:marRight w:val="0"/>
      <w:marTop w:val="0"/>
      <w:marBottom w:val="0"/>
      <w:divBdr>
        <w:top w:val="none" w:sz="0" w:space="0" w:color="auto"/>
        <w:left w:val="none" w:sz="0" w:space="0" w:color="auto"/>
        <w:bottom w:val="none" w:sz="0" w:space="0" w:color="auto"/>
        <w:right w:val="none" w:sz="0" w:space="0" w:color="auto"/>
      </w:divBdr>
    </w:div>
    <w:div w:id="1145196948">
      <w:bodyDiv w:val="1"/>
      <w:marLeft w:val="0"/>
      <w:marRight w:val="0"/>
      <w:marTop w:val="0"/>
      <w:marBottom w:val="0"/>
      <w:divBdr>
        <w:top w:val="none" w:sz="0" w:space="0" w:color="auto"/>
        <w:left w:val="none" w:sz="0" w:space="0" w:color="auto"/>
        <w:bottom w:val="none" w:sz="0" w:space="0" w:color="auto"/>
        <w:right w:val="none" w:sz="0" w:space="0" w:color="auto"/>
      </w:divBdr>
      <w:divsChild>
        <w:div w:id="76827667">
          <w:marLeft w:val="0"/>
          <w:marRight w:val="0"/>
          <w:marTop w:val="0"/>
          <w:marBottom w:val="0"/>
          <w:divBdr>
            <w:top w:val="none" w:sz="0" w:space="0" w:color="auto"/>
            <w:left w:val="none" w:sz="0" w:space="0" w:color="auto"/>
            <w:bottom w:val="none" w:sz="0" w:space="0" w:color="auto"/>
            <w:right w:val="none" w:sz="0" w:space="0" w:color="auto"/>
          </w:divBdr>
        </w:div>
        <w:div w:id="209155038">
          <w:marLeft w:val="0"/>
          <w:marRight w:val="0"/>
          <w:marTop w:val="0"/>
          <w:marBottom w:val="0"/>
          <w:divBdr>
            <w:top w:val="none" w:sz="0" w:space="0" w:color="auto"/>
            <w:left w:val="none" w:sz="0" w:space="0" w:color="auto"/>
            <w:bottom w:val="none" w:sz="0" w:space="0" w:color="auto"/>
            <w:right w:val="none" w:sz="0" w:space="0" w:color="auto"/>
          </w:divBdr>
        </w:div>
      </w:divsChild>
    </w:div>
    <w:div w:id="1238662927">
      <w:bodyDiv w:val="1"/>
      <w:marLeft w:val="0"/>
      <w:marRight w:val="0"/>
      <w:marTop w:val="0"/>
      <w:marBottom w:val="0"/>
      <w:divBdr>
        <w:top w:val="none" w:sz="0" w:space="0" w:color="auto"/>
        <w:left w:val="none" w:sz="0" w:space="0" w:color="auto"/>
        <w:bottom w:val="none" w:sz="0" w:space="0" w:color="auto"/>
        <w:right w:val="none" w:sz="0" w:space="0" w:color="auto"/>
      </w:divBdr>
    </w:div>
    <w:div w:id="1241014554">
      <w:bodyDiv w:val="1"/>
      <w:marLeft w:val="0"/>
      <w:marRight w:val="0"/>
      <w:marTop w:val="0"/>
      <w:marBottom w:val="0"/>
      <w:divBdr>
        <w:top w:val="none" w:sz="0" w:space="0" w:color="auto"/>
        <w:left w:val="none" w:sz="0" w:space="0" w:color="auto"/>
        <w:bottom w:val="none" w:sz="0" w:space="0" w:color="auto"/>
        <w:right w:val="none" w:sz="0" w:space="0" w:color="auto"/>
      </w:divBdr>
    </w:div>
    <w:div w:id="1298953230">
      <w:bodyDiv w:val="1"/>
      <w:marLeft w:val="0"/>
      <w:marRight w:val="0"/>
      <w:marTop w:val="0"/>
      <w:marBottom w:val="0"/>
      <w:divBdr>
        <w:top w:val="none" w:sz="0" w:space="0" w:color="auto"/>
        <w:left w:val="none" w:sz="0" w:space="0" w:color="auto"/>
        <w:bottom w:val="none" w:sz="0" w:space="0" w:color="auto"/>
        <w:right w:val="none" w:sz="0" w:space="0" w:color="auto"/>
      </w:divBdr>
      <w:divsChild>
        <w:div w:id="1999962201">
          <w:marLeft w:val="274"/>
          <w:marRight w:val="0"/>
          <w:marTop w:val="0"/>
          <w:marBottom w:val="120"/>
          <w:divBdr>
            <w:top w:val="none" w:sz="0" w:space="0" w:color="auto"/>
            <w:left w:val="none" w:sz="0" w:space="0" w:color="auto"/>
            <w:bottom w:val="none" w:sz="0" w:space="0" w:color="auto"/>
            <w:right w:val="none" w:sz="0" w:space="0" w:color="auto"/>
          </w:divBdr>
        </w:div>
      </w:divsChild>
    </w:div>
    <w:div w:id="1324967165">
      <w:bodyDiv w:val="1"/>
      <w:marLeft w:val="0"/>
      <w:marRight w:val="0"/>
      <w:marTop w:val="0"/>
      <w:marBottom w:val="0"/>
      <w:divBdr>
        <w:top w:val="none" w:sz="0" w:space="0" w:color="auto"/>
        <w:left w:val="none" w:sz="0" w:space="0" w:color="auto"/>
        <w:bottom w:val="none" w:sz="0" w:space="0" w:color="auto"/>
        <w:right w:val="none" w:sz="0" w:space="0" w:color="auto"/>
      </w:divBdr>
    </w:div>
    <w:div w:id="1407264845">
      <w:bodyDiv w:val="1"/>
      <w:marLeft w:val="0"/>
      <w:marRight w:val="0"/>
      <w:marTop w:val="0"/>
      <w:marBottom w:val="0"/>
      <w:divBdr>
        <w:top w:val="none" w:sz="0" w:space="0" w:color="auto"/>
        <w:left w:val="none" w:sz="0" w:space="0" w:color="auto"/>
        <w:bottom w:val="none" w:sz="0" w:space="0" w:color="auto"/>
        <w:right w:val="none" w:sz="0" w:space="0" w:color="auto"/>
      </w:divBdr>
      <w:divsChild>
        <w:div w:id="1996645065">
          <w:marLeft w:val="274"/>
          <w:marRight w:val="0"/>
          <w:marTop w:val="0"/>
          <w:marBottom w:val="120"/>
          <w:divBdr>
            <w:top w:val="none" w:sz="0" w:space="0" w:color="auto"/>
            <w:left w:val="none" w:sz="0" w:space="0" w:color="auto"/>
            <w:bottom w:val="none" w:sz="0" w:space="0" w:color="auto"/>
            <w:right w:val="none" w:sz="0" w:space="0" w:color="auto"/>
          </w:divBdr>
        </w:div>
      </w:divsChild>
    </w:div>
    <w:div w:id="1407342864">
      <w:bodyDiv w:val="1"/>
      <w:marLeft w:val="0"/>
      <w:marRight w:val="0"/>
      <w:marTop w:val="0"/>
      <w:marBottom w:val="0"/>
      <w:divBdr>
        <w:top w:val="none" w:sz="0" w:space="0" w:color="auto"/>
        <w:left w:val="none" w:sz="0" w:space="0" w:color="auto"/>
        <w:bottom w:val="none" w:sz="0" w:space="0" w:color="auto"/>
        <w:right w:val="none" w:sz="0" w:space="0" w:color="auto"/>
      </w:divBdr>
    </w:div>
    <w:div w:id="1623339481">
      <w:bodyDiv w:val="1"/>
      <w:marLeft w:val="0"/>
      <w:marRight w:val="0"/>
      <w:marTop w:val="0"/>
      <w:marBottom w:val="0"/>
      <w:divBdr>
        <w:top w:val="none" w:sz="0" w:space="0" w:color="auto"/>
        <w:left w:val="none" w:sz="0" w:space="0" w:color="auto"/>
        <w:bottom w:val="none" w:sz="0" w:space="0" w:color="auto"/>
        <w:right w:val="none" w:sz="0" w:space="0" w:color="auto"/>
      </w:divBdr>
      <w:divsChild>
        <w:div w:id="1405685366">
          <w:marLeft w:val="547"/>
          <w:marRight w:val="0"/>
          <w:marTop w:val="60"/>
          <w:marBottom w:val="0"/>
          <w:divBdr>
            <w:top w:val="none" w:sz="0" w:space="0" w:color="auto"/>
            <w:left w:val="none" w:sz="0" w:space="0" w:color="auto"/>
            <w:bottom w:val="none" w:sz="0" w:space="0" w:color="auto"/>
            <w:right w:val="none" w:sz="0" w:space="0" w:color="auto"/>
          </w:divBdr>
        </w:div>
      </w:divsChild>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60310015">
      <w:bodyDiv w:val="1"/>
      <w:marLeft w:val="0"/>
      <w:marRight w:val="0"/>
      <w:marTop w:val="0"/>
      <w:marBottom w:val="0"/>
      <w:divBdr>
        <w:top w:val="none" w:sz="0" w:space="0" w:color="auto"/>
        <w:left w:val="none" w:sz="0" w:space="0" w:color="auto"/>
        <w:bottom w:val="none" w:sz="0" w:space="0" w:color="auto"/>
        <w:right w:val="none" w:sz="0" w:space="0" w:color="auto"/>
      </w:divBdr>
      <w:divsChild>
        <w:div w:id="1352609248">
          <w:marLeft w:val="274"/>
          <w:marRight w:val="0"/>
          <w:marTop w:val="0"/>
          <w:marBottom w:val="120"/>
          <w:divBdr>
            <w:top w:val="none" w:sz="0" w:space="0" w:color="auto"/>
            <w:left w:val="none" w:sz="0" w:space="0" w:color="auto"/>
            <w:bottom w:val="none" w:sz="0" w:space="0" w:color="auto"/>
            <w:right w:val="none" w:sz="0" w:space="0" w:color="auto"/>
          </w:divBdr>
        </w:div>
      </w:divsChild>
    </w:div>
    <w:div w:id="2018532093">
      <w:bodyDiv w:val="1"/>
      <w:marLeft w:val="0"/>
      <w:marRight w:val="0"/>
      <w:marTop w:val="0"/>
      <w:marBottom w:val="0"/>
      <w:divBdr>
        <w:top w:val="none" w:sz="0" w:space="0" w:color="auto"/>
        <w:left w:val="none" w:sz="0" w:space="0" w:color="auto"/>
        <w:bottom w:val="none" w:sz="0" w:space="0" w:color="auto"/>
        <w:right w:val="none" w:sz="0" w:space="0" w:color="auto"/>
      </w:divBdr>
      <w:divsChild>
        <w:div w:id="970747224">
          <w:marLeft w:val="0"/>
          <w:marRight w:val="0"/>
          <w:marTop w:val="0"/>
          <w:marBottom w:val="0"/>
          <w:divBdr>
            <w:top w:val="none" w:sz="0" w:space="0" w:color="auto"/>
            <w:left w:val="none" w:sz="0" w:space="0" w:color="auto"/>
            <w:bottom w:val="none" w:sz="0" w:space="0" w:color="auto"/>
            <w:right w:val="none" w:sz="0" w:space="0" w:color="auto"/>
          </w:divBdr>
        </w:div>
        <w:div w:id="1721661061">
          <w:marLeft w:val="0"/>
          <w:marRight w:val="0"/>
          <w:marTop w:val="0"/>
          <w:marBottom w:val="0"/>
          <w:divBdr>
            <w:top w:val="none" w:sz="0" w:space="0" w:color="auto"/>
            <w:left w:val="none" w:sz="0" w:space="0" w:color="auto"/>
            <w:bottom w:val="none" w:sz="0" w:space="0" w:color="auto"/>
            <w:right w:val="none" w:sz="0" w:space="0" w:color="auto"/>
          </w:divBdr>
        </w:div>
        <w:div w:id="74593065">
          <w:marLeft w:val="0"/>
          <w:marRight w:val="0"/>
          <w:marTop w:val="0"/>
          <w:marBottom w:val="0"/>
          <w:divBdr>
            <w:top w:val="none" w:sz="0" w:space="0" w:color="auto"/>
            <w:left w:val="none" w:sz="0" w:space="0" w:color="auto"/>
            <w:bottom w:val="none" w:sz="0" w:space="0" w:color="auto"/>
            <w:right w:val="none" w:sz="0" w:space="0" w:color="auto"/>
          </w:divBdr>
        </w:div>
        <w:div w:id="1041052461">
          <w:marLeft w:val="0"/>
          <w:marRight w:val="0"/>
          <w:marTop w:val="0"/>
          <w:marBottom w:val="0"/>
          <w:divBdr>
            <w:top w:val="none" w:sz="0" w:space="0" w:color="auto"/>
            <w:left w:val="none" w:sz="0" w:space="0" w:color="auto"/>
            <w:bottom w:val="none" w:sz="0" w:space="0" w:color="auto"/>
            <w:right w:val="none" w:sz="0" w:space="0" w:color="auto"/>
          </w:divBdr>
        </w:div>
        <w:div w:id="1563444405">
          <w:marLeft w:val="0"/>
          <w:marRight w:val="0"/>
          <w:marTop w:val="0"/>
          <w:marBottom w:val="0"/>
          <w:divBdr>
            <w:top w:val="none" w:sz="0" w:space="0" w:color="auto"/>
            <w:left w:val="none" w:sz="0" w:space="0" w:color="auto"/>
            <w:bottom w:val="none" w:sz="0" w:space="0" w:color="auto"/>
            <w:right w:val="none" w:sz="0" w:space="0" w:color="auto"/>
          </w:divBdr>
        </w:div>
        <w:div w:id="1621910713">
          <w:marLeft w:val="0"/>
          <w:marRight w:val="0"/>
          <w:marTop w:val="0"/>
          <w:marBottom w:val="0"/>
          <w:divBdr>
            <w:top w:val="none" w:sz="0" w:space="0" w:color="auto"/>
            <w:left w:val="none" w:sz="0" w:space="0" w:color="auto"/>
            <w:bottom w:val="none" w:sz="0" w:space="0" w:color="auto"/>
            <w:right w:val="none" w:sz="0" w:space="0" w:color="auto"/>
          </w:divBdr>
        </w:div>
        <w:div w:id="550457556">
          <w:marLeft w:val="0"/>
          <w:marRight w:val="0"/>
          <w:marTop w:val="0"/>
          <w:marBottom w:val="0"/>
          <w:divBdr>
            <w:top w:val="none" w:sz="0" w:space="0" w:color="auto"/>
            <w:left w:val="none" w:sz="0" w:space="0" w:color="auto"/>
            <w:bottom w:val="none" w:sz="0" w:space="0" w:color="auto"/>
            <w:right w:val="none" w:sz="0" w:space="0" w:color="auto"/>
          </w:divBdr>
        </w:div>
      </w:divsChild>
    </w:div>
    <w:div w:id="2044596279">
      <w:bodyDiv w:val="1"/>
      <w:marLeft w:val="0"/>
      <w:marRight w:val="0"/>
      <w:marTop w:val="0"/>
      <w:marBottom w:val="0"/>
      <w:divBdr>
        <w:top w:val="none" w:sz="0" w:space="0" w:color="auto"/>
        <w:left w:val="none" w:sz="0" w:space="0" w:color="auto"/>
        <w:bottom w:val="none" w:sz="0" w:space="0" w:color="auto"/>
        <w:right w:val="none" w:sz="0" w:space="0" w:color="auto"/>
      </w:divBdr>
    </w:div>
    <w:div w:id="2104955812">
      <w:bodyDiv w:val="1"/>
      <w:marLeft w:val="0"/>
      <w:marRight w:val="0"/>
      <w:marTop w:val="0"/>
      <w:marBottom w:val="0"/>
      <w:divBdr>
        <w:top w:val="none" w:sz="0" w:space="0" w:color="auto"/>
        <w:left w:val="none" w:sz="0" w:space="0" w:color="auto"/>
        <w:bottom w:val="none" w:sz="0" w:space="0" w:color="auto"/>
        <w:right w:val="none" w:sz="0" w:space="0" w:color="auto"/>
      </w:divBdr>
      <w:divsChild>
        <w:div w:id="473449079">
          <w:marLeft w:val="274"/>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ion.nt.gov.au/Subordinate-Legislation/Petroleum-Transitional-Regulations-2023-SL-13"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egislation.nt.gov.au/Legislation/PETROLEUM-ENVIRONMENT-REGULATIONS-201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nt.gov.au/en/Legislation/PETROLEUM-REGULATIONS-202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egislation.nt.gov.au/en/Legislation/PETROLEUM-ACT-1984"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legislation.nt.gov.au/Bills/Petroleum-Legislation-Amendment-Bill-2022-S-68?format=assented" TargetMode="External"/><Relationship Id="rId14" Type="http://schemas.openxmlformats.org/officeDocument/2006/relationships/hyperlink" Target="https://legislation.nt.gov.au/en/Legislation/TAXATION-ADMINISTRATION-ACT-20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act%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B974DCE50E4B778F23B1EAC8EB86A5"/>
        <w:category>
          <w:name w:val="General"/>
          <w:gallery w:val="placeholder"/>
        </w:category>
        <w:types>
          <w:type w:val="bbPlcHdr"/>
        </w:types>
        <w:behaviors>
          <w:behavior w:val="content"/>
        </w:behaviors>
        <w:guid w:val="{EC8056A8-FBCA-42A3-91FE-7D7695DE07E6}"/>
      </w:docPartPr>
      <w:docPartBody>
        <w:p w:rsidR="00EB0890" w:rsidRDefault="00136713">
          <w:pPr>
            <w:pStyle w:val="83B974DCE50E4B778F23B1EAC8EB86A5"/>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713"/>
    <w:rsid w:val="00027577"/>
    <w:rsid w:val="0012698D"/>
    <w:rsid w:val="00136713"/>
    <w:rsid w:val="00153B8A"/>
    <w:rsid w:val="001F5EE8"/>
    <w:rsid w:val="002E1D2C"/>
    <w:rsid w:val="00404D85"/>
    <w:rsid w:val="004253F4"/>
    <w:rsid w:val="004A4A19"/>
    <w:rsid w:val="007609D7"/>
    <w:rsid w:val="00813B8F"/>
    <w:rsid w:val="008D169C"/>
    <w:rsid w:val="00962686"/>
    <w:rsid w:val="009A265A"/>
    <w:rsid w:val="009F5656"/>
    <w:rsid w:val="00B05CE7"/>
    <w:rsid w:val="00EB0890"/>
    <w:rsid w:val="00EF7456"/>
    <w:rsid w:val="00F23180"/>
    <w:rsid w:val="00F920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4A19"/>
    <w:rPr>
      <w:color w:val="808080"/>
    </w:rPr>
  </w:style>
  <w:style w:type="paragraph" w:customStyle="1" w:styleId="83B974DCE50E4B778F23B1EAC8EB86A5">
    <w:name w:val="83B974DCE50E4B778F23B1EAC8EB86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08A567-DE8C-4CD2-86AA-B1ADF08D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fact sheet.dotx</Template>
  <TotalTime>1</TotalTime>
  <Pages>9</Pages>
  <Words>3283</Words>
  <Characters>18716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Cost recovery and financial assurance for the onshore gas industry 
in the Northern Territory</vt:lpstr>
    </vt:vector>
  </TitlesOfParts>
  <Company>Industry Tourism and Trade and
Department of</Company>
  <LinksUpToDate>false</LinksUpToDate>
  <CharactersWithSpaces>21956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recovery and financial assurance for the onshore gas industry 
in the Northern Territory</dc:title>
  <dc:creator>Northern Territory Government</dc:creator>
  <cp:lastModifiedBy>Beia Capaque</cp:lastModifiedBy>
  <cp:revision>2</cp:revision>
  <cp:lastPrinted>2023-06-02T01:41:00Z</cp:lastPrinted>
  <dcterms:created xsi:type="dcterms:W3CDTF">2023-06-19T05:35:00Z</dcterms:created>
  <dcterms:modified xsi:type="dcterms:W3CDTF">2023-06-19T05:35:00Z</dcterms:modified>
</cp:coreProperties>
</file>