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4A4B" w14:textId="77777777" w:rsidR="002E0531" w:rsidRDefault="002E0531"/>
    <w:p w14:paraId="43900992" w14:textId="5BD26E2E" w:rsidR="00D9123D" w:rsidRPr="002A0024" w:rsidRDefault="00372252" w:rsidP="00D9123D">
      <w:pPr>
        <w:pStyle w:val="Heading1"/>
        <w:ind w:left="0"/>
        <w:rPr>
          <w:rFonts w:eastAsiaTheme="majorEastAsia"/>
        </w:rPr>
      </w:pPr>
      <w:bookmarkStart w:id="0" w:name="_GoBack"/>
      <w:r>
        <w:rPr>
          <w:rFonts w:eastAsiaTheme="majorEastAsia"/>
        </w:rPr>
        <w:t>Conventional Gas and the H</w:t>
      </w:r>
      <w:r w:rsidR="00287B6D">
        <w:rPr>
          <w:rFonts w:eastAsiaTheme="majorEastAsia"/>
        </w:rPr>
        <w:t>ydraulic Fracturing Inquiry</w:t>
      </w:r>
      <w:r>
        <w:rPr>
          <w:rFonts w:eastAsiaTheme="majorEastAsia"/>
        </w:rPr>
        <w:t xml:space="preserve"> </w:t>
      </w:r>
      <w:r w:rsidR="00437F5C">
        <w:rPr>
          <w:rFonts w:eastAsiaTheme="majorEastAsia"/>
        </w:rPr>
        <w:t>Recommendations</w:t>
      </w:r>
    </w:p>
    <w:bookmarkEnd w:id="0"/>
    <w:p w14:paraId="07CBF637" w14:textId="3CCA6D55" w:rsidR="001F2594" w:rsidRPr="00287B6D" w:rsidRDefault="00372252" w:rsidP="00121714">
      <w:pPr>
        <w:pStyle w:val="SubHeading0"/>
        <w:rPr>
          <w:sz w:val="32"/>
        </w:rPr>
      </w:pPr>
      <w:r w:rsidRPr="00287B6D">
        <w:rPr>
          <w:rStyle w:val="SubHeadingChar0"/>
          <w:color w:val="auto"/>
          <w:sz w:val="32"/>
        </w:rPr>
        <w:t>How do the recommendations of the Hydraulic Fracturing Inquiry impact conventional gas operations in the Northern Territory?</w:t>
      </w:r>
    </w:p>
    <w:p w14:paraId="156E85FC" w14:textId="4C16DBBB" w:rsidR="00641BFC" w:rsidRDefault="00641BFC" w:rsidP="00641BFC">
      <w:pPr>
        <w:pStyle w:val="Heading2"/>
      </w:pPr>
      <w:r>
        <w:t>Background</w:t>
      </w:r>
    </w:p>
    <w:p w14:paraId="1BF1A340" w14:textId="77777777" w:rsidR="00372252" w:rsidRDefault="00372252" w:rsidP="00372252">
      <w:r>
        <w:t xml:space="preserve">In late 2016 the NT Government announced a moratorium on hydraulic fracturing of onshore unconventional shale gas reservoirs in the Northern Territory. </w:t>
      </w:r>
    </w:p>
    <w:p w14:paraId="20107D75" w14:textId="77777777" w:rsidR="00372252" w:rsidRDefault="00372252" w:rsidP="00372252">
      <w:r>
        <w:t xml:space="preserve">The moratorium did not apply to activities associated with the development of conventional reservoirs. Central Petroleum continued its conventional gas operations at </w:t>
      </w:r>
      <w:proofErr w:type="spellStart"/>
      <w:r>
        <w:t>Mereenie</w:t>
      </w:r>
      <w:proofErr w:type="spellEnd"/>
      <w:r>
        <w:t xml:space="preserve"> (OL 4 and 5), Palm Valley (OL 3) and Dingo (L7) during the moratorium.</w:t>
      </w:r>
    </w:p>
    <w:p w14:paraId="788568DB" w14:textId="77777777" w:rsidR="00FC00C8" w:rsidRDefault="00372252" w:rsidP="00372252">
      <w:r>
        <w:t xml:space="preserve">Similarly, the Terms of Reference for the </w:t>
      </w:r>
      <w:r w:rsidRPr="00641BFC">
        <w:rPr>
          <w:i/>
        </w:rPr>
        <w:t>Scientific Inquiry into Unconventional Reservoirs in the Northern Territory</w:t>
      </w:r>
      <w:r>
        <w:t xml:space="preserve"> relate only to unconventional shale gas reservoirs. </w:t>
      </w:r>
    </w:p>
    <w:p w14:paraId="33A9B59D" w14:textId="4A6C68D3" w:rsidR="00372252" w:rsidRDefault="00372252" w:rsidP="00372252">
      <w:r>
        <w:t xml:space="preserve">The </w:t>
      </w:r>
      <w:r w:rsidR="000D2C66">
        <w:t xml:space="preserve">Hydraulic Fracturing </w:t>
      </w:r>
      <w:r>
        <w:t>Inquiry</w:t>
      </w:r>
      <w:r w:rsidR="000D2C66">
        <w:t xml:space="preserve"> (HFI)</w:t>
      </w:r>
      <w:r>
        <w:t xml:space="preserve"> made it very clear in all of </w:t>
      </w:r>
      <w:r w:rsidR="00641BFC">
        <w:t>its</w:t>
      </w:r>
      <w:r>
        <w:t xml:space="preserve"> publications and communications that </w:t>
      </w:r>
      <w:r w:rsidR="00641BFC">
        <w:t>it</w:t>
      </w:r>
      <w:r>
        <w:t xml:space="preserve"> was not assessing or making any recommendations in respect of the conventional </w:t>
      </w:r>
      <w:r w:rsidR="001A0831">
        <w:t xml:space="preserve">oil and </w:t>
      </w:r>
      <w:r>
        <w:t xml:space="preserve">gas industry. </w:t>
      </w:r>
    </w:p>
    <w:p w14:paraId="65AD357A" w14:textId="541A06BF" w:rsidR="00641BFC" w:rsidRDefault="00FC00C8" w:rsidP="00641BFC">
      <w:pPr>
        <w:pStyle w:val="Heading2"/>
      </w:pPr>
      <w:r>
        <w:t>One</w:t>
      </w:r>
      <w:r w:rsidR="00641BFC">
        <w:t xml:space="preserve"> regulatory framework </w:t>
      </w:r>
    </w:p>
    <w:p w14:paraId="053B6B4F" w14:textId="3B98ABD3" w:rsidR="00641BFC" w:rsidRDefault="00372252" w:rsidP="00372252">
      <w:r>
        <w:t xml:space="preserve">Notwithstanding the above, any reforms made to the regulatory framework as a result of </w:t>
      </w:r>
      <w:r w:rsidR="000D2C66">
        <w:t>Government’s acceptance of the HFI’s</w:t>
      </w:r>
      <w:r>
        <w:t xml:space="preserve"> Report</w:t>
      </w:r>
      <w:r w:rsidR="00CD23CD">
        <w:t xml:space="preserve"> and all 135 recommendations</w:t>
      </w:r>
      <w:r>
        <w:t xml:space="preserve"> will, following extensive consultation with the industry, apply equally to unconventional and conventional operations. </w:t>
      </w:r>
    </w:p>
    <w:p w14:paraId="10A92626" w14:textId="53905DEF" w:rsidR="00372252" w:rsidRDefault="00372252" w:rsidP="00372252">
      <w:r>
        <w:t>Government is not proposing that there be one regulatory regime for conventional gas development, and another regime for unconventional gas development. When the Minister for Environment is given a separate environmental approval under the new regulatory framework, the Minister will assess and approve or refuse environment management plans for both conventional and unconventional operations.</w:t>
      </w:r>
    </w:p>
    <w:p w14:paraId="1F045B9D" w14:textId="66CD9977" w:rsidR="00641BFC" w:rsidRDefault="00FC00C8" w:rsidP="00641BFC">
      <w:pPr>
        <w:pStyle w:val="Heading2"/>
      </w:pPr>
      <w:r>
        <w:t>The current regulatory framework</w:t>
      </w:r>
      <w:r w:rsidR="00641BFC">
        <w:t xml:space="preserve"> will apply </w:t>
      </w:r>
      <w:r>
        <w:t>during the reform period</w:t>
      </w:r>
    </w:p>
    <w:p w14:paraId="442938AD" w14:textId="601B2D7D" w:rsidR="00372252" w:rsidRDefault="00372252" w:rsidP="00372252">
      <w:r>
        <w:t xml:space="preserve">Until </w:t>
      </w:r>
      <w:r w:rsidR="000D2C66">
        <w:t>the HFI’s</w:t>
      </w:r>
      <w:r w:rsidR="00641BFC">
        <w:t xml:space="preserve"> recommendations are implemented and</w:t>
      </w:r>
      <w:r>
        <w:t xml:space="preserve"> regulatory reforms are made, the current regulatory framework will apply to conventional operations. That is, any environment management plan that is submitted under the </w:t>
      </w:r>
      <w:r w:rsidRPr="00641BFC">
        <w:rPr>
          <w:i/>
        </w:rPr>
        <w:t>Petroleum (Environment) Regulations</w:t>
      </w:r>
      <w:r>
        <w:t xml:space="preserve"> will be assessed and approved or refused by the Minister for Resources in accordance with those regulations in their current form. </w:t>
      </w:r>
    </w:p>
    <w:p w14:paraId="354F1A9A" w14:textId="1D9200D2" w:rsidR="00641BFC" w:rsidRDefault="00641BFC" w:rsidP="00641BFC">
      <w:pPr>
        <w:pStyle w:val="Heading2"/>
      </w:pPr>
      <w:r>
        <w:t>We will consult with all operators during the reform period</w:t>
      </w:r>
    </w:p>
    <w:p w14:paraId="4D4D35A3" w14:textId="7FD2F340" w:rsidR="00A00527" w:rsidRDefault="00641BFC" w:rsidP="00372252">
      <w:r>
        <w:t>S</w:t>
      </w:r>
      <w:r w:rsidR="00372252">
        <w:t xml:space="preserve">ome complexities may arise for conventional gas operators </w:t>
      </w:r>
      <w:r>
        <w:t>during the upcoming period of regulatory reform</w:t>
      </w:r>
      <w:r w:rsidR="00372252">
        <w:t xml:space="preserve">. Government will consult extensively with all gas operators throughout the period of regulatory reform to ensure the continued sustainable development of the conventional </w:t>
      </w:r>
      <w:r w:rsidR="001A0831">
        <w:t xml:space="preserve">oil and </w:t>
      </w:r>
      <w:r w:rsidR="00372252">
        <w:t>gas industry in the NT.</w:t>
      </w:r>
    </w:p>
    <w:p w14:paraId="75875D5F" w14:textId="77777777" w:rsidR="00FC6442" w:rsidRPr="00B14C73" w:rsidRDefault="00FC6442" w:rsidP="00B14C73">
      <w:pPr>
        <w:spacing w:after="200"/>
        <w:rPr>
          <w:rFonts w:ascii="Arial" w:hAnsi="Arial"/>
        </w:rPr>
      </w:pPr>
    </w:p>
    <w:p w14:paraId="6516014B" w14:textId="77777777" w:rsidR="00FC6442" w:rsidRPr="00D850F7" w:rsidRDefault="00FC6442" w:rsidP="00D850F7">
      <w:pPr>
        <w:spacing w:after="200"/>
        <w:rPr>
          <w:rFonts w:ascii="Arial" w:hAnsi="Arial"/>
        </w:rPr>
      </w:pPr>
    </w:p>
    <w:sectPr w:rsidR="00FC6442" w:rsidRPr="00D850F7" w:rsidSect="007E3394">
      <w:footerReference w:type="default" r:id="rId13"/>
      <w:headerReference w:type="first" r:id="rId14"/>
      <w:footerReference w:type="first" r:id="rId15"/>
      <w:pgSz w:w="11906" w:h="16838" w:code="9"/>
      <w:pgMar w:top="1247" w:right="851" w:bottom="851" w:left="851" w:header="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76593" w14:textId="77777777" w:rsidR="000B2CB4" w:rsidRDefault="000B2CB4" w:rsidP="00345F19">
      <w:r>
        <w:separator/>
      </w:r>
    </w:p>
  </w:endnote>
  <w:endnote w:type="continuationSeparator" w:id="0">
    <w:p w14:paraId="320FB101" w14:textId="77777777" w:rsidR="000B2CB4" w:rsidRDefault="000B2CB4"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191" w:type="dxa"/>
      <w:tblInd w:w="-1026" w:type="dxa"/>
      <w:shd w:val="clear" w:color="auto" w:fill="D9E9E8"/>
      <w:tblLook w:val="04A0" w:firstRow="1" w:lastRow="0" w:firstColumn="1" w:lastColumn="0" w:noHBand="0" w:noVBand="1"/>
      <w:tblCaption w:val="Fact Sheet Footer"/>
      <w:tblDescription w:val="Fact sheet date and version information"/>
    </w:tblPr>
    <w:tblGrid>
      <w:gridCol w:w="12191"/>
    </w:tblGrid>
    <w:tr w:rsidR="001C6AE7" w14:paraId="19569EB1" w14:textId="77777777" w:rsidTr="00D415D6">
      <w:trPr>
        <w:trHeight w:val="340"/>
        <w:tblHeader/>
      </w:trPr>
      <w:tc>
        <w:tcPr>
          <w:tcW w:w="12191" w:type="dxa"/>
          <w:tcBorders>
            <w:top w:val="nil"/>
            <w:left w:val="nil"/>
            <w:bottom w:val="nil"/>
            <w:right w:val="nil"/>
          </w:tcBorders>
          <w:shd w:val="clear" w:color="auto" w:fill="D9E9E8"/>
          <w:vAlign w:val="center"/>
        </w:tcPr>
        <w:p w14:paraId="40084BF4" w14:textId="77777777" w:rsidR="001C6AE7" w:rsidRPr="00D415D6" w:rsidRDefault="001C6AE7" w:rsidP="00EE7B4A">
          <w:pPr>
            <w:tabs>
              <w:tab w:val="right" w:pos="9639"/>
              <w:tab w:val="right" w:pos="14459"/>
            </w:tabs>
            <w:spacing w:after="0"/>
            <w:ind w:right="459"/>
            <w:jc w:val="right"/>
            <w:rPr>
              <w:color w:val="000000" w:themeColor="text1"/>
              <w:sz w:val="18"/>
              <w:szCs w:val="18"/>
            </w:rPr>
          </w:pPr>
          <w:r w:rsidRPr="00D415D6">
            <w:rPr>
              <w:color w:val="000000" w:themeColor="text1"/>
              <w:sz w:val="18"/>
              <w:szCs w:val="18"/>
            </w:rPr>
            <w:t xml:space="preserve">Page </w:t>
          </w:r>
          <w:r w:rsidRPr="00D415D6">
            <w:rPr>
              <w:bCs/>
              <w:color w:val="000000" w:themeColor="text1"/>
              <w:sz w:val="18"/>
              <w:szCs w:val="18"/>
            </w:rPr>
            <w:fldChar w:fldCharType="begin"/>
          </w:r>
          <w:r w:rsidRPr="00D415D6">
            <w:rPr>
              <w:bCs/>
              <w:color w:val="000000" w:themeColor="text1"/>
              <w:sz w:val="18"/>
              <w:szCs w:val="18"/>
            </w:rPr>
            <w:instrText xml:space="preserve"> PAGE </w:instrText>
          </w:r>
          <w:r w:rsidRPr="00D415D6">
            <w:rPr>
              <w:bCs/>
              <w:color w:val="000000" w:themeColor="text1"/>
              <w:sz w:val="18"/>
              <w:szCs w:val="18"/>
            </w:rPr>
            <w:fldChar w:fldCharType="separate"/>
          </w:r>
          <w:r w:rsidR="00287B6D">
            <w:rPr>
              <w:bCs/>
              <w:noProof/>
              <w:color w:val="000000" w:themeColor="text1"/>
              <w:sz w:val="18"/>
              <w:szCs w:val="18"/>
            </w:rPr>
            <w:t>2</w:t>
          </w:r>
          <w:r w:rsidRPr="00D415D6">
            <w:rPr>
              <w:bCs/>
              <w:color w:val="000000" w:themeColor="text1"/>
              <w:sz w:val="18"/>
              <w:szCs w:val="18"/>
            </w:rPr>
            <w:fldChar w:fldCharType="end"/>
          </w:r>
          <w:r w:rsidRPr="00D415D6">
            <w:rPr>
              <w:color w:val="000000" w:themeColor="text1"/>
              <w:sz w:val="18"/>
              <w:szCs w:val="18"/>
            </w:rPr>
            <w:t xml:space="preserve"> of </w:t>
          </w:r>
          <w:r w:rsidRPr="00D415D6">
            <w:rPr>
              <w:bCs/>
              <w:color w:val="000000" w:themeColor="text1"/>
              <w:sz w:val="18"/>
              <w:szCs w:val="18"/>
            </w:rPr>
            <w:fldChar w:fldCharType="begin"/>
          </w:r>
          <w:r w:rsidRPr="00D415D6">
            <w:rPr>
              <w:bCs/>
              <w:color w:val="000000" w:themeColor="text1"/>
              <w:sz w:val="18"/>
              <w:szCs w:val="18"/>
            </w:rPr>
            <w:instrText xml:space="preserve"> NUMPAGES  </w:instrText>
          </w:r>
          <w:r w:rsidRPr="00D415D6">
            <w:rPr>
              <w:bCs/>
              <w:color w:val="000000" w:themeColor="text1"/>
              <w:sz w:val="18"/>
              <w:szCs w:val="18"/>
            </w:rPr>
            <w:fldChar w:fldCharType="separate"/>
          </w:r>
          <w:r w:rsidR="00287B6D">
            <w:rPr>
              <w:bCs/>
              <w:noProof/>
              <w:color w:val="000000" w:themeColor="text1"/>
              <w:sz w:val="18"/>
              <w:szCs w:val="18"/>
            </w:rPr>
            <w:t>2</w:t>
          </w:r>
          <w:r w:rsidRPr="00D415D6">
            <w:rPr>
              <w:bCs/>
              <w:color w:val="000000" w:themeColor="text1"/>
              <w:sz w:val="18"/>
              <w:szCs w:val="18"/>
            </w:rPr>
            <w:fldChar w:fldCharType="end"/>
          </w:r>
        </w:p>
      </w:tc>
    </w:tr>
  </w:tbl>
  <w:p w14:paraId="2B12B7FB" w14:textId="77777777" w:rsidR="00816544" w:rsidRPr="002E094A" w:rsidRDefault="00816544" w:rsidP="00332BA2">
    <w:pPr>
      <w:tabs>
        <w:tab w:val="right" w:pos="9639"/>
        <w:tab w:val="right" w:pos="14459"/>
      </w:tabs>
      <w:spacing w:after="0"/>
      <w:ind w:right="-340"/>
      <w:rPr>
        <w:rFonts w:ascii="Arial" w:hAnsi="Arial"/>
        <w:color w:val="000000" w:themeColor="text1"/>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8D5A" w14:textId="77777777" w:rsidR="0095250B" w:rsidRPr="00F23027" w:rsidRDefault="000F4E50" w:rsidP="00D939B8">
    <w:pPr>
      <w:tabs>
        <w:tab w:val="left" w:pos="3550"/>
      </w:tabs>
      <w:spacing w:after="0"/>
      <w:ind w:left="-284" w:right="-340"/>
    </w:pPr>
    <w:r w:rsidRPr="00F23027">
      <w:rPr>
        <w:b/>
        <w:noProof/>
        <w:color w:val="000000" w:themeColor="text1"/>
        <w:sz w:val="18"/>
        <w:szCs w:val="18"/>
      </w:rPr>
      <mc:AlternateContent>
        <mc:Choice Requires="wps">
          <w:drawing>
            <wp:anchor distT="0" distB="0" distL="114300" distR="114300" simplePos="0" relativeHeight="251675648" behindDoc="0" locked="0" layoutInCell="1" allowOverlap="1" wp14:anchorId="05347E68" wp14:editId="49E20571">
              <wp:simplePos x="0" y="0"/>
              <wp:positionH relativeFrom="column">
                <wp:posOffset>-567690</wp:posOffset>
              </wp:positionH>
              <wp:positionV relativeFrom="paragraph">
                <wp:posOffset>-483235</wp:posOffset>
              </wp:positionV>
              <wp:extent cx="7623810" cy="76200"/>
              <wp:effectExtent l="0" t="0" r="0" b="0"/>
              <wp:wrapNone/>
              <wp:docPr id="7" name="Rectangle 7" descr="orange bar separating footer in fact sheet template" title="Footer seperator bar"/>
              <wp:cNvGraphicFramePr/>
              <a:graphic xmlns:a="http://schemas.openxmlformats.org/drawingml/2006/main">
                <a:graphicData uri="http://schemas.microsoft.com/office/word/2010/wordprocessingShape">
                  <wps:wsp>
                    <wps:cNvSpPr/>
                    <wps:spPr>
                      <a:xfrm>
                        <a:off x="0" y="0"/>
                        <a:ext cx="7623810" cy="76200"/>
                      </a:xfrm>
                      <a:prstGeom prst="rect">
                        <a:avLst/>
                      </a:prstGeom>
                      <a:solidFill>
                        <a:srgbClr val="CB601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D24EF" id="Rectangle 7" o:spid="_x0000_s1026" alt="Title: Footer seperator bar - Description: orange bar separating footer in fact sheet template" style="position:absolute;margin-left:-44.7pt;margin-top:-38.05pt;width:600.3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" fillcolor="#cb6015" stroked="f"/>
          </w:pict>
        </mc:Fallback>
      </mc:AlternateContent>
    </w:r>
    <w:r w:rsidRPr="00F23027">
      <w:rPr>
        <w:color w:val="000000" w:themeColor="text1"/>
        <w:sz w:val="18"/>
        <w:szCs w:val="18"/>
      </w:rPr>
      <w:t>For more information visit</w:t>
    </w:r>
    <w:r w:rsidR="002E094A" w:rsidRPr="00F23027">
      <w:rPr>
        <w:noProof/>
        <w:color w:val="000000" w:themeColor="text1"/>
        <w:sz w:val="18"/>
        <w:szCs w:val="18"/>
      </w:rPr>
      <w:drawing>
        <wp:anchor distT="0" distB="0" distL="114300" distR="114300" simplePos="0" relativeHeight="251676672" behindDoc="0" locked="0" layoutInCell="1" allowOverlap="1" wp14:anchorId="7EF79996" wp14:editId="7BCC1204">
          <wp:simplePos x="0" y="0"/>
          <wp:positionH relativeFrom="page">
            <wp:posOffset>5755640</wp:posOffset>
          </wp:positionH>
          <wp:positionV relativeFrom="page">
            <wp:posOffset>10003790</wp:posOffset>
          </wp:positionV>
          <wp:extent cx="1349375" cy="478790"/>
          <wp:effectExtent l="0" t="0" r="3175" b="0"/>
          <wp:wrapTopAndBottom/>
          <wp:docPr id="18" name="Picture 18" descr="Northern Territory Government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margin">
            <wp14:pctWidth>0</wp14:pctWidth>
          </wp14:sizeRelH>
          <wp14:sizeRelV relativeFrom="margin">
            <wp14:pctHeight>0</wp14:pctHeight>
          </wp14:sizeRelV>
        </wp:anchor>
      </w:drawing>
    </w:r>
    <w:r w:rsidR="0013262F" w:rsidRPr="00F23027">
      <w:rPr>
        <w:sz w:val="18"/>
        <w:szCs w:val="18"/>
      </w:rPr>
      <w:t xml:space="preserve"> </w:t>
    </w:r>
    <w:r w:rsidRPr="00F23027">
      <w:rPr>
        <w:rFonts w:ascii="LatoLatin Heavy" w:hAnsi="LatoLatin Heavy"/>
        <w:sz w:val="18"/>
        <w:szCs w:val="18"/>
      </w:rPr>
      <w:t>www</w:t>
    </w:r>
    <w:r w:rsidR="0013262F" w:rsidRPr="00F23027">
      <w:rPr>
        <w:rFonts w:ascii="LatoLatin Heavy" w:hAnsi="LatoLatin Heavy"/>
        <w:sz w:val="18"/>
        <w:szCs w:val="18"/>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A4EB9" w14:textId="77777777" w:rsidR="000B2CB4" w:rsidRDefault="000B2CB4" w:rsidP="00345F19">
      <w:r>
        <w:separator/>
      </w:r>
    </w:p>
  </w:footnote>
  <w:footnote w:type="continuationSeparator" w:id="0">
    <w:p w14:paraId="4BCA2F51" w14:textId="77777777" w:rsidR="000B2CB4" w:rsidRDefault="000B2CB4" w:rsidP="003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85CE" w14:textId="77777777" w:rsidR="0024667C" w:rsidRDefault="00BA04B7">
    <w:pPr>
      <w:pStyle w:val="Header"/>
    </w:pPr>
    <w:r>
      <w:rPr>
        <w:noProof/>
      </w:rPr>
      <mc:AlternateContent>
        <mc:Choice Requires="wpg">
          <w:drawing>
            <wp:inline distT="0" distB="0" distL="0" distR="0" wp14:anchorId="190CDFE5" wp14:editId="1DF61947">
              <wp:extent cx="3047365" cy="902970"/>
              <wp:effectExtent l="0" t="0" r="635" b="1143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3047365" cy="902970"/>
                        <a:chOff x="0" y="0"/>
                        <a:chExt cx="3050045" cy="902335"/>
                      </a:xfrm>
                    </wpg:grpSpPr>
                    <wps:wsp>
                      <wps:cNvPr id="5" name="_x0000_tx2"/>
                      <wps:cNvSpPr txBox="1">
                        <a:spLocks noChangeArrowheads="1"/>
                      </wps:cNvSpPr>
                      <wps:spPr bwMode="auto">
                        <a:xfrm>
                          <a:off x="129654" y="344625"/>
                          <a:ext cx="2920391" cy="55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03B"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 xml:space="preserve">PRIMARY INDUSTRY AND </w:t>
                            </w:r>
                            <w:r w:rsidR="00D9123D">
                              <w:rPr>
                                <w:rFonts w:ascii="Lato Black" w:hAnsi="Lato Black"/>
                                <w:sz w:val="20"/>
                                <w:szCs w:val="20"/>
                              </w:rPr>
                              <w:t>resources</w:t>
                            </w:r>
                          </w:p>
                        </w:txbxContent>
                      </wps:txbx>
                      <wps:bodyPr rot="0" vert="horz" wrap="square" lIns="0" tIns="0" rIns="0" bIns="0" anchor="b" anchorCtr="0" upright="1">
                        <a:noAutofit/>
                      </wps:bodyPr>
                    </wps:wsp>
                    <wpg:grpSp>
                      <wpg:cNvPr id="11" name="Group 11"/>
                      <wpg:cNvGrpSpPr/>
                      <wpg:grpSpPr>
                        <a:xfrm>
                          <a:off x="0" y="0"/>
                          <a:ext cx="72063" cy="863929"/>
                          <a:chOff x="0" y="0"/>
                          <a:chExt cx="72240" cy="864493"/>
                        </a:xfrm>
                      </wpg:grpSpPr>
                      <wps:wsp>
                        <wps:cNvPr id="4" name="Rectangle 4"/>
                        <wps:cNvSpPr/>
                        <wps:spPr>
                          <a:xfrm>
                            <a:off x="0" y="0"/>
                            <a:ext cx="72240"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72240" cy="467976"/>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90CDFE5" id="Group 16" o:spid="_x0000_s1026" alt="Title: Fact Sheet Template Header - Description: Fact sheet NTG Department name" style="width:239.95pt;height:71.1pt;mso-position-horizontal-relative:char;mso-position-vertical-relative:line" coordsize="3050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">
              <v:shapetype id="_x0000_t202" coordsize="21600,21600" o:spt="202" path="m,l,21600r21600,l21600,xe">
                <v:stroke joinstyle="miter"/>
                <v:path gradientshapeok="t" o:connecttype="rect"/>
              </v:shapetype>
              <v:shape id="_x0000_tx2" o:spid="_x0000_s1027" type="#_x0000_t202" style="position:absolute;left:1296;top:3446;width:29204;height:55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14:paraId="5B63303B"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 xml:space="preserve">PRIMARY INDUSTRY AND </w:t>
                      </w:r>
                      <w:r w:rsidR="00D9123D">
                        <w:rPr>
                          <w:rFonts w:ascii="Lato Black" w:hAnsi="Lato Black"/>
                          <w:sz w:val="20"/>
                          <w:szCs w:val="20"/>
                        </w:rPr>
                        <w:t>resources</w:t>
                      </w:r>
                    </w:p>
                  </w:txbxContent>
                </v:textbox>
              </v:shape>
              <v:group id="Group 11" o:spid="_x0000_s1028" style="position:absolute;width:720;height:8639" coordsize="722,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29" style="position:absolute;width:7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0" style="position:absolute;top:3965;width:72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BfsMA&#10;AADaAAAADwAAAGRycy9kb3ducmV2LnhtbESPy2rDMBBF94X+g5hCd7WcLExwrYQQCJQuCrbzoLup&#10;NbWNrZGRlMT9+6pQyPJyH4dbbGYziis531tWsEhSEMSN1T23Cg71/mUFwgdkjaNlUvBDHjbrx4cC&#10;c21vXNK1Cq2II+xzVNCFMOVS+qYjgz6xE3H0vq0zGKJ0rdQOb3HcjHKZppk02HMkdDjRrqNmqC4m&#10;ctPPQX+c8MvVK39sykMvz++VUs9P8/YVRKA53MP/7TetI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pBfsMAAADaAAAADwAAAAAAAAAAAAAAAACYAgAAZHJzL2Rv&#10;d25yZXYueG1sUEsFBgAAAAAEAAQA9QAAAIgDAAAAAA==&#10;" fillcolor="#cb6015" stroked="f" strokeweight="2pt"/>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66900"/>
    <w:multiLevelType w:val="hybridMultilevel"/>
    <w:tmpl w:val="C8307FC2"/>
    <w:lvl w:ilvl="0" w:tplc="90D263D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14"/>
    <w:rsid w:val="00091A0A"/>
    <w:rsid w:val="000A0570"/>
    <w:rsid w:val="000B2CB4"/>
    <w:rsid w:val="000D2C66"/>
    <w:rsid w:val="000E20B1"/>
    <w:rsid w:val="000F4E50"/>
    <w:rsid w:val="001102F2"/>
    <w:rsid w:val="00121714"/>
    <w:rsid w:val="0013262F"/>
    <w:rsid w:val="001416E3"/>
    <w:rsid w:val="00142DA5"/>
    <w:rsid w:val="00165EEF"/>
    <w:rsid w:val="00167D47"/>
    <w:rsid w:val="001A0831"/>
    <w:rsid w:val="001C44BE"/>
    <w:rsid w:val="001C6AE7"/>
    <w:rsid w:val="001D19D0"/>
    <w:rsid w:val="001F2594"/>
    <w:rsid w:val="0024667C"/>
    <w:rsid w:val="00250BA3"/>
    <w:rsid w:val="00264313"/>
    <w:rsid w:val="00276837"/>
    <w:rsid w:val="002877CA"/>
    <w:rsid w:val="00287B6D"/>
    <w:rsid w:val="002A0024"/>
    <w:rsid w:val="002E0531"/>
    <w:rsid w:val="002E094A"/>
    <w:rsid w:val="002F1F4B"/>
    <w:rsid w:val="00332BA2"/>
    <w:rsid w:val="00345F19"/>
    <w:rsid w:val="00372252"/>
    <w:rsid w:val="0038201C"/>
    <w:rsid w:val="00387556"/>
    <w:rsid w:val="003A5DFE"/>
    <w:rsid w:val="003A6162"/>
    <w:rsid w:val="003D25DC"/>
    <w:rsid w:val="003E5DB8"/>
    <w:rsid w:val="003F056F"/>
    <w:rsid w:val="004052CB"/>
    <w:rsid w:val="0042638E"/>
    <w:rsid w:val="00437F5C"/>
    <w:rsid w:val="00474AC3"/>
    <w:rsid w:val="004A701A"/>
    <w:rsid w:val="00582CF5"/>
    <w:rsid w:val="005B0917"/>
    <w:rsid w:val="005B2B13"/>
    <w:rsid w:val="005D17AF"/>
    <w:rsid w:val="0062360A"/>
    <w:rsid w:val="00625A4D"/>
    <w:rsid w:val="0063745F"/>
    <w:rsid w:val="00641BFC"/>
    <w:rsid w:val="00650F79"/>
    <w:rsid w:val="0068743A"/>
    <w:rsid w:val="007114F3"/>
    <w:rsid w:val="00725DA1"/>
    <w:rsid w:val="00745C62"/>
    <w:rsid w:val="00780DC5"/>
    <w:rsid w:val="00792135"/>
    <w:rsid w:val="00793B62"/>
    <w:rsid w:val="007A5A09"/>
    <w:rsid w:val="007E3394"/>
    <w:rsid w:val="007F2639"/>
    <w:rsid w:val="00816544"/>
    <w:rsid w:val="00817D6C"/>
    <w:rsid w:val="00863189"/>
    <w:rsid w:val="00871D43"/>
    <w:rsid w:val="00895572"/>
    <w:rsid w:val="008A7003"/>
    <w:rsid w:val="008B09DA"/>
    <w:rsid w:val="00903161"/>
    <w:rsid w:val="00904EBD"/>
    <w:rsid w:val="009229EF"/>
    <w:rsid w:val="00923EA4"/>
    <w:rsid w:val="009271FD"/>
    <w:rsid w:val="0095250B"/>
    <w:rsid w:val="00967B4D"/>
    <w:rsid w:val="009729E5"/>
    <w:rsid w:val="009746F0"/>
    <w:rsid w:val="00983CDE"/>
    <w:rsid w:val="009A5848"/>
    <w:rsid w:val="009B155C"/>
    <w:rsid w:val="009C325A"/>
    <w:rsid w:val="009C5F3A"/>
    <w:rsid w:val="009E5740"/>
    <w:rsid w:val="009F4854"/>
    <w:rsid w:val="00A00527"/>
    <w:rsid w:val="00A17756"/>
    <w:rsid w:val="00A218AB"/>
    <w:rsid w:val="00A455AF"/>
    <w:rsid w:val="00A70A18"/>
    <w:rsid w:val="00AA06BE"/>
    <w:rsid w:val="00AA0C3A"/>
    <w:rsid w:val="00AA14F2"/>
    <w:rsid w:val="00AA793E"/>
    <w:rsid w:val="00AC7C45"/>
    <w:rsid w:val="00B14C73"/>
    <w:rsid w:val="00B203BE"/>
    <w:rsid w:val="00B6359D"/>
    <w:rsid w:val="00B74E36"/>
    <w:rsid w:val="00B942E3"/>
    <w:rsid w:val="00BA04B7"/>
    <w:rsid w:val="00BA4691"/>
    <w:rsid w:val="00C23305"/>
    <w:rsid w:val="00C53CD1"/>
    <w:rsid w:val="00C559D5"/>
    <w:rsid w:val="00C62A53"/>
    <w:rsid w:val="00C845BE"/>
    <w:rsid w:val="00CB285D"/>
    <w:rsid w:val="00CD23CD"/>
    <w:rsid w:val="00CF110A"/>
    <w:rsid w:val="00CF6990"/>
    <w:rsid w:val="00CF71AD"/>
    <w:rsid w:val="00CF7741"/>
    <w:rsid w:val="00D415D6"/>
    <w:rsid w:val="00D70C8A"/>
    <w:rsid w:val="00D850F7"/>
    <w:rsid w:val="00D9123D"/>
    <w:rsid w:val="00D939B8"/>
    <w:rsid w:val="00DC7344"/>
    <w:rsid w:val="00DD002C"/>
    <w:rsid w:val="00E0442D"/>
    <w:rsid w:val="00E34761"/>
    <w:rsid w:val="00E36EBF"/>
    <w:rsid w:val="00E609C7"/>
    <w:rsid w:val="00E77753"/>
    <w:rsid w:val="00E914BF"/>
    <w:rsid w:val="00EA7F7B"/>
    <w:rsid w:val="00ED3240"/>
    <w:rsid w:val="00EE3E5D"/>
    <w:rsid w:val="00EE7B4A"/>
    <w:rsid w:val="00F05620"/>
    <w:rsid w:val="00F14B32"/>
    <w:rsid w:val="00F23027"/>
    <w:rsid w:val="00F44E7D"/>
    <w:rsid w:val="00F842A6"/>
    <w:rsid w:val="00F84680"/>
    <w:rsid w:val="00F969CB"/>
    <w:rsid w:val="00FC00C8"/>
    <w:rsid w:val="00FC6442"/>
    <w:rsid w:val="00FE07BC"/>
    <w:rsid w:val="00FE5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989B"/>
  <w15:docId w15:val="{D3C585D2-4A9B-43C9-A9A1-ED19ABB0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24"/>
    <w:pPr>
      <w:spacing w:after="120" w:line="240" w:lineRule="auto"/>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121714"/>
    <w:pPr>
      <w:outlineLvl w:val="0"/>
    </w:pPr>
    <w:rPr>
      <w:b w:val="0"/>
      <w:color w:val="auto"/>
      <w:sz w:val="44"/>
    </w:rPr>
  </w:style>
  <w:style w:type="paragraph" w:styleId="Heading2">
    <w:name w:val="heading 2"/>
    <w:next w:val="Normal"/>
    <w:link w:val="Heading2Char"/>
    <w:uiPriority w:val="9"/>
    <w:unhideWhenUsed/>
    <w:qFormat/>
    <w:rsid w:val="00121714"/>
    <w:pPr>
      <w:spacing w:before="360" w:line="240" w:lineRule="auto"/>
      <w:outlineLvl w:val="1"/>
    </w:pPr>
    <w:rPr>
      <w:rFonts w:ascii="Lato" w:eastAsiaTheme="majorEastAsia" w:hAnsi="Lato" w:cstheme="majorBidi"/>
      <w:b/>
      <w:bCs/>
      <w:kern w:val="32"/>
      <w:sz w:val="28"/>
      <w:szCs w:val="28"/>
      <w:lang w:eastAsia="en-AU"/>
    </w:rPr>
  </w:style>
  <w:style w:type="paragraph" w:styleId="Heading3">
    <w:name w:val="heading 3"/>
    <w:next w:val="Normal"/>
    <w:link w:val="Heading3Char"/>
    <w:uiPriority w:val="9"/>
    <w:unhideWhenUsed/>
    <w:qFormat/>
    <w:rsid w:val="00EE3E5D"/>
    <w:pPr>
      <w:keepNext/>
      <w:spacing w:before="24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E914BF"/>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DC7344"/>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121714"/>
    <w:rPr>
      <w:rFonts w:ascii="Lato Black" w:eastAsia="Times New Roman" w:hAnsi="Lato Black" w:cs="Arial"/>
      <w:sz w:val="44"/>
      <w:szCs w:val="48"/>
      <w:lang w:eastAsia="en-AU"/>
    </w:rPr>
  </w:style>
  <w:style w:type="character" w:customStyle="1" w:styleId="Heading2Char">
    <w:name w:val="Heading 2 Char"/>
    <w:basedOn w:val="DefaultParagraphFont"/>
    <w:link w:val="Heading2"/>
    <w:uiPriority w:val="9"/>
    <w:rsid w:val="00121714"/>
    <w:rPr>
      <w:rFonts w:ascii="Lato" w:eastAsiaTheme="majorEastAsia" w:hAnsi="Lato" w:cstheme="majorBidi"/>
      <w:b/>
      <w:bCs/>
      <w:kern w:val="32"/>
      <w:sz w:val="28"/>
      <w:szCs w:val="28"/>
      <w:lang w:eastAsia="en-AU"/>
    </w:rPr>
  </w:style>
  <w:style w:type="character" w:customStyle="1" w:styleId="Heading3Char">
    <w:name w:val="Heading 3 Char"/>
    <w:basedOn w:val="DefaultParagraphFont"/>
    <w:link w:val="Heading3"/>
    <w:uiPriority w:val="9"/>
    <w:rsid w:val="00EE3E5D"/>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E914BF"/>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EE3E5D"/>
    <w:pPr>
      <w:numPr>
        <w:numId w:val="6"/>
      </w:numPr>
      <w:ind w:left="425" w:hanging="425"/>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B6359D"/>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B6359D"/>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DC7344"/>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121714"/>
    <w:rPr>
      <w:rFonts w:ascii="Lato Heavy" w:hAnsi="Lato Heavy"/>
      <w:b w:val="0"/>
      <w:color w:val="auto"/>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121714"/>
    <w:rPr>
      <w:rFonts w:ascii="Lato Heavy" w:eastAsia="Times New Roman" w:hAnsi="Lato Heavy" w:cs="Arial"/>
      <w:b w:val="0"/>
      <w:color w:val="CB6015"/>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92INTRANET-61-3217</_dlc_DocId>
    <_dlc_DocIdUrl xmlns="564b9e4e-37ca-486c-bb1e-eea7f9c9db13">
      <Url>http://intranet.dor.nt.gov.au/service-centre/_layouts/DocIdRedir.aspx?ID=92INTRANET-61-3217</Url>
      <Description>92INTRANET-61-3217</Description>
    </_dlc_DocIdUrl>
    <TaxCatchAll xmlns="b67e3ff5-cc42-4af3-a392-aa7c502473c8">
      <Value>116</Value>
      <Value>104</Value>
      <Value>19</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80A8-4987-46B1-BA72-F0B6D8B86B17}">
  <ds:schemaRefs>
    <ds:schemaRef ds:uri="http://schemas.microsoft.com/office/2006/metadata/properties"/>
    <ds:schemaRef ds:uri="http://schemas.microsoft.com/office/infopath/2007/PartnerControls"/>
    <ds:schemaRef ds:uri="d83430f0-8359-4395-9add-22baaf37beb6"/>
    <ds:schemaRef ds:uri="564b9e4e-37ca-486c-bb1e-eea7f9c9db13"/>
    <ds:schemaRef ds:uri="b67e3ff5-cc42-4af3-a392-aa7c502473c8"/>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80B8D319-E826-4DCD-B063-7C30CB71D613}">
  <ds:schemaRefs>
    <ds:schemaRef ds:uri="http://schemas.microsoft.com/sharepoint/events"/>
  </ds:schemaRefs>
</ds:datastoreItem>
</file>

<file path=customXml/itemProps3.xml><?xml version="1.0" encoding="utf-8"?>
<ds:datastoreItem xmlns:ds="http://schemas.openxmlformats.org/officeDocument/2006/customXml" ds:itemID="{72C9B685-50DA-44A7-A674-05049BA0FE8B}">
  <ds:schemaRefs>
    <ds:schemaRef ds:uri="office.server.policy"/>
  </ds:schemaRefs>
</ds:datastoreItem>
</file>

<file path=customXml/itemProps4.xml><?xml version="1.0" encoding="utf-8"?>
<ds:datastoreItem xmlns:ds="http://schemas.openxmlformats.org/officeDocument/2006/customXml" ds:itemID="{5C056FCF-DE77-4A34-9D7B-6B62E0473B3C}">
  <ds:schemaRefs>
    <ds:schemaRef ds:uri="http://schemas.microsoft.com/sharepoint/v3/contenttype/forms"/>
  </ds:schemaRefs>
</ds:datastoreItem>
</file>

<file path=customXml/itemProps5.xml><?xml version="1.0" encoding="utf-8"?>
<ds:datastoreItem xmlns:ds="http://schemas.openxmlformats.org/officeDocument/2006/customXml" ds:itemID="{DFF03229-2705-42EC-A191-81916671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91B722-9524-4462-8652-6DE03C58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Fact Sheet DPIF (one col design)</vt:lpstr>
    </vt:vector>
  </TitlesOfParts>
  <Company>NTG</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Gas and the Hydraulic Fracturing Inquiry Recommendations</dc:title>
  <dc:creator>Northern Territory Government</dc:creator>
  <cp:lastModifiedBy>Vanessa Madrill</cp:lastModifiedBy>
  <cp:revision>3</cp:revision>
  <cp:lastPrinted>2016-09-12T04:51:00Z</cp:lastPrinted>
  <dcterms:created xsi:type="dcterms:W3CDTF">2018-07-25T01:57:00Z</dcterms:created>
  <dcterms:modified xsi:type="dcterms:W3CDTF">2018-07-25T01:59:00Z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vt:lpwstr>
  </property>
  <property fmtid="{D5CDD505-2E9C-101B-9397-08002B2CF9AE}" pid="3" name="Category">
    <vt:lpwstr>116</vt:lpwstr>
  </property>
  <property fmtid="{D5CDD505-2E9C-101B-9397-08002B2CF9AE}" pid="4" name="Document_x0020_Type">
    <vt:lpwstr>19;#Template|2cbd10d1-5f22-4f0d-b400-97412f160da9</vt:lpwstr>
  </property>
  <property fmtid="{D5CDD505-2E9C-101B-9397-08002B2CF9AE}" pid="5" name="Category0">
    <vt:lpwstr>505</vt:lpwstr>
  </property>
  <property fmtid="{D5CDD505-2E9C-101B-9397-08002B2CF9AE}" pid="6" name="ContentTypeId">
    <vt:lpwstr>0x0101003E9D233C771AF0478503F87640D936DE</vt:lpwstr>
  </property>
  <property fmtid="{D5CDD505-2E9C-101B-9397-08002B2CF9AE}" pid="7" name="Department">
    <vt:lpwstr>293;#Department of Primary Industry and Resources|39a2110d-6ad1-4371-9fe5-90585948bb85</vt:lpwstr>
  </property>
  <property fmtid="{D5CDD505-2E9C-101B-9397-08002B2CF9AE}" pid="8" name="_dlc_DocIdItemGuid">
    <vt:lpwstr>3017c64e-80df-4fa2-a51f-daab6e9b8af2</vt:lpwstr>
  </property>
  <property fmtid="{D5CDD505-2E9C-101B-9397-08002B2CF9AE}" pid="9" name="Document Type">
    <vt:lpwstr>19</vt:lpwstr>
  </property>
  <property fmtid="{D5CDD505-2E9C-101B-9397-08002B2CF9AE}" pid="10" name="Order">
    <vt:r8>321700</vt:r8>
  </property>
</Properties>
</file>