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415288131"/>
        <w:docPartObj>
          <w:docPartGallery w:val="Cover Pages"/>
          <w:docPartUnique/>
        </w:docPartObj>
      </w:sdtPr>
      <w:sdtEndPr>
        <w:rPr>
          <w:rFonts w:ascii="Arial" w:eastAsia="Calibri" w:hAnsi="Arial" w:cs="Times New Roman"/>
          <w:caps w:val="0"/>
        </w:rPr>
      </w:sdtEndPr>
      <w:sdtContent>
        <w:tbl>
          <w:tblPr>
            <w:tblW w:w="5000" w:type="pct"/>
            <w:jc w:val="center"/>
            <w:tblLook w:val="04A0" w:firstRow="1" w:lastRow="0" w:firstColumn="1" w:lastColumn="0" w:noHBand="0" w:noVBand="1"/>
          </w:tblPr>
          <w:tblGrid>
            <w:gridCol w:w="9638"/>
          </w:tblGrid>
          <w:tr w:rsidR="00000664">
            <w:trPr>
              <w:trHeight w:val="2880"/>
              <w:jc w:val="center"/>
            </w:trPr>
            <w:tc>
              <w:tcPr>
                <w:tcW w:w="5000" w:type="pct"/>
              </w:tcPr>
              <w:p w:rsidR="00000664" w:rsidRDefault="00000664" w:rsidP="00000664">
                <w:pPr>
                  <w:pStyle w:val="NoSpacing"/>
                  <w:jc w:val="center"/>
                  <w:rPr>
                    <w:rFonts w:asciiTheme="majorHAnsi" w:eastAsiaTheme="majorEastAsia" w:hAnsiTheme="majorHAnsi" w:cstheme="majorBidi"/>
                    <w:caps/>
                  </w:rPr>
                </w:pPr>
              </w:p>
            </w:tc>
          </w:tr>
        </w:tbl>
        <w:p w:rsidR="00564C25" w:rsidRDefault="00564C25" w:rsidP="00564C25">
          <w:pPr>
            <w:spacing w:after="0"/>
            <w:rPr>
              <w:rFonts w:ascii="Lato Heavy" w:hAnsi="Lato Heavy"/>
              <w:color w:val="000000" w:themeColor="text1"/>
              <w:sz w:val="66"/>
              <w:szCs w:val="66"/>
            </w:rPr>
          </w:pPr>
        </w:p>
        <w:p w:rsidR="00032D30" w:rsidRPr="00032D30" w:rsidRDefault="00274B85" w:rsidP="00000664">
          <w:pPr>
            <w:spacing w:after="0"/>
            <w:rPr>
              <w:rFonts w:ascii="Lato Heavy" w:hAnsi="Lato Heavy"/>
              <w:color w:val="E36C0A" w:themeColor="accent6" w:themeShade="BF"/>
              <w:sz w:val="66"/>
              <w:szCs w:val="66"/>
            </w:rPr>
          </w:pPr>
          <w:r w:rsidRPr="00032D30">
            <w:rPr>
              <w:rFonts w:ascii="Lato Heavy" w:hAnsi="Lato Heavy"/>
              <w:color w:val="E36C0A" w:themeColor="accent6" w:themeShade="BF"/>
              <w:sz w:val="66"/>
              <w:szCs w:val="66"/>
            </w:rPr>
            <w:t xml:space="preserve">2019 </w:t>
          </w:r>
          <w:r w:rsidR="00564C25" w:rsidRPr="00032D30">
            <w:rPr>
              <w:rFonts w:ascii="Lato Heavy" w:hAnsi="Lato Heavy"/>
              <w:color w:val="E36C0A" w:themeColor="accent6" w:themeShade="BF"/>
              <w:sz w:val="66"/>
              <w:szCs w:val="66"/>
            </w:rPr>
            <w:t>International Women’s Day Grants</w:t>
          </w:r>
          <w:r w:rsidR="00032D30" w:rsidRPr="00032D30">
            <w:rPr>
              <w:rFonts w:ascii="Lato Heavy" w:hAnsi="Lato Heavy"/>
              <w:color w:val="E36C0A" w:themeColor="accent6" w:themeShade="BF"/>
              <w:sz w:val="66"/>
              <w:szCs w:val="66"/>
            </w:rPr>
            <w:t xml:space="preserve"> </w:t>
          </w:r>
          <w:r w:rsidR="00E55194">
            <w:rPr>
              <w:rFonts w:ascii="Lato Heavy" w:hAnsi="Lato Heavy"/>
              <w:color w:val="E36C0A" w:themeColor="accent6" w:themeShade="BF"/>
              <w:sz w:val="66"/>
              <w:szCs w:val="66"/>
            </w:rPr>
            <w:t>g</w:t>
          </w:r>
          <w:r w:rsidR="00032D30" w:rsidRPr="00032D30">
            <w:rPr>
              <w:rFonts w:ascii="Lato Heavy" w:hAnsi="Lato Heavy"/>
              <w:color w:val="E36C0A" w:themeColor="accent6" w:themeShade="BF"/>
              <w:sz w:val="66"/>
              <w:szCs w:val="66"/>
            </w:rPr>
            <w:t>uidelines</w:t>
          </w:r>
        </w:p>
        <w:p w:rsidR="00000664" w:rsidRPr="00032D30" w:rsidRDefault="00032D30" w:rsidP="00000664">
          <w:pPr>
            <w:spacing w:after="0"/>
            <w:rPr>
              <w:rFonts w:ascii="Lato" w:hAnsi="Lato"/>
              <w:b/>
              <w:sz w:val="36"/>
              <w:szCs w:val="36"/>
            </w:rPr>
          </w:pPr>
          <w:r w:rsidRPr="00032D30">
            <w:rPr>
              <w:rFonts w:ascii="Lato" w:hAnsi="Lato"/>
              <w:b/>
              <w:sz w:val="36"/>
              <w:szCs w:val="36"/>
            </w:rPr>
            <w:t>Office of Gender Equity and Diversity</w:t>
          </w:r>
        </w:p>
        <w:p w:rsidR="00000664" w:rsidRDefault="00000664" w:rsidP="00032D30"/>
        <w:p w:rsidR="00000664" w:rsidRDefault="00000664" w:rsidP="00032D30"/>
        <w:p w:rsidR="00564C25" w:rsidRDefault="00564C25" w:rsidP="00032D30"/>
        <w:p w:rsidR="00564C25" w:rsidRDefault="00E05E81" w:rsidP="00032D30"/>
      </w:sdtContent>
    </w:sdt>
    <w:p w:rsidR="00032D30" w:rsidRDefault="00032D30">
      <w:pPr>
        <w:rPr>
          <w:rFonts w:ascii="Lato" w:eastAsiaTheme="majorEastAsia" w:hAnsi="Lato" w:cstheme="majorBidi"/>
          <w:b/>
          <w:bCs/>
          <w:iCs/>
          <w:color w:val="E36C0A" w:themeColor="accent6" w:themeShade="BF"/>
          <w:sz w:val="28"/>
        </w:rPr>
      </w:pPr>
      <w:r>
        <w:rPr>
          <w:rFonts w:ascii="Lato" w:eastAsiaTheme="majorEastAsia" w:hAnsi="Lato" w:cstheme="majorBidi"/>
          <w:b/>
          <w:bCs/>
          <w:iCs/>
          <w:color w:val="E36C0A" w:themeColor="accent6" w:themeShade="BF"/>
          <w:sz w:val="28"/>
        </w:rPr>
        <w:br w:type="page"/>
      </w:r>
    </w:p>
    <w:p w:rsidR="00EC31EF" w:rsidRPr="00564C25" w:rsidRDefault="00EC31EF" w:rsidP="00564C25">
      <w:pPr>
        <w:rPr>
          <w:rFonts w:ascii="Lato" w:eastAsiaTheme="majorEastAsia" w:hAnsi="Lato" w:cstheme="majorBidi"/>
          <w:b/>
          <w:bCs/>
          <w:iCs/>
          <w:color w:val="E36C0A" w:themeColor="accent6" w:themeShade="BF"/>
          <w:sz w:val="28"/>
        </w:rPr>
      </w:pPr>
      <w:r w:rsidRPr="00564C25">
        <w:rPr>
          <w:rFonts w:ascii="Lato" w:eastAsiaTheme="majorEastAsia" w:hAnsi="Lato" w:cstheme="majorBidi"/>
          <w:b/>
          <w:bCs/>
          <w:iCs/>
          <w:color w:val="E36C0A" w:themeColor="accent6" w:themeShade="BF"/>
          <w:sz w:val="28"/>
        </w:rPr>
        <w:lastRenderedPageBreak/>
        <w:t>OVERVIEW</w:t>
      </w:r>
    </w:p>
    <w:p w:rsidR="00564C25" w:rsidRDefault="00C32AA6" w:rsidP="00C32AA6">
      <w:pPr>
        <w:contextualSpacing/>
        <w:jc w:val="both"/>
        <w:rPr>
          <w:rFonts w:ascii="Lato" w:hAnsi="Lato"/>
        </w:rPr>
      </w:pPr>
      <w:r w:rsidRPr="00993130">
        <w:rPr>
          <w:rFonts w:ascii="Lato" w:hAnsi="Lato"/>
        </w:rPr>
        <w:t xml:space="preserve">The </w:t>
      </w:r>
      <w:r w:rsidR="00C059E5">
        <w:rPr>
          <w:rFonts w:ascii="Lato" w:hAnsi="Lato"/>
        </w:rPr>
        <w:t xml:space="preserve">Office of </w:t>
      </w:r>
      <w:r w:rsidRPr="00993130">
        <w:rPr>
          <w:rFonts w:ascii="Lato" w:hAnsi="Lato"/>
        </w:rPr>
        <w:t xml:space="preserve">Gender Equity and Diversity </w:t>
      </w:r>
      <w:r w:rsidR="00564C25">
        <w:rPr>
          <w:rFonts w:ascii="Lato" w:hAnsi="Lato"/>
        </w:rPr>
        <w:t xml:space="preserve">International Women’s Day </w:t>
      </w:r>
      <w:r w:rsidRPr="00993130">
        <w:rPr>
          <w:rFonts w:ascii="Lato" w:hAnsi="Lato"/>
        </w:rPr>
        <w:t>Grants</w:t>
      </w:r>
      <w:r w:rsidR="001B7D45">
        <w:rPr>
          <w:rFonts w:ascii="Lato" w:hAnsi="Lato"/>
        </w:rPr>
        <w:t xml:space="preserve"> provide</w:t>
      </w:r>
      <w:r>
        <w:rPr>
          <w:rFonts w:ascii="Lato" w:hAnsi="Lato"/>
        </w:rPr>
        <w:t xml:space="preserve"> </w:t>
      </w:r>
      <w:r w:rsidRPr="00993130">
        <w:rPr>
          <w:rFonts w:ascii="Lato" w:hAnsi="Lato"/>
        </w:rPr>
        <w:t xml:space="preserve">funding for </w:t>
      </w:r>
      <w:r w:rsidR="00564C25" w:rsidRPr="00564C25">
        <w:rPr>
          <w:rFonts w:ascii="Lato" w:hAnsi="Lato"/>
        </w:rPr>
        <w:t xml:space="preserve">events and activities to celebrate International Women’s Day </w:t>
      </w:r>
      <w:r w:rsidR="00032D30">
        <w:rPr>
          <w:rFonts w:ascii="Lato" w:hAnsi="Lato"/>
        </w:rPr>
        <w:t xml:space="preserve">held on </w:t>
      </w:r>
      <w:r w:rsidR="00564C25" w:rsidRPr="00564C25">
        <w:rPr>
          <w:rFonts w:ascii="Lato" w:hAnsi="Lato"/>
        </w:rPr>
        <w:t>8 March each year.</w:t>
      </w:r>
    </w:p>
    <w:p w:rsidR="00564C25" w:rsidRDefault="00564C25" w:rsidP="00564C25">
      <w:pPr>
        <w:contextualSpacing/>
        <w:rPr>
          <w:rFonts w:eastAsiaTheme="majorEastAsia"/>
        </w:rPr>
      </w:pPr>
    </w:p>
    <w:p w:rsidR="00564C25" w:rsidRPr="00931949" w:rsidRDefault="00564C25" w:rsidP="00564C25">
      <w:pPr>
        <w:contextualSpacing/>
        <w:rPr>
          <w:rFonts w:ascii="Lato" w:hAnsi="Lato"/>
        </w:rPr>
      </w:pPr>
      <w:r w:rsidRPr="00931949">
        <w:rPr>
          <w:rFonts w:ascii="Lato" w:hAnsi="Lato"/>
        </w:rPr>
        <w:t>Grants of up to $3000 are available for individuals and organisations for activities that:</w:t>
      </w:r>
    </w:p>
    <w:p w:rsidR="00564C25" w:rsidRPr="00931949" w:rsidRDefault="00564C25" w:rsidP="00032D30">
      <w:pPr>
        <w:pStyle w:val="ListParagraph"/>
        <w:numPr>
          <w:ilvl w:val="0"/>
          <w:numId w:val="62"/>
        </w:numPr>
        <w:contextualSpacing/>
        <w:rPr>
          <w:rFonts w:ascii="Lato" w:eastAsia="Calibri" w:hAnsi="Lato"/>
          <w:iCs w:val="0"/>
        </w:rPr>
      </w:pPr>
      <w:r w:rsidRPr="00931949">
        <w:rPr>
          <w:rFonts w:ascii="Lato" w:eastAsia="Calibri" w:hAnsi="Lato"/>
          <w:iCs w:val="0"/>
        </w:rPr>
        <w:t>Celebrate International Women’s Day</w:t>
      </w:r>
    </w:p>
    <w:p w:rsidR="00564C25" w:rsidRPr="00931949" w:rsidRDefault="00564C25" w:rsidP="00032D30">
      <w:pPr>
        <w:pStyle w:val="ListParagraph"/>
        <w:numPr>
          <w:ilvl w:val="0"/>
          <w:numId w:val="62"/>
        </w:numPr>
        <w:contextualSpacing/>
        <w:rPr>
          <w:rFonts w:ascii="Lato" w:eastAsia="Calibri" w:hAnsi="Lato"/>
          <w:iCs w:val="0"/>
        </w:rPr>
      </w:pPr>
      <w:r w:rsidRPr="00931949">
        <w:rPr>
          <w:rFonts w:ascii="Lato" w:eastAsia="Calibri" w:hAnsi="Lato"/>
          <w:iCs w:val="0"/>
        </w:rPr>
        <w:t>Celebrate women’s diversity and social, political and economic achievements</w:t>
      </w:r>
    </w:p>
    <w:p w:rsidR="00564C25" w:rsidRPr="00931949" w:rsidRDefault="00564C25" w:rsidP="00032D30">
      <w:pPr>
        <w:pStyle w:val="ListParagraph"/>
        <w:numPr>
          <w:ilvl w:val="0"/>
          <w:numId w:val="62"/>
        </w:numPr>
        <w:contextualSpacing/>
        <w:rPr>
          <w:rFonts w:ascii="Lato" w:eastAsia="Calibri" w:hAnsi="Lato"/>
          <w:iCs w:val="0"/>
        </w:rPr>
      </w:pPr>
      <w:r w:rsidRPr="00931949">
        <w:rPr>
          <w:rFonts w:ascii="Lato" w:eastAsia="Calibri" w:hAnsi="Lato"/>
          <w:iCs w:val="0"/>
        </w:rPr>
        <w:t>Educate the community about International Women’s Day</w:t>
      </w:r>
    </w:p>
    <w:p w:rsidR="00564C25" w:rsidRPr="00931949" w:rsidRDefault="00564C25" w:rsidP="00032D30">
      <w:pPr>
        <w:pStyle w:val="ListParagraph"/>
        <w:numPr>
          <w:ilvl w:val="0"/>
          <w:numId w:val="62"/>
        </w:numPr>
        <w:contextualSpacing/>
        <w:rPr>
          <w:rFonts w:ascii="Lato" w:eastAsia="Calibri" w:hAnsi="Lato"/>
          <w:iCs w:val="0"/>
        </w:rPr>
      </w:pPr>
      <w:r w:rsidRPr="00931949">
        <w:rPr>
          <w:rFonts w:ascii="Lato" w:eastAsia="Calibri" w:hAnsi="Lato"/>
          <w:iCs w:val="0"/>
        </w:rPr>
        <w:t>Encourage reflection and discussion about issues regarding gender inequality</w:t>
      </w:r>
    </w:p>
    <w:p w:rsidR="00564C25" w:rsidRPr="00931949" w:rsidRDefault="00564C25" w:rsidP="00032D30">
      <w:pPr>
        <w:pStyle w:val="ListParagraph"/>
        <w:numPr>
          <w:ilvl w:val="0"/>
          <w:numId w:val="62"/>
        </w:numPr>
        <w:contextualSpacing/>
        <w:rPr>
          <w:rFonts w:ascii="Lato" w:eastAsia="Calibri" w:hAnsi="Lato"/>
          <w:iCs w:val="0"/>
        </w:rPr>
      </w:pPr>
      <w:r w:rsidRPr="00931949">
        <w:rPr>
          <w:rFonts w:ascii="Lato" w:eastAsia="Calibri" w:hAnsi="Lato"/>
          <w:iCs w:val="0"/>
        </w:rPr>
        <w:t>Encourage community participation in International Women’s Day</w:t>
      </w:r>
      <w:r w:rsidR="00032D30">
        <w:rPr>
          <w:rFonts w:ascii="Lato" w:eastAsia="Calibri" w:hAnsi="Lato"/>
          <w:iCs w:val="0"/>
        </w:rPr>
        <w:t xml:space="preserve"> events</w:t>
      </w:r>
    </w:p>
    <w:p w:rsidR="00564C25" w:rsidRPr="00564C25" w:rsidRDefault="00564C25" w:rsidP="00564C25">
      <w:pPr>
        <w:contextualSpacing/>
        <w:jc w:val="both"/>
        <w:rPr>
          <w:rFonts w:ascii="Lato" w:hAnsi="Lato"/>
        </w:rPr>
      </w:pPr>
      <w:r w:rsidRPr="00564C25">
        <w:rPr>
          <w:rFonts w:ascii="Lato" w:hAnsi="Lato"/>
        </w:rPr>
        <w:t>Applications from rural and remote areas are encouraged.</w:t>
      </w:r>
    </w:p>
    <w:p w:rsidR="00564C25" w:rsidRDefault="00564C25" w:rsidP="00C32AA6">
      <w:pPr>
        <w:contextualSpacing/>
        <w:jc w:val="both"/>
        <w:rPr>
          <w:rFonts w:ascii="Lato" w:hAnsi="Lato"/>
        </w:rPr>
      </w:pPr>
    </w:p>
    <w:p w:rsidR="00C32AA6" w:rsidRPr="00363158" w:rsidRDefault="00C32AA6" w:rsidP="00363158">
      <w:pPr>
        <w:jc w:val="both"/>
      </w:pPr>
      <w:r w:rsidRPr="00993130">
        <w:rPr>
          <w:rFonts w:ascii="Lato" w:hAnsi="Lato"/>
        </w:rPr>
        <w:t xml:space="preserve">These guidelines are designed to assist </w:t>
      </w:r>
      <w:r w:rsidR="00032D30" w:rsidRPr="00931949">
        <w:rPr>
          <w:rFonts w:ascii="Lato" w:hAnsi="Lato"/>
        </w:rPr>
        <w:t>individuals and organisations</w:t>
      </w:r>
      <w:r w:rsidRPr="00993130">
        <w:rPr>
          <w:rFonts w:ascii="Lato" w:hAnsi="Lato"/>
        </w:rPr>
        <w:t xml:space="preserve"> </w:t>
      </w:r>
      <w:r w:rsidR="00032D30">
        <w:rPr>
          <w:rFonts w:ascii="Lato" w:hAnsi="Lato"/>
        </w:rPr>
        <w:t>to</w:t>
      </w:r>
      <w:r w:rsidRPr="00993130">
        <w:rPr>
          <w:rFonts w:ascii="Lato" w:hAnsi="Lato"/>
        </w:rPr>
        <w:t xml:space="preserve"> apply</w:t>
      </w:r>
      <w:r w:rsidR="00032D30">
        <w:rPr>
          <w:rFonts w:ascii="Lato" w:hAnsi="Lato"/>
        </w:rPr>
        <w:t xml:space="preserve"> for and acquit</w:t>
      </w:r>
      <w:r w:rsidRPr="00993130">
        <w:rPr>
          <w:rFonts w:ascii="Lato" w:hAnsi="Lato"/>
        </w:rPr>
        <w:t xml:space="preserve"> the </w:t>
      </w:r>
      <w:r w:rsidR="00564C25">
        <w:rPr>
          <w:rFonts w:ascii="Lato" w:hAnsi="Lato"/>
        </w:rPr>
        <w:t xml:space="preserve">International Women’s Day </w:t>
      </w:r>
      <w:r w:rsidRPr="00993130">
        <w:rPr>
          <w:rFonts w:ascii="Lato" w:hAnsi="Lato"/>
        </w:rPr>
        <w:t xml:space="preserve">Grants offered by the Northern Territory Government through Territory Families. </w:t>
      </w:r>
    </w:p>
    <w:p w:rsidR="00C32AA6" w:rsidRPr="00363158" w:rsidRDefault="00C32AA6" w:rsidP="00363158">
      <w:pPr>
        <w:jc w:val="both"/>
        <w:rPr>
          <w:rFonts w:ascii="Lato" w:hAnsi="Lato"/>
        </w:rPr>
      </w:pPr>
      <w:r w:rsidRPr="00993130">
        <w:rPr>
          <w:rFonts w:ascii="Lato" w:hAnsi="Lato"/>
        </w:rPr>
        <w:t>Please carefully read all sections of these guidelines before applying for a</w:t>
      </w:r>
      <w:r w:rsidR="00564C25">
        <w:rPr>
          <w:rFonts w:ascii="Lato" w:hAnsi="Lato"/>
        </w:rPr>
        <w:t>n International Women’s Day Grant</w:t>
      </w:r>
      <w:r w:rsidRPr="00993130">
        <w:rPr>
          <w:rFonts w:ascii="Lato" w:hAnsi="Lato"/>
        </w:rPr>
        <w:t>. If you require assistance with your application or have any queries in relation to the grants process please contact</w:t>
      </w:r>
      <w:r>
        <w:rPr>
          <w:rFonts w:ascii="Lato" w:hAnsi="Lato"/>
        </w:rPr>
        <w:t xml:space="preserve"> our office</w:t>
      </w:r>
      <w:r w:rsidR="00316B0D">
        <w:rPr>
          <w:rFonts w:ascii="Lato" w:hAnsi="Lato"/>
        </w:rPr>
        <w:t xml:space="preserve"> (details below).</w:t>
      </w:r>
    </w:p>
    <w:p w:rsidR="004407C1" w:rsidRPr="00363158" w:rsidRDefault="004407C1" w:rsidP="00363158">
      <w:pPr>
        <w:pStyle w:val="Heading2"/>
        <w:numPr>
          <w:ilvl w:val="0"/>
          <w:numId w:val="0"/>
        </w:numPr>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HOW TO APPLY</w:t>
      </w:r>
    </w:p>
    <w:p w:rsidR="00C32AA6" w:rsidRDefault="00C32AA6" w:rsidP="00C32AA6">
      <w:pPr>
        <w:contextualSpacing/>
        <w:jc w:val="both"/>
        <w:rPr>
          <w:rFonts w:ascii="Lato" w:hAnsi="Lato"/>
        </w:rPr>
      </w:pPr>
      <w:r w:rsidRPr="00993130">
        <w:rPr>
          <w:rFonts w:ascii="Lato" w:hAnsi="Lato"/>
        </w:rPr>
        <w:t xml:space="preserve">The </w:t>
      </w:r>
      <w:r w:rsidR="00564C25">
        <w:rPr>
          <w:rFonts w:ascii="Lato" w:hAnsi="Lato"/>
        </w:rPr>
        <w:t>International Women’s Day</w:t>
      </w:r>
      <w:r w:rsidRPr="00993130">
        <w:rPr>
          <w:rFonts w:ascii="Lato" w:hAnsi="Lato"/>
        </w:rPr>
        <w:t xml:space="preserve"> Grants are administered by the Office of Gender Equity and Diversity within Territory Families.</w:t>
      </w:r>
    </w:p>
    <w:p w:rsidR="00C32AA6" w:rsidRPr="00993130" w:rsidRDefault="00C32AA6" w:rsidP="00C32AA6">
      <w:pPr>
        <w:contextualSpacing/>
        <w:jc w:val="both"/>
        <w:rPr>
          <w:rFonts w:ascii="Lato" w:hAnsi="Lato"/>
        </w:rPr>
      </w:pPr>
    </w:p>
    <w:p w:rsidR="00316B0D" w:rsidRDefault="004407C1" w:rsidP="004407C1">
      <w:pPr>
        <w:jc w:val="both"/>
        <w:rPr>
          <w:rFonts w:ascii="Lato" w:hAnsi="Lato"/>
        </w:rPr>
      </w:pPr>
      <w:r w:rsidRPr="00993130">
        <w:rPr>
          <w:rFonts w:ascii="Lato" w:hAnsi="Lato"/>
        </w:rPr>
        <w:t xml:space="preserve">Applications </w:t>
      </w:r>
      <w:r w:rsidR="00032D30">
        <w:rPr>
          <w:rFonts w:ascii="Lato" w:hAnsi="Lato"/>
        </w:rPr>
        <w:t>m</w:t>
      </w:r>
      <w:r w:rsidRPr="00993130">
        <w:rPr>
          <w:rFonts w:ascii="Lato" w:hAnsi="Lato"/>
        </w:rPr>
        <w:t xml:space="preserve">ust be submitted </w:t>
      </w:r>
      <w:r w:rsidR="00C059E5">
        <w:rPr>
          <w:rFonts w:ascii="Lato" w:hAnsi="Lato"/>
        </w:rPr>
        <w:t>on</w:t>
      </w:r>
      <w:r w:rsidRPr="00993130">
        <w:rPr>
          <w:rFonts w:ascii="Lato" w:hAnsi="Lato"/>
        </w:rPr>
        <w:t xml:space="preserve"> a completed application form provided by the Office of Gender Equity and Diversity. Application forms are available </w:t>
      </w:r>
      <w:r w:rsidR="00032D30">
        <w:rPr>
          <w:rFonts w:ascii="Lato" w:hAnsi="Lato"/>
        </w:rPr>
        <w:t>from</w:t>
      </w:r>
      <w:r w:rsidRPr="00993130">
        <w:rPr>
          <w:rFonts w:ascii="Lato" w:hAnsi="Lato"/>
        </w:rPr>
        <w:t xml:space="preserve"> </w:t>
      </w:r>
      <w:hyperlink r:id="rId8" w:history="1">
        <w:r w:rsidR="00032D30">
          <w:rPr>
            <w:rStyle w:val="Hyperlink"/>
            <w:rFonts w:ascii="Lato" w:hAnsi="Lato"/>
          </w:rPr>
          <w:t>territoryfamilies.nt.gov.au</w:t>
        </w:r>
      </w:hyperlink>
      <w:r w:rsidR="00032D30">
        <w:rPr>
          <w:rFonts w:ascii="Lato" w:hAnsi="Lato"/>
        </w:rPr>
        <w:t>.</w:t>
      </w:r>
    </w:p>
    <w:p w:rsidR="004407C1" w:rsidRPr="00993130" w:rsidRDefault="004407C1" w:rsidP="004407C1">
      <w:pPr>
        <w:jc w:val="both"/>
        <w:rPr>
          <w:rFonts w:ascii="Lato" w:hAnsi="Lato"/>
        </w:rPr>
      </w:pPr>
      <w:r w:rsidRPr="00993130">
        <w:rPr>
          <w:rFonts w:ascii="Lato" w:hAnsi="Lato"/>
        </w:rPr>
        <w:t>You can request an application form to be sent to you by contacting the Office of Gender Equity and Diversity.</w:t>
      </w:r>
    </w:p>
    <w:p w:rsidR="004407C1" w:rsidRPr="00993130" w:rsidRDefault="004407C1" w:rsidP="000A5385">
      <w:pPr>
        <w:spacing w:after="0"/>
        <w:rPr>
          <w:rFonts w:ascii="Lato" w:hAnsi="Lato"/>
        </w:rPr>
      </w:pPr>
      <w:r w:rsidRPr="00993130">
        <w:rPr>
          <w:rFonts w:ascii="Lato" w:hAnsi="Lato"/>
        </w:rPr>
        <w:t xml:space="preserve">Postal address: </w:t>
      </w:r>
      <w:r w:rsidRPr="00993130">
        <w:rPr>
          <w:rFonts w:ascii="Lato" w:hAnsi="Lato"/>
        </w:rPr>
        <w:tab/>
      </w:r>
      <w:r w:rsidR="000A5385" w:rsidRPr="000A5385">
        <w:rPr>
          <w:rFonts w:ascii="Lato" w:hAnsi="Lato"/>
        </w:rPr>
        <w:t>PO Box  37037</w:t>
      </w:r>
      <w:r w:rsidR="000A5385">
        <w:rPr>
          <w:rFonts w:ascii="Lato" w:hAnsi="Lato"/>
        </w:rPr>
        <w:t xml:space="preserve">, </w:t>
      </w:r>
      <w:r w:rsidR="000A5385" w:rsidRPr="000A5385">
        <w:rPr>
          <w:rFonts w:ascii="Lato" w:hAnsi="Lato"/>
        </w:rPr>
        <w:t>WINNELLIE NT 0820</w:t>
      </w:r>
    </w:p>
    <w:p w:rsidR="004407C1" w:rsidRPr="00993130" w:rsidRDefault="004407C1" w:rsidP="004407C1">
      <w:pPr>
        <w:spacing w:after="0"/>
        <w:rPr>
          <w:rFonts w:ascii="Lato" w:hAnsi="Lato"/>
        </w:rPr>
      </w:pPr>
      <w:r w:rsidRPr="00993130">
        <w:rPr>
          <w:rFonts w:ascii="Lato" w:hAnsi="Lato"/>
        </w:rPr>
        <w:t xml:space="preserve">Office address: </w:t>
      </w:r>
      <w:r w:rsidRPr="00993130">
        <w:rPr>
          <w:rFonts w:ascii="Lato" w:hAnsi="Lato"/>
        </w:rPr>
        <w:tab/>
        <w:t>Level 6, Darwin Plaza, 41</w:t>
      </w:r>
      <w:r w:rsidR="001B7D45">
        <w:rPr>
          <w:rFonts w:ascii="Lato" w:hAnsi="Lato"/>
        </w:rPr>
        <w:t xml:space="preserve"> </w:t>
      </w:r>
      <w:r w:rsidRPr="00993130">
        <w:rPr>
          <w:rFonts w:ascii="Lato" w:hAnsi="Lato"/>
        </w:rPr>
        <w:t>Smith Street, Darwin NT 0800</w:t>
      </w:r>
    </w:p>
    <w:p w:rsidR="004407C1" w:rsidRPr="00993130" w:rsidRDefault="004407C1" w:rsidP="004407C1">
      <w:pPr>
        <w:spacing w:after="0"/>
        <w:rPr>
          <w:rFonts w:ascii="Lato" w:hAnsi="Lato"/>
        </w:rPr>
      </w:pPr>
      <w:r w:rsidRPr="00993130">
        <w:rPr>
          <w:rFonts w:ascii="Lato" w:hAnsi="Lato"/>
        </w:rPr>
        <w:t xml:space="preserve">Email: </w:t>
      </w:r>
      <w:r w:rsidRPr="00993130">
        <w:rPr>
          <w:rFonts w:ascii="Lato" w:hAnsi="Lato"/>
        </w:rPr>
        <w:tab/>
      </w:r>
      <w:r w:rsidRPr="00993130">
        <w:rPr>
          <w:rFonts w:ascii="Lato" w:hAnsi="Lato"/>
        </w:rPr>
        <w:tab/>
      </w:r>
      <w:r w:rsidRPr="00993130">
        <w:rPr>
          <w:rFonts w:ascii="Lato" w:hAnsi="Lato"/>
        </w:rPr>
        <w:tab/>
      </w:r>
      <w:r w:rsidR="00274B85">
        <w:rPr>
          <w:rFonts w:ascii="Lato" w:hAnsi="Lato"/>
        </w:rPr>
        <w:t>tf.oged</w:t>
      </w:r>
      <w:r w:rsidRPr="00993130">
        <w:rPr>
          <w:rFonts w:ascii="Lato" w:hAnsi="Lato"/>
        </w:rPr>
        <w:t>@nt.gov.au</w:t>
      </w:r>
    </w:p>
    <w:p w:rsidR="004407C1" w:rsidRPr="00993130" w:rsidRDefault="004407C1" w:rsidP="004407C1">
      <w:pPr>
        <w:spacing w:after="0"/>
        <w:rPr>
          <w:rFonts w:ascii="Lato" w:hAnsi="Lato"/>
        </w:rPr>
      </w:pPr>
      <w:r w:rsidRPr="00993130">
        <w:rPr>
          <w:rFonts w:ascii="Lato" w:hAnsi="Lato"/>
        </w:rPr>
        <w:t xml:space="preserve">Phone: </w:t>
      </w:r>
      <w:r w:rsidRPr="00993130">
        <w:rPr>
          <w:rFonts w:ascii="Lato" w:hAnsi="Lato"/>
        </w:rPr>
        <w:tab/>
      </w:r>
      <w:r w:rsidRPr="00993130">
        <w:rPr>
          <w:rFonts w:ascii="Lato" w:hAnsi="Lato"/>
        </w:rPr>
        <w:tab/>
        <w:t>08 8999 8373</w:t>
      </w:r>
    </w:p>
    <w:p w:rsidR="00316B0D" w:rsidRDefault="00316B0D" w:rsidP="004407C1">
      <w:pPr>
        <w:spacing w:before="240"/>
        <w:contextualSpacing/>
        <w:jc w:val="both"/>
        <w:rPr>
          <w:rFonts w:ascii="Lato" w:hAnsi="Lato"/>
        </w:rPr>
      </w:pPr>
    </w:p>
    <w:p w:rsidR="0034223A" w:rsidRDefault="004407C1" w:rsidP="00363158">
      <w:pPr>
        <w:spacing w:before="240"/>
        <w:contextualSpacing/>
        <w:jc w:val="both"/>
      </w:pPr>
      <w:r w:rsidRPr="00993130">
        <w:rPr>
          <w:rFonts w:ascii="Lato" w:hAnsi="Lato"/>
        </w:rPr>
        <w:t xml:space="preserve">The application form is designed to provide information to allow detailed consideration and comparison of applications.  Before an application can be considered, all </w:t>
      </w:r>
      <w:r w:rsidR="00C059E5">
        <w:rPr>
          <w:rFonts w:ascii="Lato" w:hAnsi="Lato"/>
        </w:rPr>
        <w:t xml:space="preserve">relevant </w:t>
      </w:r>
      <w:r w:rsidRPr="00993130">
        <w:rPr>
          <w:rFonts w:ascii="Lato" w:hAnsi="Lato"/>
        </w:rPr>
        <w:t xml:space="preserve">areas must be completed and </w:t>
      </w:r>
      <w:r w:rsidR="00C059E5">
        <w:rPr>
          <w:rFonts w:ascii="Lato" w:hAnsi="Lato"/>
        </w:rPr>
        <w:t>requested</w:t>
      </w:r>
      <w:r w:rsidR="00937F24" w:rsidRPr="00993130">
        <w:rPr>
          <w:rFonts w:ascii="Lato" w:hAnsi="Lato"/>
        </w:rPr>
        <w:t xml:space="preserve"> </w:t>
      </w:r>
      <w:r w:rsidRPr="00993130">
        <w:rPr>
          <w:rFonts w:ascii="Lato" w:hAnsi="Lato"/>
        </w:rPr>
        <w:t>documents attached.</w:t>
      </w:r>
      <w:r w:rsidR="00B17FDE">
        <w:rPr>
          <w:rFonts w:ascii="Lato" w:hAnsi="Lato"/>
        </w:rPr>
        <w:t xml:space="preserve"> </w:t>
      </w:r>
      <w:r w:rsidRPr="00B17FDE">
        <w:rPr>
          <w:rFonts w:ascii="Lato" w:hAnsi="Lato"/>
        </w:rPr>
        <w:t xml:space="preserve">Emailed applications are also acceptable, </w:t>
      </w:r>
      <w:r w:rsidR="00316B0D" w:rsidRPr="00B17FDE">
        <w:rPr>
          <w:rFonts w:ascii="Lato" w:hAnsi="Lato"/>
        </w:rPr>
        <w:t>ensuring all</w:t>
      </w:r>
      <w:r w:rsidRPr="00B17FDE">
        <w:rPr>
          <w:rFonts w:ascii="Lato" w:hAnsi="Lato"/>
        </w:rPr>
        <w:t xml:space="preserve"> required information is provided. </w:t>
      </w:r>
    </w:p>
    <w:p w:rsidR="00353776" w:rsidRPr="00363158" w:rsidRDefault="00353776">
      <w:pPr>
        <w:pStyle w:val="Heading2"/>
        <w:numPr>
          <w:ilvl w:val="0"/>
          <w:numId w:val="0"/>
        </w:numPr>
        <w:rPr>
          <w:rFonts w:ascii="Lato" w:hAnsi="Lato"/>
          <w:color w:val="E36C0A" w:themeColor="accent6" w:themeShade="BF"/>
          <w:szCs w:val="22"/>
        </w:rPr>
      </w:pPr>
      <w:r w:rsidRPr="00363158">
        <w:rPr>
          <w:rFonts w:ascii="Lato" w:hAnsi="Lato"/>
          <w:color w:val="E36C0A" w:themeColor="accent6" w:themeShade="BF"/>
          <w:szCs w:val="22"/>
        </w:rPr>
        <w:t xml:space="preserve">WHO </w:t>
      </w:r>
      <w:r w:rsidR="00EF0F03" w:rsidRPr="00363158">
        <w:rPr>
          <w:rFonts w:ascii="Lato" w:hAnsi="Lato"/>
          <w:color w:val="E36C0A" w:themeColor="accent6" w:themeShade="BF"/>
          <w:szCs w:val="22"/>
        </w:rPr>
        <w:t>CAN APPLY</w:t>
      </w:r>
    </w:p>
    <w:p w:rsidR="00353776" w:rsidRPr="00993130" w:rsidRDefault="00353776" w:rsidP="00353776">
      <w:pPr>
        <w:rPr>
          <w:rFonts w:ascii="Lato" w:hAnsi="Lato"/>
        </w:rPr>
      </w:pPr>
      <w:r w:rsidRPr="00993130">
        <w:rPr>
          <w:rFonts w:ascii="Lato" w:hAnsi="Lato"/>
        </w:rPr>
        <w:t>To be eligible to apply for a</w:t>
      </w:r>
      <w:r w:rsidR="00564C25">
        <w:rPr>
          <w:rFonts w:ascii="Lato" w:hAnsi="Lato"/>
        </w:rPr>
        <w:t>n International Women’s Day</w:t>
      </w:r>
      <w:r w:rsidRPr="00993130">
        <w:rPr>
          <w:rFonts w:ascii="Lato" w:hAnsi="Lato"/>
        </w:rPr>
        <w:t xml:space="preserve"> </w:t>
      </w:r>
      <w:r w:rsidR="00D673C0">
        <w:rPr>
          <w:rFonts w:ascii="Lato" w:hAnsi="Lato"/>
        </w:rPr>
        <w:t>G</w:t>
      </w:r>
      <w:r w:rsidRPr="00993130">
        <w:rPr>
          <w:rFonts w:ascii="Lato" w:hAnsi="Lato"/>
        </w:rPr>
        <w:t>rant, applicants must:</w:t>
      </w:r>
    </w:p>
    <w:p w:rsidR="00353776" w:rsidRPr="00993130" w:rsidRDefault="00353776" w:rsidP="00353776">
      <w:pPr>
        <w:pStyle w:val="ListParagraph"/>
        <w:numPr>
          <w:ilvl w:val="0"/>
          <w:numId w:val="49"/>
        </w:numPr>
        <w:spacing w:after="0"/>
        <w:rPr>
          <w:rFonts w:ascii="Lato" w:hAnsi="Lato"/>
        </w:rPr>
      </w:pPr>
      <w:r w:rsidRPr="00993130">
        <w:rPr>
          <w:rFonts w:ascii="Lato" w:hAnsi="Lato"/>
        </w:rPr>
        <w:t>be a reside</w:t>
      </w:r>
      <w:r w:rsidR="00D673C0">
        <w:rPr>
          <w:rFonts w:ascii="Lato" w:hAnsi="Lato"/>
        </w:rPr>
        <w:t>nt of the Northern Territory</w:t>
      </w:r>
    </w:p>
    <w:p w:rsidR="00353776" w:rsidRPr="00993130" w:rsidRDefault="00353776" w:rsidP="00353776">
      <w:pPr>
        <w:pStyle w:val="ListParagraph"/>
        <w:numPr>
          <w:ilvl w:val="0"/>
          <w:numId w:val="49"/>
        </w:numPr>
        <w:spacing w:after="0"/>
        <w:rPr>
          <w:rFonts w:ascii="Lato" w:hAnsi="Lato"/>
        </w:rPr>
      </w:pPr>
      <w:r w:rsidRPr="00993130">
        <w:rPr>
          <w:rFonts w:ascii="Lato" w:hAnsi="Lato"/>
        </w:rPr>
        <w:t>if an organisation, be based and registere</w:t>
      </w:r>
      <w:r w:rsidR="00D673C0">
        <w:rPr>
          <w:rFonts w:ascii="Lato" w:hAnsi="Lato"/>
        </w:rPr>
        <w:t>d in the Northern Territory</w:t>
      </w:r>
    </w:p>
    <w:p w:rsidR="00353776" w:rsidRPr="00993130" w:rsidRDefault="00353776" w:rsidP="00353776">
      <w:pPr>
        <w:pStyle w:val="ListParagraph"/>
        <w:numPr>
          <w:ilvl w:val="0"/>
          <w:numId w:val="49"/>
        </w:numPr>
        <w:spacing w:after="0"/>
        <w:contextualSpacing/>
        <w:rPr>
          <w:rFonts w:ascii="Lato" w:hAnsi="Lato"/>
        </w:rPr>
      </w:pPr>
      <w:r w:rsidRPr="00993130">
        <w:rPr>
          <w:rFonts w:ascii="Lato" w:hAnsi="Lato"/>
        </w:rPr>
        <w:t xml:space="preserve">demonstrate that the </w:t>
      </w:r>
      <w:r w:rsidR="00564C25">
        <w:rPr>
          <w:rFonts w:ascii="Lato" w:hAnsi="Lato"/>
        </w:rPr>
        <w:t>planned activity meets at least two of the required selection criteria for the International Women’s Day Grants.</w:t>
      </w:r>
    </w:p>
    <w:p w:rsidR="00084C67" w:rsidRPr="00363158" w:rsidRDefault="00353776" w:rsidP="00000664">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FUNDING OFFERED</w:t>
      </w:r>
    </w:p>
    <w:p w:rsidR="009623EB" w:rsidRPr="00363158" w:rsidRDefault="00997958" w:rsidP="00D72BD1">
      <w:pPr>
        <w:jc w:val="both"/>
        <w:rPr>
          <w:rFonts w:ascii="Lato" w:hAnsi="Lato"/>
        </w:rPr>
      </w:pPr>
      <w:r>
        <w:rPr>
          <w:rFonts w:ascii="Lato" w:hAnsi="Lato"/>
        </w:rPr>
        <w:t>The total grant funding for International Women’s Day is $40</w:t>
      </w:r>
      <w:r w:rsidR="00D673C0">
        <w:rPr>
          <w:rFonts w:ascii="Lato" w:hAnsi="Lato"/>
        </w:rPr>
        <w:t>,</w:t>
      </w:r>
      <w:r>
        <w:rPr>
          <w:rFonts w:ascii="Lato" w:hAnsi="Lato"/>
        </w:rPr>
        <w:t>000 each year.</w:t>
      </w:r>
    </w:p>
    <w:p w:rsidR="00A67467" w:rsidRDefault="00A67467" w:rsidP="00D72BD1">
      <w:pPr>
        <w:jc w:val="both"/>
        <w:rPr>
          <w:rFonts w:ascii="Lato" w:hAnsi="Lato"/>
        </w:rPr>
      </w:pPr>
      <w:r>
        <w:rPr>
          <w:rFonts w:ascii="Lato" w:hAnsi="Lato"/>
        </w:rPr>
        <w:lastRenderedPageBreak/>
        <w:t xml:space="preserve">Grants of up to $3000 </w:t>
      </w:r>
      <w:r w:rsidR="00997958">
        <w:rPr>
          <w:rFonts w:ascii="Lato" w:hAnsi="Lato"/>
        </w:rPr>
        <w:t xml:space="preserve">are available </w:t>
      </w:r>
      <w:r>
        <w:rPr>
          <w:rFonts w:ascii="Lato" w:hAnsi="Lato"/>
        </w:rPr>
        <w:t xml:space="preserve">to contribute towards International Women’s </w:t>
      </w:r>
      <w:r w:rsidR="00D673C0">
        <w:rPr>
          <w:rFonts w:ascii="Lato" w:hAnsi="Lato"/>
        </w:rPr>
        <w:t>D</w:t>
      </w:r>
      <w:r>
        <w:rPr>
          <w:rFonts w:ascii="Lato" w:hAnsi="Lato"/>
        </w:rPr>
        <w:t>ay activities across the Northern Territory.</w:t>
      </w:r>
    </w:p>
    <w:p w:rsidR="00997958" w:rsidRPr="00993130" w:rsidRDefault="00997958" w:rsidP="00997958">
      <w:pPr>
        <w:spacing w:before="240" w:after="120"/>
        <w:contextualSpacing/>
        <w:jc w:val="both"/>
        <w:rPr>
          <w:rFonts w:ascii="Lato" w:hAnsi="Lato"/>
        </w:rPr>
      </w:pPr>
      <w:r w:rsidRPr="00993130">
        <w:rPr>
          <w:rFonts w:ascii="Lato" w:hAnsi="Lato"/>
        </w:rPr>
        <w:t xml:space="preserve">The </w:t>
      </w:r>
      <w:r w:rsidR="00274B85">
        <w:rPr>
          <w:rFonts w:ascii="Lato" w:hAnsi="Lato"/>
        </w:rPr>
        <w:t xml:space="preserve">2019 </w:t>
      </w:r>
      <w:r>
        <w:rPr>
          <w:rFonts w:ascii="Lato" w:hAnsi="Lato"/>
        </w:rPr>
        <w:t xml:space="preserve">International Women’s Day Grants open on </w:t>
      </w:r>
      <w:r w:rsidR="00274B85">
        <w:rPr>
          <w:rFonts w:ascii="Lato" w:hAnsi="Lato"/>
        </w:rPr>
        <w:t>1</w:t>
      </w:r>
      <w:r>
        <w:rPr>
          <w:rFonts w:ascii="Lato" w:hAnsi="Lato"/>
        </w:rPr>
        <w:t xml:space="preserve"> October and close on </w:t>
      </w:r>
      <w:r w:rsidR="00274B85">
        <w:rPr>
          <w:rFonts w:ascii="Lato" w:hAnsi="Lato"/>
        </w:rPr>
        <w:t>16</w:t>
      </w:r>
      <w:r>
        <w:rPr>
          <w:rFonts w:ascii="Lato" w:hAnsi="Lato"/>
        </w:rPr>
        <w:t xml:space="preserve"> November </w:t>
      </w:r>
      <w:r w:rsidR="00274B85">
        <w:rPr>
          <w:rFonts w:ascii="Lato" w:hAnsi="Lato"/>
        </w:rPr>
        <w:t>2018.</w:t>
      </w:r>
    </w:p>
    <w:p w:rsidR="00997958" w:rsidRPr="00363158" w:rsidRDefault="00997958" w:rsidP="00997958">
      <w:pPr>
        <w:pStyle w:val="Heading2"/>
        <w:numPr>
          <w:ilvl w:val="0"/>
          <w:numId w:val="0"/>
        </w:numPr>
        <w:contextualSpacing/>
        <w:rPr>
          <w:rFonts w:ascii="Lato" w:hAnsi="Lato"/>
          <w:color w:val="E36C0A" w:themeColor="accent6" w:themeShade="BF"/>
          <w:szCs w:val="22"/>
        </w:rPr>
      </w:pPr>
      <w:r>
        <w:rPr>
          <w:rFonts w:ascii="Lato" w:hAnsi="Lato"/>
          <w:color w:val="E36C0A" w:themeColor="accent6" w:themeShade="BF"/>
          <w:szCs w:val="22"/>
        </w:rPr>
        <w:t>CRITERIA FOR FUNDING CONSIDERATION</w:t>
      </w:r>
    </w:p>
    <w:p w:rsidR="00997958" w:rsidRDefault="00997958" w:rsidP="00997958">
      <w:pPr>
        <w:pStyle w:val="Header"/>
        <w:tabs>
          <w:tab w:val="clear" w:pos="4513"/>
          <w:tab w:val="clear" w:pos="9026"/>
        </w:tabs>
        <w:spacing w:after="120"/>
        <w:jc w:val="both"/>
        <w:rPr>
          <w:rFonts w:ascii="Lato" w:hAnsi="Lato"/>
          <w:b w:val="0"/>
        </w:rPr>
      </w:pPr>
      <w:r w:rsidRPr="00993130">
        <w:rPr>
          <w:rFonts w:ascii="Lato" w:hAnsi="Lato"/>
          <w:b w:val="0"/>
        </w:rPr>
        <w:t xml:space="preserve">Grants will be </w:t>
      </w:r>
      <w:r>
        <w:rPr>
          <w:rFonts w:ascii="Lato" w:hAnsi="Lato"/>
          <w:b w:val="0"/>
        </w:rPr>
        <w:t>considered for programs, initiatives and activities</w:t>
      </w:r>
      <w:r w:rsidRPr="00993130">
        <w:rPr>
          <w:rFonts w:ascii="Lato" w:hAnsi="Lato"/>
          <w:b w:val="0"/>
        </w:rPr>
        <w:t xml:space="preserve"> </w:t>
      </w:r>
      <w:r>
        <w:rPr>
          <w:rFonts w:ascii="Lato" w:hAnsi="Lato"/>
          <w:b w:val="0"/>
        </w:rPr>
        <w:t>to be held on or around International Women’s Day that meet at least two of the following criteria.</w:t>
      </w:r>
    </w:p>
    <w:p w:rsidR="00997958" w:rsidRPr="00931949" w:rsidRDefault="00997958" w:rsidP="00997958">
      <w:pPr>
        <w:pStyle w:val="ListParagraph"/>
        <w:numPr>
          <w:ilvl w:val="1"/>
          <w:numId w:val="61"/>
        </w:numPr>
        <w:ind w:left="709"/>
        <w:contextualSpacing/>
        <w:rPr>
          <w:rFonts w:ascii="Lato" w:eastAsia="Calibri" w:hAnsi="Lato"/>
          <w:iCs w:val="0"/>
        </w:rPr>
      </w:pPr>
      <w:r w:rsidRPr="00931949">
        <w:rPr>
          <w:rFonts w:ascii="Lato" w:eastAsia="Calibri" w:hAnsi="Lato"/>
          <w:iCs w:val="0"/>
        </w:rPr>
        <w:t>Celebrate International Women’s Day</w:t>
      </w:r>
    </w:p>
    <w:p w:rsidR="00997958" w:rsidRPr="00931949" w:rsidRDefault="00997958" w:rsidP="00997958">
      <w:pPr>
        <w:pStyle w:val="ListParagraph"/>
        <w:numPr>
          <w:ilvl w:val="1"/>
          <w:numId w:val="61"/>
        </w:numPr>
        <w:ind w:left="709"/>
        <w:contextualSpacing/>
        <w:rPr>
          <w:rFonts w:ascii="Lato" w:eastAsia="Calibri" w:hAnsi="Lato"/>
          <w:iCs w:val="0"/>
        </w:rPr>
      </w:pPr>
      <w:r w:rsidRPr="00931949">
        <w:rPr>
          <w:rFonts w:ascii="Lato" w:eastAsia="Calibri" w:hAnsi="Lato"/>
          <w:iCs w:val="0"/>
        </w:rPr>
        <w:t>Celebrate women’s diversity and social, political and economic achievements</w:t>
      </w:r>
    </w:p>
    <w:p w:rsidR="00997958" w:rsidRPr="00931949" w:rsidRDefault="00997958" w:rsidP="00997958">
      <w:pPr>
        <w:pStyle w:val="ListParagraph"/>
        <w:numPr>
          <w:ilvl w:val="1"/>
          <w:numId w:val="61"/>
        </w:numPr>
        <w:ind w:left="709"/>
        <w:contextualSpacing/>
        <w:rPr>
          <w:rFonts w:ascii="Lato" w:eastAsia="Calibri" w:hAnsi="Lato"/>
          <w:iCs w:val="0"/>
        </w:rPr>
      </w:pPr>
      <w:r w:rsidRPr="00931949">
        <w:rPr>
          <w:rFonts w:ascii="Lato" w:eastAsia="Calibri" w:hAnsi="Lato"/>
          <w:iCs w:val="0"/>
        </w:rPr>
        <w:t>Educate the community about International Women’s Day</w:t>
      </w:r>
    </w:p>
    <w:p w:rsidR="00997958" w:rsidRPr="00931949" w:rsidRDefault="00997958" w:rsidP="00997958">
      <w:pPr>
        <w:pStyle w:val="ListParagraph"/>
        <w:numPr>
          <w:ilvl w:val="1"/>
          <w:numId w:val="61"/>
        </w:numPr>
        <w:ind w:left="709"/>
        <w:contextualSpacing/>
        <w:rPr>
          <w:rFonts w:ascii="Lato" w:eastAsia="Calibri" w:hAnsi="Lato"/>
          <w:iCs w:val="0"/>
        </w:rPr>
      </w:pPr>
      <w:r w:rsidRPr="00931949">
        <w:rPr>
          <w:rFonts w:ascii="Lato" w:eastAsia="Calibri" w:hAnsi="Lato"/>
          <w:iCs w:val="0"/>
        </w:rPr>
        <w:t>Encourage reflection and discussion about issues regarding gender inequality</w:t>
      </w:r>
    </w:p>
    <w:p w:rsidR="00997958" w:rsidRPr="00931949" w:rsidRDefault="00997958" w:rsidP="00997958">
      <w:pPr>
        <w:pStyle w:val="ListParagraph"/>
        <w:numPr>
          <w:ilvl w:val="1"/>
          <w:numId w:val="61"/>
        </w:numPr>
        <w:ind w:left="709"/>
        <w:contextualSpacing/>
        <w:rPr>
          <w:rFonts w:ascii="Lato" w:eastAsia="Calibri" w:hAnsi="Lato"/>
          <w:iCs w:val="0"/>
        </w:rPr>
      </w:pPr>
      <w:r w:rsidRPr="00931949">
        <w:rPr>
          <w:rFonts w:ascii="Lato" w:eastAsia="Calibri" w:hAnsi="Lato"/>
          <w:iCs w:val="0"/>
        </w:rPr>
        <w:t>Encourage community participation in International Women’s Day</w:t>
      </w:r>
      <w:r w:rsidR="00D673C0">
        <w:rPr>
          <w:rFonts w:ascii="Lato" w:eastAsia="Calibri" w:hAnsi="Lato"/>
          <w:iCs w:val="0"/>
        </w:rPr>
        <w:t xml:space="preserve"> events</w:t>
      </w:r>
    </w:p>
    <w:p w:rsidR="00084C67" w:rsidRPr="00931949" w:rsidRDefault="00084C67" w:rsidP="00084C67">
      <w:pPr>
        <w:rPr>
          <w:rFonts w:ascii="Lato" w:hAnsi="Lato"/>
        </w:rPr>
      </w:pPr>
      <w:r w:rsidRPr="00931949">
        <w:rPr>
          <w:rFonts w:ascii="Lato" w:hAnsi="Lato"/>
        </w:rPr>
        <w:t>Applicants must:</w:t>
      </w:r>
    </w:p>
    <w:p w:rsidR="00084C67" w:rsidRPr="00931949" w:rsidRDefault="00084C67" w:rsidP="006402B5">
      <w:pPr>
        <w:pStyle w:val="ListParagraph"/>
        <w:numPr>
          <w:ilvl w:val="0"/>
          <w:numId w:val="49"/>
        </w:numPr>
        <w:spacing w:after="0"/>
        <w:rPr>
          <w:rFonts w:ascii="Lato" w:eastAsia="Calibri" w:hAnsi="Lato"/>
          <w:iCs w:val="0"/>
        </w:rPr>
      </w:pPr>
      <w:r w:rsidRPr="00931949">
        <w:rPr>
          <w:rFonts w:ascii="Lato" w:eastAsia="Calibri" w:hAnsi="Lato"/>
          <w:iCs w:val="0"/>
        </w:rPr>
        <w:t>provide all of the information requested inclu</w:t>
      </w:r>
      <w:r w:rsidR="00D673C0">
        <w:rPr>
          <w:rFonts w:ascii="Lato" w:eastAsia="Calibri" w:hAnsi="Lato"/>
          <w:iCs w:val="0"/>
        </w:rPr>
        <w:t>ding a detailed itemised budget</w:t>
      </w:r>
    </w:p>
    <w:p w:rsidR="00084C67" w:rsidRPr="00931949" w:rsidRDefault="00084C67" w:rsidP="006402B5">
      <w:pPr>
        <w:pStyle w:val="ListParagraph"/>
        <w:numPr>
          <w:ilvl w:val="0"/>
          <w:numId w:val="49"/>
        </w:numPr>
        <w:spacing w:after="0"/>
        <w:rPr>
          <w:rFonts w:ascii="Lato" w:eastAsia="Calibri" w:hAnsi="Lato"/>
          <w:iCs w:val="0"/>
        </w:rPr>
      </w:pPr>
      <w:r w:rsidRPr="00931949">
        <w:rPr>
          <w:rFonts w:ascii="Lato" w:eastAsia="Calibri" w:hAnsi="Lato"/>
          <w:iCs w:val="0"/>
        </w:rPr>
        <w:t>include an outline of the p</w:t>
      </w:r>
      <w:r w:rsidR="00D673C0">
        <w:rPr>
          <w:rFonts w:ascii="Lato" w:eastAsia="Calibri" w:hAnsi="Lato"/>
          <w:iCs w:val="0"/>
        </w:rPr>
        <w:t>lans for promoting the activity</w:t>
      </w:r>
    </w:p>
    <w:p w:rsidR="00084C67" w:rsidRPr="00931949" w:rsidRDefault="00084C67" w:rsidP="006402B5">
      <w:pPr>
        <w:pStyle w:val="ListParagraph"/>
        <w:numPr>
          <w:ilvl w:val="0"/>
          <w:numId w:val="49"/>
        </w:numPr>
        <w:spacing w:after="0"/>
        <w:rPr>
          <w:rFonts w:ascii="Lato" w:eastAsia="Calibri" w:hAnsi="Lato"/>
          <w:iCs w:val="0"/>
        </w:rPr>
      </w:pPr>
      <w:r w:rsidRPr="00931949">
        <w:rPr>
          <w:rFonts w:ascii="Lato" w:eastAsia="Calibri" w:hAnsi="Lato"/>
          <w:iCs w:val="0"/>
        </w:rPr>
        <w:t>de</w:t>
      </w:r>
      <w:r w:rsidR="00D673C0">
        <w:rPr>
          <w:rFonts w:ascii="Lato" w:eastAsia="Calibri" w:hAnsi="Lato"/>
          <w:iCs w:val="0"/>
        </w:rPr>
        <w:t>monstrate a need for assistance</w:t>
      </w:r>
    </w:p>
    <w:p w:rsidR="00084C67" w:rsidRPr="00931949" w:rsidRDefault="00084C67" w:rsidP="006402B5">
      <w:pPr>
        <w:pStyle w:val="ListParagraph"/>
        <w:numPr>
          <w:ilvl w:val="0"/>
          <w:numId w:val="49"/>
        </w:numPr>
        <w:spacing w:after="0"/>
        <w:rPr>
          <w:rFonts w:ascii="Lato" w:eastAsia="Calibri" w:hAnsi="Lato"/>
          <w:iCs w:val="0"/>
        </w:rPr>
      </w:pPr>
      <w:r w:rsidRPr="00931949">
        <w:rPr>
          <w:rFonts w:ascii="Lato" w:eastAsia="Calibri" w:hAnsi="Lato"/>
          <w:iCs w:val="0"/>
        </w:rPr>
        <w:t xml:space="preserve">demonstrate an ability to manage the funds </w:t>
      </w:r>
      <w:r w:rsidR="00D673C0">
        <w:rPr>
          <w:rFonts w:ascii="Lato" w:eastAsia="Calibri" w:hAnsi="Lato"/>
          <w:iCs w:val="0"/>
        </w:rPr>
        <w:t>and the project effectively</w:t>
      </w:r>
    </w:p>
    <w:p w:rsidR="006402B5" w:rsidRPr="00931949" w:rsidRDefault="00084C67" w:rsidP="00363158">
      <w:pPr>
        <w:pStyle w:val="ListParagraph"/>
        <w:numPr>
          <w:ilvl w:val="0"/>
          <w:numId w:val="49"/>
        </w:numPr>
        <w:ind w:left="714" w:hanging="357"/>
        <w:rPr>
          <w:rFonts w:ascii="Lato" w:eastAsia="Calibri" w:hAnsi="Lato"/>
          <w:iCs w:val="0"/>
        </w:rPr>
      </w:pPr>
      <w:r w:rsidRPr="00931949">
        <w:rPr>
          <w:rFonts w:ascii="Lato" w:eastAsia="Calibri" w:hAnsi="Lato"/>
          <w:iCs w:val="0"/>
        </w:rPr>
        <w:t>contribute to the project through funding or 'in kind' support.</w:t>
      </w:r>
    </w:p>
    <w:p w:rsidR="00993130" w:rsidRPr="00931949" w:rsidRDefault="00B10466" w:rsidP="00363158">
      <w:pPr>
        <w:spacing w:before="240"/>
        <w:jc w:val="both"/>
        <w:rPr>
          <w:rFonts w:ascii="Lato" w:hAnsi="Lato"/>
        </w:rPr>
      </w:pPr>
      <w:r w:rsidRPr="00931949">
        <w:rPr>
          <w:rFonts w:ascii="Lato" w:hAnsi="Lato"/>
        </w:rPr>
        <w:t>The Office of Gender Equity and Diversity encourages applications from people and organisations across the Northern Territory including remote and regional areas.</w:t>
      </w:r>
    </w:p>
    <w:p w:rsidR="0034223A" w:rsidRPr="00931949" w:rsidRDefault="00993130" w:rsidP="00993130">
      <w:pPr>
        <w:jc w:val="both"/>
        <w:rPr>
          <w:rFonts w:ascii="Lato" w:hAnsi="Lato"/>
        </w:rPr>
      </w:pPr>
      <w:r w:rsidRPr="00931949">
        <w:rPr>
          <w:rFonts w:ascii="Lato" w:hAnsi="Lato"/>
        </w:rPr>
        <w:t>Please note: the pool of grant funding is limited and the number of applications received by the Office of Gender Equity and Diversity often exceeds the amount of funding available. The selection process is competitive, therefore funding is not automatic and should not be anticipated. Furthermore, grant funding will generally not cover the total cost of any project.</w:t>
      </w:r>
    </w:p>
    <w:p w:rsidR="00EF0F03" w:rsidRPr="00363158" w:rsidRDefault="00EF0F03" w:rsidP="00EF0F03">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FUNDING IS NOT ABLE TO SUPPORT</w:t>
      </w:r>
    </w:p>
    <w:p w:rsidR="00084C67" w:rsidRPr="00993130" w:rsidRDefault="00084C67" w:rsidP="006402B5">
      <w:pPr>
        <w:pStyle w:val="ListParagraph"/>
        <w:numPr>
          <w:ilvl w:val="0"/>
          <w:numId w:val="49"/>
        </w:numPr>
        <w:spacing w:after="0"/>
        <w:rPr>
          <w:rFonts w:ascii="Lato" w:hAnsi="Lato"/>
        </w:rPr>
      </w:pPr>
      <w:r w:rsidRPr="00993130">
        <w:rPr>
          <w:rFonts w:ascii="Lato" w:hAnsi="Lato"/>
        </w:rPr>
        <w:t>any activ</w:t>
      </w:r>
      <w:r w:rsidR="00D673C0">
        <w:rPr>
          <w:rFonts w:ascii="Lato" w:hAnsi="Lato"/>
        </w:rPr>
        <w:t>ity of a political party nature</w:t>
      </w:r>
    </w:p>
    <w:p w:rsidR="00084C67" w:rsidRPr="00993130" w:rsidRDefault="00084C67" w:rsidP="006402B5">
      <w:pPr>
        <w:pStyle w:val="ListParagraph"/>
        <w:numPr>
          <w:ilvl w:val="0"/>
          <w:numId w:val="49"/>
        </w:numPr>
        <w:spacing w:after="0"/>
        <w:rPr>
          <w:rFonts w:ascii="Lato" w:hAnsi="Lato"/>
        </w:rPr>
      </w:pPr>
      <w:r w:rsidRPr="00993130">
        <w:rPr>
          <w:rFonts w:ascii="Lato" w:hAnsi="Lato"/>
        </w:rPr>
        <w:t xml:space="preserve">any activity of </w:t>
      </w:r>
      <w:r w:rsidR="00D673C0">
        <w:rPr>
          <w:rFonts w:ascii="Lato" w:hAnsi="Lato"/>
        </w:rPr>
        <w:t>a commercial or business nature</w:t>
      </w:r>
    </w:p>
    <w:p w:rsidR="00084C67" w:rsidRPr="00993130" w:rsidRDefault="00084C67" w:rsidP="006402B5">
      <w:pPr>
        <w:pStyle w:val="ListParagraph"/>
        <w:numPr>
          <w:ilvl w:val="0"/>
          <w:numId w:val="49"/>
        </w:numPr>
        <w:spacing w:after="0"/>
        <w:rPr>
          <w:rFonts w:ascii="Lato" w:hAnsi="Lato"/>
        </w:rPr>
      </w:pPr>
      <w:r w:rsidRPr="00993130">
        <w:rPr>
          <w:rFonts w:ascii="Lato" w:hAnsi="Lato"/>
        </w:rPr>
        <w:t>alcoholic b</w:t>
      </w:r>
      <w:r w:rsidR="00D673C0">
        <w:rPr>
          <w:rFonts w:ascii="Lato" w:hAnsi="Lato"/>
        </w:rPr>
        <w:t>everages for the event/function</w:t>
      </w:r>
    </w:p>
    <w:p w:rsidR="00084C67" w:rsidRPr="00993130" w:rsidRDefault="00084C67" w:rsidP="006402B5">
      <w:pPr>
        <w:pStyle w:val="ListParagraph"/>
        <w:numPr>
          <w:ilvl w:val="0"/>
          <w:numId w:val="49"/>
        </w:numPr>
        <w:spacing w:after="0"/>
        <w:rPr>
          <w:rFonts w:ascii="Lato" w:hAnsi="Lato"/>
        </w:rPr>
      </w:pPr>
      <w:r w:rsidRPr="00993130">
        <w:rPr>
          <w:rFonts w:ascii="Lato" w:hAnsi="Lato"/>
        </w:rPr>
        <w:t>set-up or running costs of a business, purchase of capital equipment (</w:t>
      </w:r>
      <w:r w:rsidR="00D673C0">
        <w:rPr>
          <w:rFonts w:ascii="Lato" w:hAnsi="Lato"/>
        </w:rPr>
        <w:t>including hardware or software)</w:t>
      </w:r>
    </w:p>
    <w:p w:rsidR="00084C67" w:rsidRPr="00993130" w:rsidRDefault="00084C67" w:rsidP="006402B5">
      <w:pPr>
        <w:pStyle w:val="ListParagraph"/>
        <w:numPr>
          <w:ilvl w:val="0"/>
          <w:numId w:val="49"/>
        </w:numPr>
        <w:spacing w:after="0"/>
        <w:rPr>
          <w:rFonts w:ascii="Lato" w:hAnsi="Lato"/>
        </w:rPr>
      </w:pPr>
      <w:r w:rsidRPr="00993130">
        <w:rPr>
          <w:rFonts w:ascii="Lato" w:hAnsi="Lato"/>
        </w:rPr>
        <w:t>retrospective funding for projects, functions, services that have already started or have been completed or items that have already been provided or prev</w:t>
      </w:r>
      <w:r w:rsidR="00D673C0">
        <w:rPr>
          <w:rFonts w:ascii="Lato" w:hAnsi="Lato"/>
        </w:rPr>
        <w:t>iously purchased</w:t>
      </w:r>
    </w:p>
    <w:p w:rsidR="00084C67" w:rsidRPr="00993130" w:rsidRDefault="00084C67" w:rsidP="006402B5">
      <w:pPr>
        <w:pStyle w:val="ListParagraph"/>
        <w:numPr>
          <w:ilvl w:val="0"/>
          <w:numId w:val="49"/>
        </w:numPr>
        <w:spacing w:after="0"/>
        <w:rPr>
          <w:rFonts w:ascii="Lato" w:hAnsi="Lato"/>
        </w:rPr>
      </w:pPr>
      <w:r w:rsidRPr="00993130">
        <w:rPr>
          <w:rFonts w:ascii="Lato" w:hAnsi="Lato"/>
        </w:rPr>
        <w:t xml:space="preserve">projects by organisations established for profit or financial gain </w:t>
      </w:r>
      <w:r w:rsidR="00937F24">
        <w:rPr>
          <w:rFonts w:ascii="Lato" w:hAnsi="Lato"/>
        </w:rPr>
        <w:t>or increase</w:t>
      </w:r>
      <w:r w:rsidR="00B10466">
        <w:rPr>
          <w:rFonts w:ascii="Lato" w:hAnsi="Lato"/>
        </w:rPr>
        <w:t>d</w:t>
      </w:r>
      <w:r w:rsidRPr="00993130">
        <w:rPr>
          <w:rFonts w:ascii="Lato" w:hAnsi="Lato"/>
        </w:rPr>
        <w:t xml:space="preserve"> members</w:t>
      </w:r>
      <w:r w:rsidR="00937F24">
        <w:rPr>
          <w:rFonts w:ascii="Lato" w:hAnsi="Lato"/>
        </w:rPr>
        <w:t>hip</w:t>
      </w:r>
    </w:p>
    <w:p w:rsidR="00084C67" w:rsidRPr="00993130" w:rsidRDefault="00084C67" w:rsidP="006402B5">
      <w:pPr>
        <w:pStyle w:val="ListParagraph"/>
        <w:numPr>
          <w:ilvl w:val="0"/>
          <w:numId w:val="49"/>
        </w:numPr>
        <w:spacing w:after="0"/>
        <w:rPr>
          <w:rFonts w:ascii="Lato" w:hAnsi="Lato"/>
        </w:rPr>
      </w:pPr>
      <w:r w:rsidRPr="00993130">
        <w:rPr>
          <w:rFonts w:ascii="Lato" w:hAnsi="Lato"/>
        </w:rPr>
        <w:t>projects that duplicate existing serv</w:t>
      </w:r>
      <w:r w:rsidR="00D673C0">
        <w:rPr>
          <w:rFonts w:ascii="Lato" w:hAnsi="Lato"/>
        </w:rPr>
        <w:t>ices available to the community</w:t>
      </w:r>
    </w:p>
    <w:p w:rsidR="00084C67" w:rsidRPr="00993130" w:rsidRDefault="00D673C0" w:rsidP="006402B5">
      <w:pPr>
        <w:pStyle w:val="ListParagraph"/>
        <w:numPr>
          <w:ilvl w:val="0"/>
          <w:numId w:val="49"/>
        </w:numPr>
        <w:spacing w:after="0"/>
        <w:rPr>
          <w:rFonts w:ascii="Lato" w:hAnsi="Lato"/>
        </w:rPr>
      </w:pPr>
      <w:r>
        <w:rPr>
          <w:rFonts w:ascii="Lato" w:hAnsi="Lato"/>
        </w:rPr>
        <w:t>deficit budgets</w:t>
      </w:r>
    </w:p>
    <w:p w:rsidR="00084C67" w:rsidRPr="00993130" w:rsidRDefault="00D673C0" w:rsidP="006402B5">
      <w:pPr>
        <w:pStyle w:val="ListParagraph"/>
        <w:numPr>
          <w:ilvl w:val="0"/>
          <w:numId w:val="49"/>
        </w:numPr>
        <w:spacing w:after="0"/>
        <w:rPr>
          <w:rFonts w:ascii="Lato" w:hAnsi="Lato"/>
        </w:rPr>
      </w:pPr>
      <w:r>
        <w:rPr>
          <w:rFonts w:ascii="Lato" w:hAnsi="Lato"/>
        </w:rPr>
        <w:t>real estate purchases</w:t>
      </w:r>
    </w:p>
    <w:p w:rsidR="00084C67" w:rsidRDefault="00084C67" w:rsidP="006402B5">
      <w:pPr>
        <w:pStyle w:val="ListParagraph"/>
        <w:numPr>
          <w:ilvl w:val="0"/>
          <w:numId w:val="49"/>
        </w:numPr>
        <w:spacing w:after="0"/>
        <w:rPr>
          <w:rFonts w:ascii="Lato" w:hAnsi="Lato"/>
        </w:rPr>
      </w:pPr>
      <w:r w:rsidRPr="00993130">
        <w:rPr>
          <w:rFonts w:ascii="Lato" w:hAnsi="Lato"/>
        </w:rPr>
        <w:t xml:space="preserve">management or administration fees of the </w:t>
      </w:r>
      <w:r w:rsidR="00D673C0">
        <w:rPr>
          <w:rFonts w:ascii="Lato" w:hAnsi="Lato"/>
        </w:rPr>
        <w:t>organisation or wages for staff</w:t>
      </w:r>
    </w:p>
    <w:p w:rsidR="00937F24" w:rsidRPr="00993130" w:rsidRDefault="005C49D8" w:rsidP="006402B5">
      <w:pPr>
        <w:pStyle w:val="ListParagraph"/>
        <w:numPr>
          <w:ilvl w:val="0"/>
          <w:numId w:val="49"/>
        </w:numPr>
        <w:spacing w:after="0"/>
        <w:rPr>
          <w:rFonts w:ascii="Lato" w:hAnsi="Lato"/>
        </w:rPr>
      </w:pPr>
      <w:r>
        <w:rPr>
          <w:rFonts w:ascii="Lato" w:hAnsi="Lato"/>
        </w:rPr>
        <w:t>p</w:t>
      </w:r>
      <w:r w:rsidR="00937F24">
        <w:rPr>
          <w:rFonts w:ascii="Lato" w:hAnsi="Lato"/>
        </w:rPr>
        <w:t xml:space="preserve">romotion and advertising of </w:t>
      </w:r>
      <w:r w:rsidR="00B10466">
        <w:rPr>
          <w:rFonts w:ascii="Lato" w:hAnsi="Lato"/>
        </w:rPr>
        <w:t>the project</w:t>
      </w:r>
    </w:p>
    <w:p w:rsidR="00084C67" w:rsidRPr="00993130" w:rsidRDefault="00084C67" w:rsidP="006402B5">
      <w:pPr>
        <w:pStyle w:val="ListParagraph"/>
        <w:numPr>
          <w:ilvl w:val="0"/>
          <w:numId w:val="49"/>
        </w:numPr>
        <w:spacing w:after="0"/>
        <w:rPr>
          <w:rFonts w:ascii="Lato" w:hAnsi="Lato"/>
        </w:rPr>
      </w:pPr>
      <w:r w:rsidRPr="00993130">
        <w:rPr>
          <w:rFonts w:ascii="Lato" w:hAnsi="Lato"/>
        </w:rPr>
        <w:t>fees in association with printing and s</w:t>
      </w:r>
      <w:r w:rsidR="00D673C0">
        <w:rPr>
          <w:rFonts w:ascii="Lato" w:hAnsi="Lato"/>
        </w:rPr>
        <w:t>tationary costs for the project</w:t>
      </w:r>
    </w:p>
    <w:p w:rsidR="0034223A" w:rsidRPr="00363158" w:rsidRDefault="00084C67" w:rsidP="00F02CD3">
      <w:pPr>
        <w:pStyle w:val="ListParagraph"/>
        <w:numPr>
          <w:ilvl w:val="0"/>
          <w:numId w:val="49"/>
        </w:numPr>
        <w:rPr>
          <w:rFonts w:ascii="Lato" w:hAnsi="Lato"/>
        </w:rPr>
      </w:pPr>
      <w:r w:rsidRPr="00993130">
        <w:rPr>
          <w:rFonts w:ascii="Lato" w:hAnsi="Lato"/>
        </w:rPr>
        <w:t>other items that the panel assess as not meeting the aims/objectives of the grants.</w:t>
      </w:r>
    </w:p>
    <w:p w:rsidR="00084C67" w:rsidRPr="00363158" w:rsidRDefault="00084C67" w:rsidP="00363158">
      <w:pPr>
        <w:pStyle w:val="Heading2"/>
        <w:numPr>
          <w:ilvl w:val="0"/>
          <w:numId w:val="0"/>
        </w:numPr>
        <w:ind w:left="576" w:hanging="576"/>
        <w:contextualSpacing/>
        <w:rPr>
          <w:rFonts w:ascii="Lato" w:hAnsi="Lato"/>
          <w:color w:val="E36C0A" w:themeColor="accent6" w:themeShade="BF"/>
          <w:szCs w:val="22"/>
        </w:rPr>
      </w:pPr>
      <w:r w:rsidRPr="00363158">
        <w:rPr>
          <w:rFonts w:ascii="Lato" w:hAnsi="Lato"/>
          <w:color w:val="E36C0A" w:themeColor="accent6" w:themeShade="BF"/>
          <w:szCs w:val="22"/>
        </w:rPr>
        <w:t>ASSESSMENT PROCESS</w:t>
      </w:r>
    </w:p>
    <w:p w:rsidR="00084C67" w:rsidRPr="00993130" w:rsidRDefault="00084C67" w:rsidP="00363158">
      <w:pPr>
        <w:contextualSpacing/>
        <w:jc w:val="both"/>
        <w:rPr>
          <w:rFonts w:ascii="Lato" w:hAnsi="Lato"/>
        </w:rPr>
      </w:pPr>
      <w:r w:rsidRPr="00993130">
        <w:rPr>
          <w:rFonts w:ascii="Lato" w:hAnsi="Lato"/>
        </w:rPr>
        <w:t xml:space="preserve">All applications received are acknowledged in writing from </w:t>
      </w:r>
      <w:r w:rsidR="00A82068" w:rsidRPr="00993130">
        <w:rPr>
          <w:rFonts w:ascii="Lato" w:hAnsi="Lato"/>
        </w:rPr>
        <w:t>the Office of Gender Equity and Diversity</w:t>
      </w:r>
      <w:r w:rsidRPr="00993130">
        <w:rPr>
          <w:rFonts w:ascii="Lato" w:hAnsi="Lato"/>
        </w:rPr>
        <w:t>. When assessing applications, the following will be taken into account:</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 xml:space="preserve">whether the application meets </w:t>
      </w:r>
      <w:r w:rsidR="00937F24">
        <w:rPr>
          <w:rFonts w:ascii="Lato" w:hAnsi="Lato"/>
        </w:rPr>
        <w:t xml:space="preserve">the </w:t>
      </w:r>
      <w:r w:rsidR="00937F24" w:rsidRPr="00D673C0">
        <w:rPr>
          <w:rFonts w:ascii="Lato" w:hAnsi="Lato"/>
        </w:rPr>
        <w:t>Selection Criteria</w:t>
      </w:r>
    </w:p>
    <w:p w:rsidR="00084C67" w:rsidRPr="00993130" w:rsidRDefault="00937F24" w:rsidP="00D72BD1">
      <w:pPr>
        <w:pStyle w:val="ListParagraph"/>
        <w:numPr>
          <w:ilvl w:val="0"/>
          <w:numId w:val="49"/>
        </w:numPr>
        <w:spacing w:after="0"/>
        <w:jc w:val="both"/>
        <w:rPr>
          <w:rFonts w:ascii="Lato" w:hAnsi="Lato"/>
        </w:rPr>
      </w:pPr>
      <w:r>
        <w:rPr>
          <w:rFonts w:ascii="Lato" w:hAnsi="Lato"/>
        </w:rPr>
        <w:lastRenderedPageBreak/>
        <w:t>program/p</w:t>
      </w:r>
      <w:r w:rsidR="00084C67" w:rsidRPr="00993130">
        <w:rPr>
          <w:rFonts w:ascii="Lato" w:hAnsi="Lato"/>
        </w:rPr>
        <w:t xml:space="preserve">roject </w:t>
      </w:r>
      <w:r w:rsidR="00D673C0">
        <w:rPr>
          <w:rFonts w:ascii="Lato" w:hAnsi="Lato"/>
        </w:rPr>
        <w:t>innovation</w:t>
      </w:r>
    </w:p>
    <w:p w:rsidR="00937F24" w:rsidRPr="00363158" w:rsidRDefault="00084C67" w:rsidP="00B17FDE">
      <w:pPr>
        <w:pStyle w:val="ListParagraph"/>
        <w:numPr>
          <w:ilvl w:val="0"/>
          <w:numId w:val="49"/>
        </w:numPr>
        <w:spacing w:after="0"/>
        <w:jc w:val="both"/>
        <w:rPr>
          <w:rFonts w:ascii="Lato" w:hAnsi="Lato"/>
        </w:rPr>
      </w:pPr>
      <w:r w:rsidRPr="00993130">
        <w:rPr>
          <w:rFonts w:ascii="Lato" w:hAnsi="Lato"/>
        </w:rPr>
        <w:t>identifiable benefits to Northern Territor</w:t>
      </w:r>
      <w:r w:rsidR="00A82068" w:rsidRPr="00993130">
        <w:rPr>
          <w:rFonts w:ascii="Lato" w:hAnsi="Lato"/>
        </w:rPr>
        <w:t>ians</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level of earned income and the level of support (includ</w:t>
      </w:r>
      <w:r w:rsidR="00D673C0">
        <w:rPr>
          <w:rFonts w:ascii="Lato" w:hAnsi="Lato"/>
        </w:rPr>
        <w:t>ing in kind) from other sources</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budget viabili</w:t>
      </w:r>
      <w:r w:rsidR="00D673C0">
        <w:rPr>
          <w:rFonts w:ascii="Lato" w:hAnsi="Lato"/>
        </w:rPr>
        <w:t>ty and financial management</w:t>
      </w:r>
    </w:p>
    <w:p w:rsidR="00084C67" w:rsidRPr="00993130" w:rsidRDefault="00084C67" w:rsidP="00D72BD1">
      <w:pPr>
        <w:pStyle w:val="ListParagraph"/>
        <w:numPr>
          <w:ilvl w:val="0"/>
          <w:numId w:val="49"/>
        </w:numPr>
        <w:spacing w:after="0"/>
        <w:jc w:val="both"/>
        <w:rPr>
          <w:rFonts w:ascii="Lato" w:hAnsi="Lato"/>
        </w:rPr>
      </w:pPr>
      <w:r w:rsidRPr="00993130">
        <w:rPr>
          <w:rFonts w:ascii="Lato" w:hAnsi="Lato"/>
        </w:rPr>
        <w:t>past performance of the organisation in relation to meeting its aims and objectives.</w:t>
      </w:r>
    </w:p>
    <w:p w:rsidR="00084C67" w:rsidRPr="00993130" w:rsidRDefault="00084C67" w:rsidP="00000664">
      <w:pPr>
        <w:spacing w:before="240"/>
        <w:rPr>
          <w:rFonts w:ascii="Lato" w:hAnsi="Lato"/>
        </w:rPr>
      </w:pPr>
      <w:r w:rsidRPr="00993130">
        <w:rPr>
          <w:rFonts w:ascii="Lato" w:hAnsi="Lato"/>
        </w:rPr>
        <w:t>Applications are assessed by a panel comprised of officers from the</w:t>
      </w:r>
      <w:r w:rsidR="0051583E" w:rsidRPr="00993130">
        <w:rPr>
          <w:rFonts w:ascii="Lato" w:hAnsi="Lato"/>
        </w:rPr>
        <w:t xml:space="preserve"> Northern Territory Government.</w:t>
      </w:r>
    </w:p>
    <w:p w:rsidR="00084C67" w:rsidRPr="00993130" w:rsidRDefault="00084C67" w:rsidP="00D72BD1">
      <w:pPr>
        <w:jc w:val="both"/>
        <w:rPr>
          <w:rFonts w:ascii="Lato" w:hAnsi="Lato"/>
        </w:rPr>
      </w:pPr>
      <w:r w:rsidRPr="00993130">
        <w:rPr>
          <w:rFonts w:ascii="Lato" w:hAnsi="Lato"/>
        </w:rPr>
        <w:t>All applicants will be advised of the outcome of their application(s) in writing. All decisions are final and there is no appeal process.</w:t>
      </w:r>
    </w:p>
    <w:p w:rsidR="0034223A" w:rsidRDefault="00084C67" w:rsidP="00D72BD1">
      <w:pPr>
        <w:jc w:val="both"/>
        <w:rPr>
          <w:rFonts w:ascii="Lato" w:hAnsi="Lato"/>
        </w:rPr>
      </w:pPr>
      <w:r w:rsidRPr="00993130">
        <w:rPr>
          <w:rFonts w:ascii="Lato" w:hAnsi="Lato"/>
        </w:rPr>
        <w:t xml:space="preserve">Applications may take up to </w:t>
      </w:r>
      <w:r w:rsidR="00463C7F" w:rsidRPr="00993130">
        <w:rPr>
          <w:rFonts w:ascii="Lato" w:hAnsi="Lato"/>
        </w:rPr>
        <w:t>six</w:t>
      </w:r>
      <w:r w:rsidRPr="00993130">
        <w:rPr>
          <w:rFonts w:ascii="Lato" w:hAnsi="Lato"/>
        </w:rPr>
        <w:t xml:space="preserve"> weeks to process. Please allow for processing time when applying for a grant. Successful grants that do not allow for six weeks processing time may be required to pay for the activity in advance. </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CONDITIONS OF FUND</w:t>
      </w:r>
      <w:bookmarkStart w:id="0" w:name="_GoBack"/>
      <w:bookmarkEnd w:id="0"/>
      <w:r w:rsidRPr="00363158">
        <w:rPr>
          <w:rFonts w:ascii="Lato" w:hAnsi="Lato"/>
          <w:color w:val="E36C0A" w:themeColor="accent6" w:themeShade="BF"/>
          <w:szCs w:val="22"/>
        </w:rPr>
        <w:t>ING</w:t>
      </w:r>
    </w:p>
    <w:p w:rsidR="00084C67" w:rsidRPr="00993130" w:rsidRDefault="00084C67" w:rsidP="00084C67">
      <w:pPr>
        <w:rPr>
          <w:rFonts w:ascii="Lato" w:hAnsi="Lato"/>
        </w:rPr>
      </w:pPr>
      <w:r w:rsidRPr="00993130">
        <w:rPr>
          <w:rFonts w:ascii="Lato" w:hAnsi="Lato"/>
        </w:rPr>
        <w:t>Grant recipients must abide by the following conditions:</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Successful applicants, and where appropriate, administering bodies, will be required to sign a Grant Agreement which outlines the purpose(s) of the grant and the conditions under which the grant is provided. Funds will not be provided until </w:t>
      </w:r>
      <w:r w:rsidR="00463C7F" w:rsidRPr="00993130">
        <w:rPr>
          <w:rFonts w:ascii="Lato" w:hAnsi="Lato"/>
        </w:rPr>
        <w:t xml:space="preserve">the </w:t>
      </w:r>
      <w:r w:rsidR="00A82068" w:rsidRPr="00993130">
        <w:rPr>
          <w:rFonts w:ascii="Lato" w:hAnsi="Lato"/>
        </w:rPr>
        <w:t xml:space="preserve">Territory Families </w:t>
      </w:r>
      <w:r w:rsidRPr="00993130">
        <w:rPr>
          <w:rFonts w:ascii="Lato" w:hAnsi="Lato"/>
        </w:rPr>
        <w:t xml:space="preserve">has received a completed Grant Agreement. </w:t>
      </w:r>
      <w:r w:rsidR="00A82068" w:rsidRPr="00993130">
        <w:rPr>
          <w:rFonts w:ascii="Lato" w:hAnsi="Lato"/>
        </w:rPr>
        <w:t xml:space="preserve">The Office of Gender Equity and Diversity Grants are </w:t>
      </w:r>
      <w:r w:rsidRPr="00993130">
        <w:rPr>
          <w:rFonts w:ascii="Lato" w:hAnsi="Lato"/>
        </w:rPr>
        <w:t xml:space="preserve">exclusive of GST. </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Once the Grant Agreement is signed by the grant recipient, successful applicants will be legally obliged to complete the activity funded by the grant.</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Applicants will need to carefully budget for their project, as </w:t>
      </w:r>
      <w:r w:rsidR="00A82068" w:rsidRPr="00993130">
        <w:rPr>
          <w:rFonts w:ascii="Lato" w:hAnsi="Lato"/>
        </w:rPr>
        <w:t>the Office of Gender Equity and Diversity</w:t>
      </w:r>
      <w:r w:rsidRPr="00993130">
        <w:rPr>
          <w:rFonts w:ascii="Lato" w:hAnsi="Lato"/>
        </w:rPr>
        <w:t xml:space="preserve"> will not be held responsible for any applicant who has underestimated the cost of activities related to the project and incurs a loss.</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If the activity does not occur within the agreed timeframe as specified in the </w:t>
      </w:r>
      <w:r w:rsidR="00B10466">
        <w:rPr>
          <w:rFonts w:ascii="Lato" w:hAnsi="Lato"/>
        </w:rPr>
        <w:t>G</w:t>
      </w:r>
      <w:r w:rsidRPr="00993130">
        <w:rPr>
          <w:rFonts w:ascii="Lato" w:hAnsi="Lato"/>
        </w:rPr>
        <w:t xml:space="preserve">rant </w:t>
      </w:r>
      <w:r w:rsidR="00B10466">
        <w:rPr>
          <w:rFonts w:ascii="Lato" w:hAnsi="Lato"/>
        </w:rPr>
        <w:t>A</w:t>
      </w:r>
      <w:r w:rsidRPr="00993130">
        <w:rPr>
          <w:rFonts w:ascii="Lato" w:hAnsi="Lato"/>
        </w:rPr>
        <w:t xml:space="preserve">greement, the funds must be returned to the Northern Territory Government. A change of date or venue may be considered however must be negotiated with </w:t>
      </w:r>
      <w:r w:rsidR="00A82068" w:rsidRPr="00993130">
        <w:rPr>
          <w:rFonts w:ascii="Lato" w:hAnsi="Lato"/>
        </w:rPr>
        <w:t>the Office of Gender Equity and Diversity</w:t>
      </w:r>
      <w:r w:rsidRPr="00993130">
        <w:rPr>
          <w:rFonts w:ascii="Lato" w:hAnsi="Lato"/>
        </w:rPr>
        <w:t xml:space="preserve"> in writing prior to the original date of the event.</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Grant recipients are responsible for promoting and advertising the activity, which must prominently acknowledge the assistance provided</w:t>
      </w:r>
      <w:r w:rsidR="00463C7F" w:rsidRPr="00993130">
        <w:rPr>
          <w:rFonts w:ascii="Lato" w:hAnsi="Lato"/>
        </w:rPr>
        <w:t xml:space="preserve"> by the Northern Territory Government</w:t>
      </w:r>
      <w:r w:rsidRPr="00993130">
        <w:rPr>
          <w:rFonts w:ascii="Lato" w:hAnsi="Lato"/>
        </w:rPr>
        <w:t xml:space="preserve"> in </w:t>
      </w:r>
      <w:r w:rsidR="00DF18EB" w:rsidRPr="00D673C0">
        <w:rPr>
          <w:rFonts w:ascii="Lato" w:hAnsi="Lato"/>
        </w:rPr>
        <w:t>a</w:t>
      </w:r>
      <w:r w:rsidR="00740F58" w:rsidRPr="00D673C0">
        <w:rPr>
          <w:rFonts w:ascii="Lato" w:hAnsi="Lato"/>
        </w:rPr>
        <w:t>ll</w:t>
      </w:r>
      <w:r w:rsidRPr="00993130">
        <w:rPr>
          <w:rFonts w:ascii="Lato" w:hAnsi="Lato"/>
        </w:rPr>
        <w:t xml:space="preserve"> media releases and promotional </w:t>
      </w:r>
      <w:r w:rsidR="0051583E" w:rsidRPr="00993130">
        <w:rPr>
          <w:rFonts w:ascii="Lato" w:hAnsi="Lato"/>
        </w:rPr>
        <w:t xml:space="preserve">material associated with the funded activity with the phrase “Proudly Sponsored by the Northern Territory Government” and </w:t>
      </w:r>
      <w:r w:rsidRPr="00993130">
        <w:rPr>
          <w:rFonts w:ascii="Lato" w:hAnsi="Lato"/>
        </w:rPr>
        <w:t xml:space="preserve">the Northern Territory </w:t>
      </w:r>
      <w:r w:rsidR="00D673C0">
        <w:rPr>
          <w:rFonts w:ascii="Lato" w:hAnsi="Lato"/>
        </w:rPr>
        <w:t>l</w:t>
      </w:r>
      <w:r w:rsidRPr="00993130">
        <w:rPr>
          <w:rFonts w:ascii="Lato" w:hAnsi="Lato"/>
        </w:rPr>
        <w:t xml:space="preserve">ogo. </w:t>
      </w:r>
      <w:r w:rsidR="00740F58">
        <w:rPr>
          <w:rFonts w:ascii="Lato" w:hAnsi="Lato"/>
        </w:rPr>
        <w:t>These marketing materials will be provided to the recipient once the grant has been finalised.</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Funds can only be spent as per the “Purpose(s) of Grant” specified in the Grant Agreement. If a grant recipient wishes to change the purpose of the grant, a written change of purpose request must be lodged with </w:t>
      </w:r>
      <w:r w:rsidR="00A82068" w:rsidRPr="00993130">
        <w:rPr>
          <w:rFonts w:ascii="Lato" w:hAnsi="Lato"/>
        </w:rPr>
        <w:t>the Office of Gender Equity and Diversity</w:t>
      </w:r>
      <w:r w:rsidRPr="00993130">
        <w:rPr>
          <w:rFonts w:ascii="Lato" w:hAnsi="Lato"/>
        </w:rPr>
        <w:t>. The letter must provide reasons for the change and a budget for the amended purpose. Funds can only be utilised for a new purpose after written approval has been given.</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Any unspent grant funds are to be returned to </w:t>
      </w:r>
      <w:r w:rsidR="00A82068" w:rsidRPr="00993130">
        <w:rPr>
          <w:rFonts w:ascii="Lato" w:hAnsi="Lato"/>
        </w:rPr>
        <w:t>the Office of Gender Equity and Diversity</w:t>
      </w:r>
      <w:r w:rsidRPr="00993130">
        <w:rPr>
          <w:rFonts w:ascii="Lato" w:hAnsi="Lato"/>
        </w:rPr>
        <w:t xml:space="preserve">. Alternatively, the organisation may </w:t>
      </w:r>
      <w:r w:rsidR="00A82068" w:rsidRPr="00993130">
        <w:rPr>
          <w:rFonts w:ascii="Lato" w:hAnsi="Lato"/>
        </w:rPr>
        <w:t>submit a variation application</w:t>
      </w:r>
      <w:r w:rsidRPr="00993130">
        <w:rPr>
          <w:rFonts w:ascii="Lato" w:hAnsi="Lato"/>
        </w:rPr>
        <w:t xml:space="preserve"> for a change of purpose to utilise the unspent funds.</w:t>
      </w:r>
    </w:p>
    <w:p w:rsidR="00937F24" w:rsidRPr="00363158" w:rsidRDefault="00084C67" w:rsidP="00B17FDE">
      <w:pPr>
        <w:pStyle w:val="ListParagraph"/>
        <w:numPr>
          <w:ilvl w:val="0"/>
          <w:numId w:val="49"/>
        </w:numPr>
        <w:spacing w:after="120"/>
        <w:ind w:left="714" w:hanging="357"/>
        <w:rPr>
          <w:rFonts w:ascii="Lato" w:hAnsi="Lato"/>
        </w:rPr>
      </w:pPr>
      <w:r w:rsidRPr="00993130">
        <w:rPr>
          <w:rFonts w:ascii="Lato" w:hAnsi="Lato"/>
        </w:rPr>
        <w:t>Grants may be subject to tax under the provisions of the Income Tax Assessment Act. Tax is the responsibility of the grant recipient. Grants are GST exclusive.</w:t>
      </w:r>
    </w:p>
    <w:p w:rsidR="00084C67" w:rsidRPr="00993130" w:rsidRDefault="00084C67" w:rsidP="00993130">
      <w:pPr>
        <w:pStyle w:val="ListParagraph"/>
        <w:numPr>
          <w:ilvl w:val="0"/>
          <w:numId w:val="49"/>
        </w:numPr>
        <w:spacing w:after="120"/>
        <w:ind w:left="714" w:hanging="357"/>
        <w:rPr>
          <w:rFonts w:ascii="Lato" w:hAnsi="Lato"/>
        </w:rPr>
      </w:pPr>
      <w:r w:rsidRPr="00993130">
        <w:rPr>
          <w:rFonts w:ascii="Lato" w:hAnsi="Lato"/>
        </w:rPr>
        <w:t xml:space="preserve">If, in the opinion of the Delegated Officer, a grant advanced to an organisation has not been used for the approved purpose(s), or the conditions of funding have not been met, the </w:t>
      </w:r>
      <w:r w:rsidRPr="00993130">
        <w:rPr>
          <w:rFonts w:ascii="Lato" w:hAnsi="Lato"/>
        </w:rPr>
        <w:lastRenderedPageBreak/>
        <w:t>organisation receiving the grant will be required to repay the funds in full or in part as determined.</w:t>
      </w:r>
    </w:p>
    <w:p w:rsidR="00B17FDE" w:rsidRPr="00363158" w:rsidRDefault="00084C67" w:rsidP="00363158">
      <w:pPr>
        <w:pStyle w:val="ListParagraph"/>
        <w:numPr>
          <w:ilvl w:val="0"/>
          <w:numId w:val="49"/>
        </w:numPr>
        <w:spacing w:after="120"/>
        <w:ind w:left="714" w:hanging="357"/>
        <w:rPr>
          <w:rFonts w:ascii="Lato" w:hAnsi="Lato"/>
        </w:rPr>
      </w:pPr>
      <w:r w:rsidRPr="00993130">
        <w:rPr>
          <w:rFonts w:ascii="Lato" w:hAnsi="Lato"/>
        </w:rPr>
        <w:t>The Delegated Officer retains the right to vary, cancel or waive any of the conditions and requirements of a grant.</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FINANCIAL ACCOUNTABILITY REQUIREMENT</w:t>
      </w:r>
    </w:p>
    <w:p w:rsidR="00084C67" w:rsidRPr="00993130" w:rsidRDefault="00084C67" w:rsidP="00D72BD1">
      <w:pPr>
        <w:jc w:val="both"/>
        <w:rPr>
          <w:rFonts w:ascii="Lato" w:hAnsi="Lato"/>
        </w:rPr>
      </w:pPr>
      <w:r w:rsidRPr="00993130">
        <w:rPr>
          <w:rFonts w:ascii="Lato" w:hAnsi="Lato"/>
        </w:rPr>
        <w:t xml:space="preserve">On completion of the activity, </w:t>
      </w:r>
      <w:r w:rsidR="00A751C1" w:rsidRPr="00993130">
        <w:rPr>
          <w:rFonts w:ascii="Lato" w:hAnsi="Lato"/>
        </w:rPr>
        <w:t xml:space="preserve">grants </w:t>
      </w:r>
      <w:r w:rsidR="00A751C1">
        <w:rPr>
          <w:rFonts w:ascii="Lato" w:hAnsi="Lato"/>
        </w:rPr>
        <w:t xml:space="preserve">recipient </w:t>
      </w:r>
      <w:r w:rsidRPr="00993130">
        <w:rPr>
          <w:rFonts w:ascii="Lato" w:hAnsi="Lato"/>
        </w:rPr>
        <w:t xml:space="preserve">must provide a </w:t>
      </w:r>
      <w:r w:rsidR="00B53564" w:rsidRPr="00993130">
        <w:rPr>
          <w:rFonts w:ascii="Lato" w:hAnsi="Lato"/>
        </w:rPr>
        <w:t>narrative report</w:t>
      </w:r>
      <w:r w:rsidRPr="00993130">
        <w:rPr>
          <w:rFonts w:ascii="Lato" w:hAnsi="Lato"/>
        </w:rPr>
        <w:t>, financial acquittal report, and copies of any promotional materials, rece</w:t>
      </w:r>
      <w:r w:rsidR="00A82068" w:rsidRPr="00993130">
        <w:rPr>
          <w:rFonts w:ascii="Lato" w:hAnsi="Lato"/>
        </w:rPr>
        <w:t>i</w:t>
      </w:r>
      <w:r w:rsidRPr="00993130">
        <w:rPr>
          <w:rFonts w:ascii="Lato" w:hAnsi="Lato"/>
        </w:rPr>
        <w:t xml:space="preserve">pts, invoices and photos, to </w:t>
      </w:r>
      <w:r w:rsidR="00B53564" w:rsidRPr="00993130">
        <w:rPr>
          <w:rFonts w:ascii="Lato" w:hAnsi="Lato"/>
        </w:rPr>
        <w:t xml:space="preserve">Territory Families </w:t>
      </w:r>
      <w:r w:rsidRPr="00993130">
        <w:rPr>
          <w:rFonts w:ascii="Lato" w:hAnsi="Lato"/>
        </w:rPr>
        <w:t xml:space="preserve">within six weeks after the date of the activity. The report must be signed by two office bearers </w:t>
      </w:r>
      <w:r w:rsidR="005E0F11" w:rsidRPr="00993130">
        <w:rPr>
          <w:rFonts w:ascii="Lato" w:hAnsi="Lato"/>
        </w:rPr>
        <w:t xml:space="preserve">within the organisation </w:t>
      </w:r>
      <w:r w:rsidRPr="00993130">
        <w:rPr>
          <w:rFonts w:ascii="Lato" w:hAnsi="Lato"/>
        </w:rPr>
        <w:t>(unless</w:t>
      </w:r>
      <w:r w:rsidR="005E0F11" w:rsidRPr="00993130">
        <w:rPr>
          <w:rFonts w:ascii="Lato" w:hAnsi="Lato"/>
        </w:rPr>
        <w:t xml:space="preserve"> the application has been submitted by an</w:t>
      </w:r>
      <w:r w:rsidRPr="00993130">
        <w:rPr>
          <w:rFonts w:ascii="Lato" w:hAnsi="Lato"/>
        </w:rPr>
        <w:t xml:space="preserve"> individual) to certify that the funds have been expended on the specified funded activity, and include a detailed breakdown of all income and expenses relating to the grant.</w:t>
      </w:r>
    </w:p>
    <w:p w:rsidR="0034223A" w:rsidRPr="00F02CD3" w:rsidRDefault="00A82068" w:rsidP="00D72BD1">
      <w:pPr>
        <w:jc w:val="both"/>
        <w:rPr>
          <w:rFonts w:ascii="Lato" w:hAnsi="Lato"/>
        </w:rPr>
      </w:pPr>
      <w:r w:rsidRPr="00993130">
        <w:rPr>
          <w:rFonts w:ascii="Lato" w:hAnsi="Lato"/>
        </w:rPr>
        <w:t>The Office of Gender Equity and Diversity</w:t>
      </w:r>
      <w:r w:rsidR="00084C67" w:rsidRPr="00993130">
        <w:rPr>
          <w:rFonts w:ascii="Lato" w:hAnsi="Lato"/>
        </w:rPr>
        <w:t xml:space="preserve"> may also request an audited financial statement where an organisation has received a significant </w:t>
      </w:r>
      <w:r w:rsidR="00A751C1" w:rsidRPr="00993130">
        <w:rPr>
          <w:rFonts w:ascii="Lato" w:hAnsi="Lato"/>
        </w:rPr>
        <w:t>grant</w:t>
      </w:r>
      <w:r w:rsidR="00A751C1">
        <w:rPr>
          <w:rFonts w:ascii="Lato" w:hAnsi="Lato"/>
        </w:rPr>
        <w:t xml:space="preserve"> </w:t>
      </w:r>
      <w:r w:rsidR="009E33B8" w:rsidRPr="00993130">
        <w:rPr>
          <w:rFonts w:ascii="Lato" w:hAnsi="Lato"/>
        </w:rPr>
        <w:t>amount</w:t>
      </w:r>
      <w:r w:rsidR="009E33B8" w:rsidRPr="00993130" w:rsidDel="009E33B8">
        <w:rPr>
          <w:rFonts w:ascii="Lato" w:hAnsi="Lato"/>
        </w:rPr>
        <w:t xml:space="preserve"> </w:t>
      </w:r>
      <w:r w:rsidR="00084C67" w:rsidRPr="00993130">
        <w:rPr>
          <w:rFonts w:ascii="Lato" w:hAnsi="Lato"/>
        </w:rPr>
        <w:t>across several small projects.</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PRIVACY STATEMENT</w:t>
      </w:r>
    </w:p>
    <w:p w:rsidR="00084C67" w:rsidRPr="00993130" w:rsidRDefault="00084C67" w:rsidP="00D72BD1">
      <w:pPr>
        <w:jc w:val="both"/>
        <w:rPr>
          <w:rFonts w:ascii="Lato" w:hAnsi="Lato"/>
        </w:rPr>
      </w:pPr>
      <w:r w:rsidRPr="00993130">
        <w:rPr>
          <w:rFonts w:ascii="Lato" w:hAnsi="Lato"/>
        </w:rPr>
        <w:t xml:space="preserve">The information you provide in this application is necessary to determine the suitability of your </w:t>
      </w:r>
      <w:r w:rsidR="00937F24">
        <w:rPr>
          <w:rFonts w:ascii="Lato" w:hAnsi="Lato"/>
        </w:rPr>
        <w:t>program/</w:t>
      </w:r>
      <w:r w:rsidR="00666E57">
        <w:rPr>
          <w:rFonts w:ascii="Lato" w:hAnsi="Lato"/>
        </w:rPr>
        <w:t>initiative</w:t>
      </w:r>
      <w:r w:rsidRPr="00993130">
        <w:rPr>
          <w:rFonts w:ascii="Lato" w:hAnsi="Lato"/>
        </w:rPr>
        <w:t xml:space="preserve"> for financial assistance </w:t>
      </w:r>
      <w:r w:rsidR="00A751C1">
        <w:rPr>
          <w:rFonts w:ascii="Lato" w:hAnsi="Lato"/>
        </w:rPr>
        <w:t>through a</w:t>
      </w:r>
      <w:r w:rsidRPr="00993130">
        <w:rPr>
          <w:rFonts w:ascii="Lato" w:hAnsi="Lato"/>
        </w:rPr>
        <w:t xml:space="preserve"> grant. If you do not provide the requested details, </w:t>
      </w:r>
      <w:r w:rsidR="00B53564" w:rsidRPr="00993130">
        <w:rPr>
          <w:rFonts w:ascii="Lato" w:hAnsi="Lato"/>
        </w:rPr>
        <w:t xml:space="preserve">the Office of Gender Equity and Diversity </w:t>
      </w:r>
      <w:r w:rsidRPr="00993130">
        <w:rPr>
          <w:rFonts w:ascii="Lato" w:hAnsi="Lato"/>
        </w:rPr>
        <w:t>may not be able to process your application.</w:t>
      </w:r>
    </w:p>
    <w:p w:rsidR="00084C67" w:rsidRPr="00993130" w:rsidRDefault="00084C67" w:rsidP="00D72BD1">
      <w:pPr>
        <w:jc w:val="both"/>
        <w:rPr>
          <w:rFonts w:ascii="Lato" w:hAnsi="Lato"/>
        </w:rPr>
      </w:pPr>
      <w:r w:rsidRPr="00993130">
        <w:rPr>
          <w:rFonts w:ascii="Lato" w:hAnsi="Lato"/>
        </w:rPr>
        <w:t xml:space="preserve">By signing the Application Form you consent to your personal information being provided to the </w:t>
      </w:r>
      <w:r w:rsidR="00937F24">
        <w:rPr>
          <w:rFonts w:ascii="Lato" w:hAnsi="Lato"/>
        </w:rPr>
        <w:t xml:space="preserve">Office of the </w:t>
      </w:r>
      <w:r w:rsidRPr="00993130">
        <w:rPr>
          <w:rFonts w:ascii="Lato" w:hAnsi="Lato"/>
        </w:rPr>
        <w:t xml:space="preserve">Minister for </w:t>
      </w:r>
      <w:r w:rsidR="00476877" w:rsidRPr="00993130">
        <w:rPr>
          <w:rFonts w:ascii="Lato" w:hAnsi="Lato"/>
        </w:rPr>
        <w:t>Territory Families</w:t>
      </w:r>
      <w:r w:rsidRPr="00993130">
        <w:rPr>
          <w:rFonts w:ascii="Lato" w:hAnsi="Lato"/>
        </w:rPr>
        <w:t xml:space="preserve">, </w:t>
      </w:r>
      <w:r w:rsidR="00476877" w:rsidRPr="00993130">
        <w:rPr>
          <w:rFonts w:ascii="Lato" w:hAnsi="Lato"/>
        </w:rPr>
        <w:t>Territory Families</w:t>
      </w:r>
      <w:r w:rsidRPr="00993130">
        <w:rPr>
          <w:rFonts w:ascii="Lato" w:hAnsi="Lato"/>
        </w:rPr>
        <w:t xml:space="preserve"> a</w:t>
      </w:r>
      <w:r w:rsidR="00A751C1">
        <w:rPr>
          <w:rFonts w:ascii="Lato" w:hAnsi="Lato"/>
        </w:rPr>
        <w:t>nd other A</w:t>
      </w:r>
      <w:r w:rsidRPr="00993130">
        <w:rPr>
          <w:rFonts w:ascii="Lato" w:hAnsi="Lato"/>
        </w:rPr>
        <w:t>gencies for the purpose of promoting and reporting the outcomes of the grant.</w:t>
      </w:r>
    </w:p>
    <w:p w:rsidR="00A751C1" w:rsidRDefault="00084C67" w:rsidP="00D72BD1">
      <w:pPr>
        <w:spacing w:after="0"/>
        <w:jc w:val="both"/>
        <w:rPr>
          <w:rFonts w:ascii="Lato" w:hAnsi="Lato"/>
        </w:rPr>
      </w:pPr>
      <w:r w:rsidRPr="00993130">
        <w:rPr>
          <w:rFonts w:ascii="Lato" w:hAnsi="Lato"/>
        </w:rPr>
        <w:t xml:space="preserve">Information about successful applications may be publicly released by the Northern Territory Government for the purpose of promoting and reporting on the activity. </w:t>
      </w:r>
    </w:p>
    <w:p w:rsidR="00084C67" w:rsidRPr="00993130" w:rsidRDefault="00084C67" w:rsidP="00D72BD1">
      <w:pPr>
        <w:spacing w:after="0"/>
        <w:jc w:val="both"/>
        <w:rPr>
          <w:rFonts w:ascii="Lato" w:hAnsi="Lato"/>
        </w:rPr>
      </w:pPr>
      <w:r w:rsidRPr="00993130">
        <w:rPr>
          <w:rFonts w:ascii="Lato" w:hAnsi="Lato"/>
        </w:rPr>
        <w:t>Information may be distributed by:</w:t>
      </w:r>
    </w:p>
    <w:p w:rsidR="00084C67" w:rsidRPr="00993130" w:rsidRDefault="00084C67" w:rsidP="00363158">
      <w:pPr>
        <w:pStyle w:val="ListParagraph"/>
        <w:numPr>
          <w:ilvl w:val="0"/>
          <w:numId w:val="49"/>
        </w:numPr>
        <w:spacing w:after="120"/>
        <w:ind w:left="714" w:hanging="357"/>
        <w:rPr>
          <w:rFonts w:ascii="Lato" w:hAnsi="Lato"/>
        </w:rPr>
      </w:pPr>
      <w:r w:rsidRPr="00993130">
        <w:rPr>
          <w:rFonts w:ascii="Lato" w:hAnsi="Lato"/>
        </w:rPr>
        <w:t xml:space="preserve">media releases issued by the Minister for </w:t>
      </w:r>
      <w:r w:rsidR="00476877" w:rsidRPr="00993130">
        <w:rPr>
          <w:rFonts w:ascii="Lato" w:hAnsi="Lato"/>
        </w:rPr>
        <w:t>Territory Families</w:t>
      </w:r>
      <w:r w:rsidRPr="00993130">
        <w:rPr>
          <w:rFonts w:ascii="Lato" w:hAnsi="Lato"/>
        </w:rPr>
        <w:t xml:space="preserve"> or the Chief Minister of the Northern Territory</w:t>
      </w:r>
    </w:p>
    <w:p w:rsidR="0034223A" w:rsidRPr="00363158" w:rsidRDefault="00084C67" w:rsidP="00363158">
      <w:pPr>
        <w:pStyle w:val="ListParagraph"/>
        <w:numPr>
          <w:ilvl w:val="0"/>
          <w:numId w:val="49"/>
        </w:numPr>
        <w:spacing w:after="120"/>
        <w:ind w:left="714" w:hanging="357"/>
        <w:rPr>
          <w:rFonts w:ascii="Lato" w:hAnsi="Lato"/>
        </w:rPr>
      </w:pPr>
      <w:r w:rsidRPr="00993130">
        <w:rPr>
          <w:rFonts w:ascii="Lato" w:hAnsi="Lato"/>
        </w:rPr>
        <w:t xml:space="preserve">promotional material developed by </w:t>
      </w:r>
      <w:r w:rsidR="004132EF" w:rsidRPr="00993130">
        <w:rPr>
          <w:rFonts w:ascii="Lato" w:hAnsi="Lato"/>
        </w:rPr>
        <w:t>the Office of Gender Equity and Diversity</w:t>
      </w:r>
      <w:r w:rsidRPr="00993130">
        <w:rPr>
          <w:rFonts w:ascii="Lato" w:hAnsi="Lato"/>
        </w:rPr>
        <w:t xml:space="preserve"> and through </w:t>
      </w:r>
      <w:r w:rsidR="00A751C1">
        <w:rPr>
          <w:rFonts w:ascii="Lato" w:hAnsi="Lato"/>
        </w:rPr>
        <w:t>Northern Territory G</w:t>
      </w:r>
      <w:r w:rsidRPr="00993130">
        <w:rPr>
          <w:rFonts w:ascii="Lato" w:hAnsi="Lato"/>
        </w:rPr>
        <w:t>overnment websites, including social media.</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DUTY OF CARE</w:t>
      </w:r>
    </w:p>
    <w:p w:rsidR="00B53564" w:rsidRPr="00993130" w:rsidRDefault="00084C67" w:rsidP="00D72BD1">
      <w:pPr>
        <w:jc w:val="both"/>
        <w:rPr>
          <w:rFonts w:ascii="Lato" w:hAnsi="Lato"/>
        </w:rPr>
      </w:pPr>
      <w:r w:rsidRPr="00993130">
        <w:rPr>
          <w:rFonts w:ascii="Lato" w:hAnsi="Lato"/>
        </w:rPr>
        <w:t>Whenever event promoters and conference organisers arrange events</w:t>
      </w:r>
      <w:r w:rsidR="005E0F11" w:rsidRPr="00993130">
        <w:rPr>
          <w:rFonts w:ascii="Lato" w:hAnsi="Lato"/>
        </w:rPr>
        <w:t>,</w:t>
      </w:r>
      <w:r w:rsidRPr="00993130">
        <w:rPr>
          <w:rFonts w:ascii="Lato" w:hAnsi="Lato"/>
        </w:rPr>
        <w:t xml:space="preserve"> they have a duty of care to persons attending the event. This means that event organisers have a legal and moral obligation to plan properly and take reasonable steps to avoid risks of injury to those persons attending the event. </w:t>
      </w:r>
    </w:p>
    <w:p w:rsidR="00937F24" w:rsidRDefault="00084C67" w:rsidP="00D72BD1">
      <w:pPr>
        <w:jc w:val="both"/>
        <w:rPr>
          <w:rFonts w:ascii="Lato" w:hAnsi="Lato"/>
        </w:rPr>
      </w:pPr>
      <w:r w:rsidRPr="00993130">
        <w:rPr>
          <w:rFonts w:ascii="Lato" w:hAnsi="Lato"/>
        </w:rPr>
        <w:t xml:space="preserve">If organisers do not plan properly and take reasonable precautions to avoid injury to persons attending the event they may be liable to pay compensation to a person who is injured whilst attending an event organised by them. </w:t>
      </w:r>
    </w:p>
    <w:p w:rsidR="00B17FDE" w:rsidRDefault="00084C67" w:rsidP="00363158">
      <w:pPr>
        <w:jc w:val="both"/>
      </w:pPr>
      <w:r w:rsidRPr="00993130">
        <w:rPr>
          <w:rFonts w:ascii="Lato" w:hAnsi="Lato"/>
        </w:rPr>
        <w:t>Examples of the type of care that must be taken would be providing a safe environment for children at family based activities, ensuring power cords are securely taped down so that no-one can trip over them and protecting electrical equipment from wet weather.</w:t>
      </w:r>
    </w:p>
    <w:p w:rsidR="00084C67" w:rsidRPr="00363158" w:rsidRDefault="00084C67" w:rsidP="004407C1">
      <w:pPr>
        <w:pStyle w:val="Heading2"/>
        <w:numPr>
          <w:ilvl w:val="0"/>
          <w:numId w:val="0"/>
        </w:numPr>
        <w:ind w:left="576" w:hanging="576"/>
        <w:rPr>
          <w:rFonts w:ascii="Lato" w:hAnsi="Lato"/>
          <w:color w:val="E36C0A" w:themeColor="accent6" w:themeShade="BF"/>
          <w:szCs w:val="22"/>
        </w:rPr>
      </w:pPr>
      <w:r w:rsidRPr="00363158">
        <w:rPr>
          <w:rFonts w:ascii="Lato" w:hAnsi="Lato"/>
          <w:color w:val="E36C0A" w:themeColor="accent6" w:themeShade="BF"/>
          <w:szCs w:val="22"/>
        </w:rPr>
        <w:t>INSURANCE</w:t>
      </w:r>
    </w:p>
    <w:p w:rsidR="00084C67" w:rsidRPr="00993130" w:rsidRDefault="00084C67" w:rsidP="00D72BD1">
      <w:pPr>
        <w:jc w:val="both"/>
        <w:rPr>
          <w:rFonts w:ascii="Lato" w:hAnsi="Lato"/>
        </w:rPr>
      </w:pPr>
      <w:r w:rsidRPr="00993130">
        <w:rPr>
          <w:rFonts w:ascii="Lato" w:hAnsi="Lato"/>
        </w:rPr>
        <w:t>By signing the grant agreement, grant recipients acknowledge that the Northern Territory Government accepts no responsibility for the activity, irrespective of the funding provided to support the activity.</w:t>
      </w:r>
    </w:p>
    <w:p w:rsidR="00084C67" w:rsidRPr="00993130" w:rsidRDefault="00084C67" w:rsidP="00D72BD1">
      <w:pPr>
        <w:jc w:val="both"/>
        <w:rPr>
          <w:rFonts w:ascii="Lato" w:hAnsi="Lato"/>
        </w:rPr>
      </w:pPr>
      <w:r w:rsidRPr="00993130">
        <w:rPr>
          <w:rFonts w:ascii="Lato" w:hAnsi="Lato"/>
        </w:rPr>
        <w:lastRenderedPageBreak/>
        <w:t>Grant recipients may be required to have, and keep in place, a public liability insurance policy with a recognised insurance provider. Grant recipients must produce a copy of the policy within 14 days of a request to do so.</w:t>
      </w:r>
    </w:p>
    <w:p w:rsidR="00084C67" w:rsidRDefault="00084C67" w:rsidP="00D72BD1">
      <w:pPr>
        <w:jc w:val="both"/>
        <w:rPr>
          <w:rFonts w:ascii="Lato" w:hAnsi="Lato"/>
        </w:rPr>
      </w:pPr>
      <w:r w:rsidRPr="00993130">
        <w:rPr>
          <w:rFonts w:ascii="Lato" w:hAnsi="Lato"/>
        </w:rPr>
        <w:t>If the activity involves a public event, grant recipients have a legal and moral obligation to plan properly to avoid risks of injury that might reasonably be expected to occur to patrons and workers at those events.</w:t>
      </w: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Default="00937F24" w:rsidP="00D72BD1">
      <w:pPr>
        <w:jc w:val="both"/>
        <w:rPr>
          <w:rFonts w:ascii="Lato" w:hAnsi="Lato"/>
        </w:rPr>
      </w:pPr>
    </w:p>
    <w:p w:rsidR="00937F24" w:rsidRPr="00993130" w:rsidRDefault="00937F24" w:rsidP="00363158">
      <w:pPr>
        <w:jc w:val="center"/>
        <w:rPr>
          <w:rFonts w:ascii="Lato" w:hAnsi="Lato"/>
        </w:rPr>
      </w:pPr>
    </w:p>
    <w:sectPr w:rsidR="00937F24" w:rsidRPr="00993130" w:rsidSect="00363158">
      <w:footerReference w:type="default" r:id="rId9"/>
      <w:headerReference w:type="first" r:id="rId10"/>
      <w:footerReference w:type="first" r:id="rId11"/>
      <w:pgSz w:w="11906" w:h="16838" w:code="9"/>
      <w:pgMar w:top="1021" w:right="1134" w:bottom="851" w:left="1134"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81" w:rsidRDefault="00E05E81" w:rsidP="007332FF">
      <w:r>
        <w:separator/>
      </w:r>
    </w:p>
  </w:endnote>
  <w:endnote w:type="continuationSeparator" w:id="0">
    <w:p w:rsidR="00E05E81" w:rsidRDefault="00E05E8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Heavy">
    <w:panose1 w:val="020F0502020204030203"/>
    <w:charset w:val="00"/>
    <w:family w:val="swiss"/>
    <w:pitch w:val="variable"/>
    <w:sig w:usb0="E10002FF" w:usb1="5000ECFF" w:usb2="00000021" w:usb3="00000000" w:csb0="0000019F" w:csb1="00000000"/>
  </w:font>
  <w:font w:name="Lato">
    <w:altName w:val="Times New Roman"/>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68" w:rsidRPr="00AE306C" w:rsidRDefault="00E05E81"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620068" w:rsidRPr="004D1B76" w:rsidRDefault="00620068" w:rsidP="002926BC">
    <w:pPr>
      <w:pStyle w:val="NTGFooter2deptpagenum"/>
      <w:tabs>
        <w:tab w:val="clear" w:pos="9639"/>
        <w:tab w:val="right" w:pos="10206"/>
      </w:tabs>
      <w:ind w:left="-567" w:right="-568"/>
    </w:pPr>
    <w:r w:rsidRPr="00316B0D">
      <w:rPr>
        <w:rStyle w:val="NTGFooterDepartmentNameChar"/>
        <w:rFonts w:ascii="Arial" w:hAnsi="Arial"/>
      </w:rPr>
      <w:fldChar w:fldCharType="begin"/>
    </w:r>
    <w:r w:rsidRPr="00316B0D">
      <w:rPr>
        <w:rStyle w:val="NTGFooterDepartmentNameChar"/>
        <w:rFonts w:ascii="Arial" w:hAnsi="Arial"/>
      </w:rPr>
      <w:instrText xml:space="preserve"> DOCPROPERTY  DepartmentName  \* MERGEFORMAT </w:instrText>
    </w:r>
    <w:r w:rsidRPr="00316B0D">
      <w:rPr>
        <w:rStyle w:val="NTGFooterDepartmentNameChar"/>
        <w:rFonts w:ascii="Arial" w:hAnsi="Arial"/>
      </w:rPr>
      <w:fldChar w:fldCharType="separate"/>
    </w:r>
    <w:r w:rsidR="00107ADC">
      <w:rPr>
        <w:rStyle w:val="NTGFooterDepartmentNameChar"/>
        <w:rFonts w:ascii="Arial" w:hAnsi="Arial"/>
      </w:rPr>
      <w:t>Territory Families</w:t>
    </w:r>
    <w:r w:rsidRPr="00316B0D">
      <w:rPr>
        <w:rStyle w:val="NTGFooterDepartmentNameChar"/>
        <w:rFonts w:ascii="Arial" w:hAnsi="Arial"/>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34C94">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34C94">
      <w:rPr>
        <w:rStyle w:val="NTGFooter2deptpagenumChar"/>
        <w:rFonts w:eastAsia="Calibri"/>
        <w:noProof/>
      </w:rPr>
      <w:t>5</w:t>
    </w:r>
    <w:r w:rsidRPr="007B5DA2">
      <w:rPr>
        <w:rStyle w:val="NTGFooter2deptpagenumChar"/>
        <w:rFonts w:eastAsia="Calibri"/>
      </w:rPr>
      <w:fldChar w:fldCharType="end"/>
    </w:r>
  </w:p>
  <w:p w:rsidR="00620068" w:rsidRPr="007B5DA2" w:rsidRDefault="00032D30" w:rsidP="00032D30">
    <w:pPr>
      <w:pStyle w:val="NTGFooter2DateVersion"/>
      <w:tabs>
        <w:tab w:val="clear" w:pos="9639"/>
        <w:tab w:val="right" w:pos="10206"/>
      </w:tabs>
      <w:ind w:left="-567" w:right="-568"/>
      <w:rPr>
        <w:rStyle w:val="NTGFooter2deptpagenumChar"/>
        <w:rFonts w:eastAsia="Calibri"/>
      </w:rPr>
    </w:pPr>
    <w:r w:rsidRPr="00032D30">
      <w:t xml:space="preserve">Office of Gender Equity and Diversity </w:t>
    </w:r>
    <w:r w:rsidR="00A751C1">
      <w:t>IWD</w:t>
    </w:r>
    <w:r w:rsidRPr="00032D30">
      <w:t xml:space="preserve"> Grants -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20068" w:rsidRPr="00132658" w:rsidTr="002B5591">
      <w:trPr>
        <w:cantSplit/>
        <w:trHeight w:hRule="exact" w:val="1400"/>
        <w:tblHeader/>
      </w:trPr>
      <w:tc>
        <w:tcPr>
          <w:tcW w:w="8505" w:type="dxa"/>
          <w:vAlign w:val="center"/>
        </w:tcPr>
        <w:p w:rsidR="00620068" w:rsidRPr="00C32AA6" w:rsidRDefault="00C32AA6" w:rsidP="008A6FE6">
          <w:pPr>
            <w:pStyle w:val="NTGFooter1items"/>
            <w:rPr>
              <w:b/>
            </w:rPr>
          </w:pPr>
          <w:r w:rsidRPr="00C32AA6">
            <w:rPr>
              <w:b/>
            </w:rPr>
            <w:t>www</w:t>
          </w:r>
          <w:r w:rsidR="008A6FE6">
            <w:rPr>
              <w:b/>
            </w:rPr>
            <w:t>.territoryfamilies</w:t>
          </w:r>
          <w:r w:rsidRPr="00C32AA6">
            <w:rPr>
              <w:b/>
            </w:rPr>
            <w:t>.nt.gov.au</w:t>
          </w:r>
        </w:p>
      </w:tc>
      <w:tc>
        <w:tcPr>
          <w:tcW w:w="2268" w:type="dxa"/>
          <w:vAlign w:val="center"/>
        </w:tcPr>
        <w:p w:rsidR="00620068" w:rsidRPr="001E14EB" w:rsidRDefault="00620068" w:rsidP="00543BD1">
          <w:pPr>
            <w:spacing w:after="0"/>
            <w:jc w:val="right"/>
          </w:pPr>
        </w:p>
      </w:tc>
    </w:tr>
  </w:tbl>
  <w:p w:rsidR="00620068" w:rsidRPr="00543BD1" w:rsidRDefault="00620068"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81" w:rsidRDefault="00E05E81" w:rsidP="007332FF">
      <w:r>
        <w:separator/>
      </w:r>
    </w:p>
  </w:footnote>
  <w:footnote w:type="continuationSeparator" w:id="0">
    <w:p w:rsidR="00E05E81" w:rsidRDefault="00E05E8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3"/>
      <w:gridCol w:w="4798"/>
      <w:gridCol w:w="2474"/>
    </w:tblGrid>
    <w:tr w:rsidR="00000664" w:rsidTr="00816404">
      <w:trPr>
        <w:cantSplit/>
        <w:trHeight w:val="1426"/>
        <w:tblHeader/>
      </w:trPr>
      <w:tc>
        <w:tcPr>
          <w:tcW w:w="3643" w:type="dxa"/>
          <w:vAlign w:val="bottom"/>
        </w:tcPr>
        <w:p w:rsidR="00000664" w:rsidRDefault="00000664" w:rsidP="00816404">
          <w:pPr>
            <w:pStyle w:val="Header"/>
            <w:ind w:left="-108"/>
          </w:pPr>
          <w:r w:rsidRPr="0051098C">
            <w:rPr>
              <w:noProof/>
              <w:lang w:eastAsia="en-AU"/>
            </w:rPr>
            <w:drawing>
              <wp:inline distT="0" distB="0" distL="0" distR="0" wp14:anchorId="748C8421" wp14:editId="4DB5CA64">
                <wp:extent cx="2108200" cy="702945"/>
                <wp:effectExtent l="0" t="0" r="0" b="0"/>
                <wp:docPr id="2"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702945"/>
                        </a:xfrm>
                        <a:prstGeom prst="rect">
                          <a:avLst/>
                        </a:prstGeom>
                        <a:noFill/>
                        <a:ln>
                          <a:noFill/>
                        </a:ln>
                      </pic:spPr>
                    </pic:pic>
                  </a:graphicData>
                </a:graphic>
              </wp:inline>
            </w:drawing>
          </w:r>
        </w:p>
      </w:tc>
      <w:tc>
        <w:tcPr>
          <w:tcW w:w="4798" w:type="dxa"/>
          <w:noWrap/>
          <w:tcMar>
            <w:left w:w="0" w:type="dxa"/>
            <w:right w:w="0" w:type="dxa"/>
          </w:tcMar>
        </w:tcPr>
        <w:p w:rsidR="00000664" w:rsidRDefault="00000664" w:rsidP="00816404">
          <w:pPr>
            <w:pStyle w:val="Header"/>
            <w:contextualSpacing/>
          </w:pPr>
          <w:r>
            <w:rPr>
              <w:noProof/>
              <w:lang w:eastAsia="en-AU"/>
            </w:rPr>
            <w:drawing>
              <wp:anchor distT="114300" distB="114300" distL="114300" distR="114300" simplePos="0" relativeHeight="251659264" behindDoc="1" locked="0" layoutInCell="1" allowOverlap="1" wp14:anchorId="52224774" wp14:editId="081C00EA">
                <wp:simplePos x="0" y="0"/>
                <wp:positionH relativeFrom="margin">
                  <wp:posOffset>2641600</wp:posOffset>
                </wp:positionH>
                <wp:positionV relativeFrom="margin">
                  <wp:posOffset>1270</wp:posOffset>
                </wp:positionV>
                <wp:extent cx="403860" cy="98298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982980"/>
                        </a:xfrm>
                        <a:prstGeom prst="rect">
                          <a:avLst/>
                        </a:prstGeom>
                        <a:noFill/>
                        <a:ln>
                          <a:noFill/>
                        </a:ln>
                      </pic:spPr>
                    </pic:pic>
                  </a:graphicData>
                </a:graphic>
              </wp:anchor>
            </w:drawing>
          </w:r>
        </w:p>
      </w:tc>
      <w:tc>
        <w:tcPr>
          <w:tcW w:w="2474" w:type="dxa"/>
          <w:tcMar>
            <w:left w:w="51" w:type="dxa"/>
            <w:right w:w="0" w:type="dxa"/>
          </w:tcMar>
          <w:vAlign w:val="bottom"/>
        </w:tcPr>
        <w:p w:rsidR="00000664" w:rsidRPr="002B27D8" w:rsidRDefault="00000664" w:rsidP="00816404">
          <w:pPr>
            <w:pStyle w:val="Departmentname"/>
            <w:rPr>
              <w:sz w:val="17"/>
              <w:szCs w:val="17"/>
            </w:rPr>
          </w:pPr>
          <w:r w:rsidRPr="002B27D8">
            <w:rPr>
              <w:sz w:val="17"/>
              <w:szCs w:val="17"/>
            </w:rPr>
            <w:t>territory FAMILIES</w:t>
          </w:r>
        </w:p>
      </w:tc>
    </w:tr>
  </w:tbl>
  <w:p w:rsidR="00BB0C0D" w:rsidRPr="00000664" w:rsidRDefault="00BB0C0D" w:rsidP="00000664">
    <w:pPr>
      <w:pStyle w:val="Header"/>
      <w:jc w:val="left"/>
      <w:rPr>
        <w:sz w:val="2"/>
        <w:szCs w:val="2"/>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64F2"/>
    <w:multiLevelType w:val="hybridMultilevel"/>
    <w:tmpl w:val="A3D815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61014"/>
    <w:multiLevelType w:val="multilevel"/>
    <w:tmpl w:val="53204A44"/>
    <w:numStyleLink w:val="NTGTableNumList"/>
  </w:abstractNum>
  <w:abstractNum w:abstractNumId="2" w15:restartNumberingAfterBreak="0">
    <w:nsid w:val="103C78B2"/>
    <w:multiLevelType w:val="hybridMultilevel"/>
    <w:tmpl w:val="3BAE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27953"/>
    <w:multiLevelType w:val="multilevel"/>
    <w:tmpl w:val="BD7A8414"/>
    <w:numStyleLink w:val="NTGStandardList"/>
  </w:abstractNum>
  <w:abstractNum w:abstractNumId="4" w15:restartNumberingAfterBreak="0">
    <w:nsid w:val="1B5B3A51"/>
    <w:multiLevelType w:val="hybridMultilevel"/>
    <w:tmpl w:val="05C22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374D6"/>
    <w:multiLevelType w:val="multilevel"/>
    <w:tmpl w:val="53204A44"/>
    <w:numStyleLink w:val="NTGTableNumList"/>
  </w:abstractNum>
  <w:abstractNum w:abstractNumId="6" w15:restartNumberingAfterBreak="0">
    <w:nsid w:val="211A12AE"/>
    <w:multiLevelType w:val="multilevel"/>
    <w:tmpl w:val="BD7A8414"/>
    <w:numStyleLink w:val="NTGStandardList"/>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B9D4F2F"/>
    <w:multiLevelType w:val="multilevel"/>
    <w:tmpl w:val="4E6AC8F6"/>
    <w:numStyleLink w:val="NTGStandardNumList"/>
  </w:abstractNum>
  <w:abstractNum w:abstractNumId="10" w15:restartNumberingAfterBreak="0">
    <w:nsid w:val="35C910BE"/>
    <w:multiLevelType w:val="multilevel"/>
    <w:tmpl w:val="BD7A8414"/>
    <w:numStyleLink w:val="NTGStandardList"/>
  </w:abstractNum>
  <w:abstractNum w:abstractNumId="11" w15:restartNumberingAfterBreak="0">
    <w:nsid w:val="388E5E22"/>
    <w:multiLevelType w:val="hybridMultilevel"/>
    <w:tmpl w:val="0442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11104C"/>
    <w:multiLevelType w:val="multilevel"/>
    <w:tmpl w:val="BD7A8414"/>
    <w:numStyleLink w:val="NTGStandardList"/>
  </w:abstractNum>
  <w:abstractNum w:abstractNumId="1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4B8F005A"/>
    <w:multiLevelType w:val="multilevel"/>
    <w:tmpl w:val="4E6AC8F6"/>
    <w:numStyleLink w:val="NTGStandardNumList"/>
  </w:abstractNum>
  <w:abstractNum w:abstractNumId="16" w15:restartNumberingAfterBreak="0">
    <w:nsid w:val="4D22441B"/>
    <w:multiLevelType w:val="multilevel"/>
    <w:tmpl w:val="53204A44"/>
    <w:numStyleLink w:val="NTGTableNumList"/>
  </w:abstractNum>
  <w:abstractNum w:abstractNumId="17" w15:restartNumberingAfterBreak="0">
    <w:nsid w:val="4D740F64"/>
    <w:multiLevelType w:val="hybridMultilevel"/>
    <w:tmpl w:val="3C6EB3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4F7A3139"/>
    <w:multiLevelType w:val="multilevel"/>
    <w:tmpl w:val="53204A44"/>
    <w:numStyleLink w:val="NTGTableNumList"/>
  </w:abstractNum>
  <w:abstractNum w:abstractNumId="20" w15:restartNumberingAfterBreak="0">
    <w:nsid w:val="521E04C5"/>
    <w:multiLevelType w:val="hybridMultilevel"/>
    <w:tmpl w:val="4038328C"/>
    <w:lvl w:ilvl="0" w:tplc="0AFA5FF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C744F"/>
    <w:multiLevelType w:val="multilevel"/>
    <w:tmpl w:val="4E6AC8F6"/>
    <w:numStyleLink w:val="NTGStandardNumList"/>
  </w:abstractNum>
  <w:abstractNum w:abstractNumId="22" w15:restartNumberingAfterBreak="0">
    <w:nsid w:val="5A750A27"/>
    <w:multiLevelType w:val="multilevel"/>
    <w:tmpl w:val="8D8CCF9A"/>
    <w:numStyleLink w:val="NTGTableList"/>
  </w:abstractNum>
  <w:abstractNum w:abstractNumId="23" w15:restartNumberingAfterBreak="0">
    <w:nsid w:val="5B713B90"/>
    <w:multiLevelType w:val="multilevel"/>
    <w:tmpl w:val="4E6AC8F6"/>
    <w:numStyleLink w:val="NTGStandardNumList"/>
  </w:abstractNum>
  <w:abstractNum w:abstractNumId="24" w15:restartNumberingAfterBreak="0">
    <w:nsid w:val="5D042DCE"/>
    <w:multiLevelType w:val="multilevel"/>
    <w:tmpl w:val="4E6AC8F6"/>
    <w:numStyleLink w:val="NTGStandardNumList"/>
  </w:abstractNum>
  <w:abstractNum w:abstractNumId="25" w15:restartNumberingAfterBreak="0">
    <w:nsid w:val="606D0AB2"/>
    <w:multiLevelType w:val="multilevel"/>
    <w:tmpl w:val="4E6AC8F6"/>
    <w:numStyleLink w:val="NTGStandardNumList"/>
  </w:abstractNum>
  <w:abstractNum w:abstractNumId="26" w15:restartNumberingAfterBreak="0">
    <w:nsid w:val="60A13E7C"/>
    <w:multiLevelType w:val="multilevel"/>
    <w:tmpl w:val="8D8CCF9A"/>
    <w:numStyleLink w:val="NTGTableList"/>
  </w:abstractNum>
  <w:abstractNum w:abstractNumId="27" w15:restartNumberingAfterBreak="0">
    <w:nsid w:val="61AD07BD"/>
    <w:multiLevelType w:val="multilevel"/>
    <w:tmpl w:val="4E6AC8F6"/>
    <w:numStyleLink w:val="NTGStandardNumList"/>
  </w:abstractNum>
  <w:abstractNum w:abstractNumId="28"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1C40E8"/>
    <w:multiLevelType w:val="hybridMultilevel"/>
    <w:tmpl w:val="6A50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4E22BB"/>
    <w:multiLevelType w:val="multilevel"/>
    <w:tmpl w:val="8D8CCF9A"/>
    <w:numStyleLink w:val="NTGTableList"/>
  </w:abstractNum>
  <w:abstractNum w:abstractNumId="31" w15:restartNumberingAfterBreak="0">
    <w:nsid w:val="65D01939"/>
    <w:multiLevelType w:val="multilevel"/>
    <w:tmpl w:val="BD7A8414"/>
    <w:numStyleLink w:val="NTGStandardList"/>
  </w:abstractNum>
  <w:abstractNum w:abstractNumId="32" w15:restartNumberingAfterBreak="0">
    <w:nsid w:val="66576C7D"/>
    <w:multiLevelType w:val="hybridMultilevel"/>
    <w:tmpl w:val="66F8D8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870626"/>
    <w:multiLevelType w:val="hybridMultilevel"/>
    <w:tmpl w:val="3C4EF9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73C1104"/>
    <w:multiLevelType w:val="hybridMultilevel"/>
    <w:tmpl w:val="D91EC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7"/>
  </w:num>
  <w:num w:numId="3">
    <w:abstractNumId w:val="8"/>
  </w:num>
  <w:num w:numId="4">
    <w:abstractNumId w:val="13"/>
  </w:num>
  <w:num w:numId="5">
    <w:abstractNumId w:val="36"/>
  </w:num>
  <w:num w:numId="6">
    <w:abstractNumId w:val="18"/>
  </w:num>
  <w:num w:numId="7">
    <w:abstractNumId w:val="26"/>
  </w:num>
  <w:num w:numId="8">
    <w:abstractNumId w:val="19"/>
  </w:num>
  <w:num w:numId="9">
    <w:abstractNumId w:val="23"/>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21"/>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29"/>
  </w:num>
  <w:num w:numId="50">
    <w:abstractNumId w:val="33"/>
  </w:num>
  <w:num w:numId="51">
    <w:abstractNumId w:val="2"/>
  </w:num>
  <w:num w:numId="52">
    <w:abstractNumId w:val="4"/>
  </w:num>
  <w:num w:numId="53">
    <w:abstractNumId w:val="35"/>
  </w:num>
  <w:num w:numId="54">
    <w:abstractNumId w:val="35"/>
  </w:num>
  <w:num w:numId="55">
    <w:abstractNumId w:val="35"/>
  </w:num>
  <w:num w:numId="56">
    <w:abstractNumId w:val="35"/>
  </w:num>
  <w:num w:numId="57">
    <w:abstractNumId w:val="20"/>
  </w:num>
  <w:num w:numId="58">
    <w:abstractNumId w:val="11"/>
  </w:num>
  <w:num w:numId="59">
    <w:abstractNumId w:val="17"/>
  </w:num>
  <w:num w:numId="60">
    <w:abstractNumId w:val="34"/>
  </w:num>
  <w:num w:numId="61">
    <w:abstractNumId w:val="32"/>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56"/>
    <w:rsid w:val="00000664"/>
    <w:rsid w:val="00001DDF"/>
    <w:rsid w:val="00027DB8"/>
    <w:rsid w:val="00031A96"/>
    <w:rsid w:val="00032D30"/>
    <w:rsid w:val="000406DB"/>
    <w:rsid w:val="00040BF3"/>
    <w:rsid w:val="00046C59"/>
    <w:rsid w:val="00051362"/>
    <w:rsid w:val="00051F45"/>
    <w:rsid w:val="00056DEF"/>
    <w:rsid w:val="000720BE"/>
    <w:rsid w:val="0007259C"/>
    <w:rsid w:val="00073B11"/>
    <w:rsid w:val="00080202"/>
    <w:rsid w:val="00080DCD"/>
    <w:rsid w:val="000840A3"/>
    <w:rsid w:val="00084C67"/>
    <w:rsid w:val="00086A5F"/>
    <w:rsid w:val="000911EF"/>
    <w:rsid w:val="000962C5"/>
    <w:rsid w:val="000A5385"/>
    <w:rsid w:val="000A559C"/>
    <w:rsid w:val="000B2CA1"/>
    <w:rsid w:val="000D1F29"/>
    <w:rsid w:val="000F2958"/>
    <w:rsid w:val="00104E7F"/>
    <w:rsid w:val="00107ADC"/>
    <w:rsid w:val="001137EC"/>
    <w:rsid w:val="001152F5"/>
    <w:rsid w:val="00117743"/>
    <w:rsid w:val="00117F5B"/>
    <w:rsid w:val="00132658"/>
    <w:rsid w:val="00134973"/>
    <w:rsid w:val="00135CF6"/>
    <w:rsid w:val="00150DC0"/>
    <w:rsid w:val="00156CD4"/>
    <w:rsid w:val="00164A3E"/>
    <w:rsid w:val="00181620"/>
    <w:rsid w:val="001957AD"/>
    <w:rsid w:val="001A2B7F"/>
    <w:rsid w:val="001A3AFD"/>
    <w:rsid w:val="001B2B6C"/>
    <w:rsid w:val="001B7D45"/>
    <w:rsid w:val="001D01C4"/>
    <w:rsid w:val="001D2868"/>
    <w:rsid w:val="001D52B0"/>
    <w:rsid w:val="001E14EB"/>
    <w:rsid w:val="001F59E6"/>
    <w:rsid w:val="00206936"/>
    <w:rsid w:val="00206C6F"/>
    <w:rsid w:val="00206FBD"/>
    <w:rsid w:val="00207746"/>
    <w:rsid w:val="00230031"/>
    <w:rsid w:val="00234E26"/>
    <w:rsid w:val="00247343"/>
    <w:rsid w:val="002628A2"/>
    <w:rsid w:val="00274B85"/>
    <w:rsid w:val="00274D4B"/>
    <w:rsid w:val="002806F5"/>
    <w:rsid w:val="00281577"/>
    <w:rsid w:val="002926BC"/>
    <w:rsid w:val="00293A72"/>
    <w:rsid w:val="002A30C3"/>
    <w:rsid w:val="002B38F7"/>
    <w:rsid w:val="002B5591"/>
    <w:rsid w:val="002C1FE9"/>
    <w:rsid w:val="002D3A57"/>
    <w:rsid w:val="002D7D05"/>
    <w:rsid w:val="002E20C8"/>
    <w:rsid w:val="002E4290"/>
    <w:rsid w:val="002E66A6"/>
    <w:rsid w:val="002F0DB1"/>
    <w:rsid w:val="002F2885"/>
    <w:rsid w:val="003037F9"/>
    <w:rsid w:val="0030583E"/>
    <w:rsid w:val="00316B0D"/>
    <w:rsid w:val="00323D62"/>
    <w:rsid w:val="003258E6"/>
    <w:rsid w:val="0034223A"/>
    <w:rsid w:val="00342283"/>
    <w:rsid w:val="00343A87"/>
    <w:rsid w:val="0034490A"/>
    <w:rsid w:val="00347FB6"/>
    <w:rsid w:val="003504FD"/>
    <w:rsid w:val="00350881"/>
    <w:rsid w:val="00353776"/>
    <w:rsid w:val="00357D55"/>
    <w:rsid w:val="00362A3E"/>
    <w:rsid w:val="00363158"/>
    <w:rsid w:val="00363513"/>
    <w:rsid w:val="003657E5"/>
    <w:rsid w:val="0036589C"/>
    <w:rsid w:val="00371312"/>
    <w:rsid w:val="00371DC7"/>
    <w:rsid w:val="00377B21"/>
    <w:rsid w:val="0038751F"/>
    <w:rsid w:val="00394876"/>
    <w:rsid w:val="00394AAF"/>
    <w:rsid w:val="003A7C16"/>
    <w:rsid w:val="003B67FD"/>
    <w:rsid w:val="003D42C0"/>
    <w:rsid w:val="003D7818"/>
    <w:rsid w:val="003E2445"/>
    <w:rsid w:val="003E3BB2"/>
    <w:rsid w:val="0040222A"/>
    <w:rsid w:val="004047BC"/>
    <w:rsid w:val="00406108"/>
    <w:rsid w:val="004100F7"/>
    <w:rsid w:val="004132EF"/>
    <w:rsid w:val="00413A46"/>
    <w:rsid w:val="00414CB3"/>
    <w:rsid w:val="0041563D"/>
    <w:rsid w:val="0042012A"/>
    <w:rsid w:val="00421F81"/>
    <w:rsid w:val="00426E25"/>
    <w:rsid w:val="00427D9C"/>
    <w:rsid w:val="004407C1"/>
    <w:rsid w:val="00443B6E"/>
    <w:rsid w:val="0045420A"/>
    <w:rsid w:val="004554D4"/>
    <w:rsid w:val="00461744"/>
    <w:rsid w:val="00463C7F"/>
    <w:rsid w:val="00466D96"/>
    <w:rsid w:val="00473C98"/>
    <w:rsid w:val="00476877"/>
    <w:rsid w:val="00482DF8"/>
    <w:rsid w:val="004864DE"/>
    <w:rsid w:val="00494BE5"/>
    <w:rsid w:val="004A2538"/>
    <w:rsid w:val="004B0C15"/>
    <w:rsid w:val="004B35EA"/>
    <w:rsid w:val="004B69E4"/>
    <w:rsid w:val="004D075F"/>
    <w:rsid w:val="004D1B76"/>
    <w:rsid w:val="004D344E"/>
    <w:rsid w:val="004E019E"/>
    <w:rsid w:val="004E06EC"/>
    <w:rsid w:val="004E2CB7"/>
    <w:rsid w:val="004F016A"/>
    <w:rsid w:val="004F1334"/>
    <w:rsid w:val="004F6C0C"/>
    <w:rsid w:val="005002F6"/>
    <w:rsid w:val="00502FB3"/>
    <w:rsid w:val="00503DE9"/>
    <w:rsid w:val="0050530C"/>
    <w:rsid w:val="00505DEA"/>
    <w:rsid w:val="00507782"/>
    <w:rsid w:val="00512A04"/>
    <w:rsid w:val="0051583E"/>
    <w:rsid w:val="005249F5"/>
    <w:rsid w:val="00543BD1"/>
    <w:rsid w:val="00556113"/>
    <w:rsid w:val="00564C12"/>
    <w:rsid w:val="00564C25"/>
    <w:rsid w:val="005654B8"/>
    <w:rsid w:val="005762CC"/>
    <w:rsid w:val="00582D3D"/>
    <w:rsid w:val="00595386"/>
    <w:rsid w:val="005A4AC0"/>
    <w:rsid w:val="005A5FDF"/>
    <w:rsid w:val="005A70E9"/>
    <w:rsid w:val="005B0FB7"/>
    <w:rsid w:val="005B122A"/>
    <w:rsid w:val="005B4CD3"/>
    <w:rsid w:val="005B5AC2"/>
    <w:rsid w:val="005C2833"/>
    <w:rsid w:val="005C49D8"/>
    <w:rsid w:val="005C5F01"/>
    <w:rsid w:val="005E0F11"/>
    <w:rsid w:val="005E144D"/>
    <w:rsid w:val="005E3A43"/>
    <w:rsid w:val="00620068"/>
    <w:rsid w:val="00620675"/>
    <w:rsid w:val="00622D72"/>
    <w:rsid w:val="00637FA5"/>
    <w:rsid w:val="006402B5"/>
    <w:rsid w:val="006433C3"/>
    <w:rsid w:val="00650841"/>
    <w:rsid w:val="00650F5B"/>
    <w:rsid w:val="00666E57"/>
    <w:rsid w:val="006670D7"/>
    <w:rsid w:val="006719EA"/>
    <w:rsid w:val="00671F13"/>
    <w:rsid w:val="0067400A"/>
    <w:rsid w:val="006B04F0"/>
    <w:rsid w:val="006D66F7"/>
    <w:rsid w:val="006E40E1"/>
    <w:rsid w:val="006F2A94"/>
    <w:rsid w:val="006F4E53"/>
    <w:rsid w:val="00705C9D"/>
    <w:rsid w:val="00714F1D"/>
    <w:rsid w:val="007154FC"/>
    <w:rsid w:val="00722DDB"/>
    <w:rsid w:val="00724728"/>
    <w:rsid w:val="00724F98"/>
    <w:rsid w:val="00730B9B"/>
    <w:rsid w:val="007332FF"/>
    <w:rsid w:val="007408F5"/>
    <w:rsid w:val="00740F58"/>
    <w:rsid w:val="00741EAE"/>
    <w:rsid w:val="0076190B"/>
    <w:rsid w:val="00763A2D"/>
    <w:rsid w:val="00770A51"/>
    <w:rsid w:val="00777795"/>
    <w:rsid w:val="007809AB"/>
    <w:rsid w:val="00783A57"/>
    <w:rsid w:val="00784C92"/>
    <w:rsid w:val="007859CD"/>
    <w:rsid w:val="007907E4"/>
    <w:rsid w:val="00795D48"/>
    <w:rsid w:val="00796461"/>
    <w:rsid w:val="007A6A4F"/>
    <w:rsid w:val="007A7716"/>
    <w:rsid w:val="007B03F5"/>
    <w:rsid w:val="007B5C09"/>
    <w:rsid w:val="007B5DA2"/>
    <w:rsid w:val="007C0966"/>
    <w:rsid w:val="007C5CFD"/>
    <w:rsid w:val="007C5DEA"/>
    <w:rsid w:val="007C6D9F"/>
    <w:rsid w:val="007E74A4"/>
    <w:rsid w:val="007F263F"/>
    <w:rsid w:val="0080766E"/>
    <w:rsid w:val="00815297"/>
    <w:rsid w:val="00817BA1"/>
    <w:rsid w:val="00823022"/>
    <w:rsid w:val="008313C4"/>
    <w:rsid w:val="008358C0"/>
    <w:rsid w:val="00842838"/>
    <w:rsid w:val="0084663D"/>
    <w:rsid w:val="0085797F"/>
    <w:rsid w:val="00861DC3"/>
    <w:rsid w:val="00867019"/>
    <w:rsid w:val="008735A9"/>
    <w:rsid w:val="00877D20"/>
    <w:rsid w:val="00881C48"/>
    <w:rsid w:val="00885B80"/>
    <w:rsid w:val="00885E9B"/>
    <w:rsid w:val="00893C96"/>
    <w:rsid w:val="00896386"/>
    <w:rsid w:val="008A42AC"/>
    <w:rsid w:val="008A6FE6"/>
    <w:rsid w:val="008A7C12"/>
    <w:rsid w:val="008B529E"/>
    <w:rsid w:val="008C17FB"/>
    <w:rsid w:val="008C1A09"/>
    <w:rsid w:val="008D57B8"/>
    <w:rsid w:val="008E03FC"/>
    <w:rsid w:val="008E3F26"/>
    <w:rsid w:val="008E510B"/>
    <w:rsid w:val="008F6A17"/>
    <w:rsid w:val="00902B13"/>
    <w:rsid w:val="00911941"/>
    <w:rsid w:val="00925F0F"/>
    <w:rsid w:val="00931949"/>
    <w:rsid w:val="00932F6B"/>
    <w:rsid w:val="00937F24"/>
    <w:rsid w:val="00941EA2"/>
    <w:rsid w:val="009468BC"/>
    <w:rsid w:val="009572C9"/>
    <w:rsid w:val="009616DF"/>
    <w:rsid w:val="009623EB"/>
    <w:rsid w:val="0096542F"/>
    <w:rsid w:val="00967FA7"/>
    <w:rsid w:val="00971645"/>
    <w:rsid w:val="00977919"/>
    <w:rsid w:val="00982919"/>
    <w:rsid w:val="009870FA"/>
    <w:rsid w:val="00991BF8"/>
    <w:rsid w:val="00993130"/>
    <w:rsid w:val="00997958"/>
    <w:rsid w:val="009A0E68"/>
    <w:rsid w:val="009A4527"/>
    <w:rsid w:val="009A5897"/>
    <w:rsid w:val="009A5F24"/>
    <w:rsid w:val="009B1913"/>
    <w:rsid w:val="009B6657"/>
    <w:rsid w:val="009D0EB5"/>
    <w:rsid w:val="009D14F9"/>
    <w:rsid w:val="009D2B74"/>
    <w:rsid w:val="009E175D"/>
    <w:rsid w:val="009E33B8"/>
    <w:rsid w:val="009E3CC2"/>
    <w:rsid w:val="009F06BD"/>
    <w:rsid w:val="009F2A4D"/>
    <w:rsid w:val="00A10655"/>
    <w:rsid w:val="00A25193"/>
    <w:rsid w:val="00A31AE8"/>
    <w:rsid w:val="00A3739D"/>
    <w:rsid w:val="00A37DDA"/>
    <w:rsid w:val="00A41BD2"/>
    <w:rsid w:val="00A67467"/>
    <w:rsid w:val="00A736E6"/>
    <w:rsid w:val="00A751C1"/>
    <w:rsid w:val="00A82068"/>
    <w:rsid w:val="00A925EC"/>
    <w:rsid w:val="00A929AA"/>
    <w:rsid w:val="00A92B6B"/>
    <w:rsid w:val="00AA541E"/>
    <w:rsid w:val="00AC1678"/>
    <w:rsid w:val="00AC1797"/>
    <w:rsid w:val="00AD0DA4"/>
    <w:rsid w:val="00AD4169"/>
    <w:rsid w:val="00AD5F03"/>
    <w:rsid w:val="00AD6D74"/>
    <w:rsid w:val="00AE0031"/>
    <w:rsid w:val="00AE25C6"/>
    <w:rsid w:val="00AE306C"/>
    <w:rsid w:val="00B02EF1"/>
    <w:rsid w:val="00B07C97"/>
    <w:rsid w:val="00B10466"/>
    <w:rsid w:val="00B15754"/>
    <w:rsid w:val="00B17FDE"/>
    <w:rsid w:val="00B2046E"/>
    <w:rsid w:val="00B20E8B"/>
    <w:rsid w:val="00B23183"/>
    <w:rsid w:val="00B247D2"/>
    <w:rsid w:val="00B257E1"/>
    <w:rsid w:val="00B270DF"/>
    <w:rsid w:val="00B343CC"/>
    <w:rsid w:val="00B36273"/>
    <w:rsid w:val="00B5084A"/>
    <w:rsid w:val="00B53564"/>
    <w:rsid w:val="00B53727"/>
    <w:rsid w:val="00B60FC4"/>
    <w:rsid w:val="00B614F7"/>
    <w:rsid w:val="00B61B26"/>
    <w:rsid w:val="00B675B2"/>
    <w:rsid w:val="00B719E5"/>
    <w:rsid w:val="00B746A0"/>
    <w:rsid w:val="00B74ABB"/>
    <w:rsid w:val="00B81261"/>
    <w:rsid w:val="00B8223E"/>
    <w:rsid w:val="00B832AE"/>
    <w:rsid w:val="00B86678"/>
    <w:rsid w:val="00B90E9F"/>
    <w:rsid w:val="00B941B3"/>
    <w:rsid w:val="00B96513"/>
    <w:rsid w:val="00B97857"/>
    <w:rsid w:val="00BA1D47"/>
    <w:rsid w:val="00BA66F0"/>
    <w:rsid w:val="00BB0C0D"/>
    <w:rsid w:val="00BB2239"/>
    <w:rsid w:val="00BB2AE7"/>
    <w:rsid w:val="00BB6464"/>
    <w:rsid w:val="00BC1BB8"/>
    <w:rsid w:val="00BC5B4B"/>
    <w:rsid w:val="00BD7FE1"/>
    <w:rsid w:val="00BE6144"/>
    <w:rsid w:val="00BE635A"/>
    <w:rsid w:val="00BF2ABB"/>
    <w:rsid w:val="00BF5099"/>
    <w:rsid w:val="00C059E5"/>
    <w:rsid w:val="00C0748F"/>
    <w:rsid w:val="00C10F10"/>
    <w:rsid w:val="00C12E68"/>
    <w:rsid w:val="00C15D4D"/>
    <w:rsid w:val="00C175DC"/>
    <w:rsid w:val="00C309D8"/>
    <w:rsid w:val="00C30E19"/>
    <w:rsid w:val="00C325B0"/>
    <w:rsid w:val="00C32AA6"/>
    <w:rsid w:val="00C61AFA"/>
    <w:rsid w:val="00C62099"/>
    <w:rsid w:val="00C64EA3"/>
    <w:rsid w:val="00C7047F"/>
    <w:rsid w:val="00C72867"/>
    <w:rsid w:val="00C75E81"/>
    <w:rsid w:val="00C92B4C"/>
    <w:rsid w:val="00C954F6"/>
    <w:rsid w:val="00CA6BC5"/>
    <w:rsid w:val="00CC61CD"/>
    <w:rsid w:val="00CE640F"/>
    <w:rsid w:val="00CE7B5D"/>
    <w:rsid w:val="00CF540E"/>
    <w:rsid w:val="00D02F07"/>
    <w:rsid w:val="00D146C6"/>
    <w:rsid w:val="00D15D27"/>
    <w:rsid w:val="00D27AF4"/>
    <w:rsid w:val="00D36A49"/>
    <w:rsid w:val="00D453C7"/>
    <w:rsid w:val="00D517C6"/>
    <w:rsid w:val="00D673C0"/>
    <w:rsid w:val="00D71D84"/>
    <w:rsid w:val="00D72464"/>
    <w:rsid w:val="00D72BD1"/>
    <w:rsid w:val="00D768EB"/>
    <w:rsid w:val="00D82D1E"/>
    <w:rsid w:val="00D831A5"/>
    <w:rsid w:val="00D832D9"/>
    <w:rsid w:val="00D90F00"/>
    <w:rsid w:val="00D975C0"/>
    <w:rsid w:val="00DA5285"/>
    <w:rsid w:val="00DA55C7"/>
    <w:rsid w:val="00DA668D"/>
    <w:rsid w:val="00DB191D"/>
    <w:rsid w:val="00DB3A1A"/>
    <w:rsid w:val="00DB4F91"/>
    <w:rsid w:val="00DC3117"/>
    <w:rsid w:val="00DC5DD9"/>
    <w:rsid w:val="00DE33B5"/>
    <w:rsid w:val="00DE5E18"/>
    <w:rsid w:val="00DF0487"/>
    <w:rsid w:val="00DF18EB"/>
    <w:rsid w:val="00E02681"/>
    <w:rsid w:val="00E02792"/>
    <w:rsid w:val="00E034D8"/>
    <w:rsid w:val="00E04CC0"/>
    <w:rsid w:val="00E05E81"/>
    <w:rsid w:val="00E15816"/>
    <w:rsid w:val="00E160D5"/>
    <w:rsid w:val="00E30556"/>
    <w:rsid w:val="00E30981"/>
    <w:rsid w:val="00E33136"/>
    <w:rsid w:val="00E34C94"/>
    <w:rsid w:val="00E3723D"/>
    <w:rsid w:val="00E51FCF"/>
    <w:rsid w:val="00E55194"/>
    <w:rsid w:val="00E61BA2"/>
    <w:rsid w:val="00E6346A"/>
    <w:rsid w:val="00E6403F"/>
    <w:rsid w:val="00E861DB"/>
    <w:rsid w:val="00E93406"/>
    <w:rsid w:val="00E956C5"/>
    <w:rsid w:val="00E95C39"/>
    <w:rsid w:val="00EA2C39"/>
    <w:rsid w:val="00EB0A96"/>
    <w:rsid w:val="00EB42E1"/>
    <w:rsid w:val="00EB77F9"/>
    <w:rsid w:val="00EC31EF"/>
    <w:rsid w:val="00EC5769"/>
    <w:rsid w:val="00EC7D00"/>
    <w:rsid w:val="00EE38FA"/>
    <w:rsid w:val="00EE3E2C"/>
    <w:rsid w:val="00EE5D23"/>
    <w:rsid w:val="00EE6CD8"/>
    <w:rsid w:val="00EF0F03"/>
    <w:rsid w:val="00EF3CA4"/>
    <w:rsid w:val="00F014DA"/>
    <w:rsid w:val="00F02CD3"/>
    <w:rsid w:val="00F12553"/>
    <w:rsid w:val="00F57F56"/>
    <w:rsid w:val="00F84529"/>
    <w:rsid w:val="00F94398"/>
    <w:rsid w:val="00FA3D3D"/>
    <w:rsid w:val="00FB2B56"/>
    <w:rsid w:val="00FB3C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7768D-CF7C-4090-984B-6C6867FF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00"/>
  </w:style>
  <w:style w:type="paragraph" w:styleId="Heading1">
    <w:name w:val="heading 1"/>
    <w:basedOn w:val="Normal"/>
    <w:next w:val="Normal"/>
    <w:link w:val="Heading1Char"/>
    <w:uiPriority w:val="1"/>
    <w:qFormat/>
    <w:rsid w:val="009A5F24"/>
    <w:pPr>
      <w:keepNext/>
      <w:keepLines/>
      <w:numPr>
        <w:numId w:val="47"/>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47"/>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47"/>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47"/>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47"/>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47"/>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47"/>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47"/>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47"/>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EC7D00"/>
    <w:pPr>
      <w:spacing w:after="40"/>
    </w:pPr>
    <w:rPr>
      <w:sz w:val="20"/>
      <w:szCs w:val="20"/>
      <w:lang w:eastAsia="en-AU"/>
    </w:rPr>
    <w:tblPr>
      <w:tblStyleRowBandSize w:val="1"/>
      <w:tblStyleColBandSize w:val="1"/>
      <w:tblInd w:w="113" w:type="dxa"/>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qFormat/>
    <w:rsid w:val="007C6D9F"/>
    <w:pPr>
      <w:numPr>
        <w:numId w:val="21"/>
      </w:numPr>
    </w:pPr>
  </w:style>
  <w:style w:type="paragraph" w:styleId="ListNumber2">
    <w:name w:val="List Number 2"/>
    <w:basedOn w:val="Normal"/>
    <w:uiPriority w:val="99"/>
    <w:rsid w:val="007C6D9F"/>
    <w:pPr>
      <w:numPr>
        <w:ilvl w:val="1"/>
        <w:numId w:val="21"/>
      </w:numPr>
    </w:pPr>
  </w:style>
  <w:style w:type="paragraph" w:styleId="ListNumber3">
    <w:name w:val="List Number 3"/>
    <w:basedOn w:val="Normal"/>
    <w:uiPriority w:val="99"/>
    <w:rsid w:val="007C6D9F"/>
    <w:pPr>
      <w:numPr>
        <w:ilvl w:val="2"/>
        <w:numId w:val="21"/>
      </w:numPr>
    </w:pPr>
  </w:style>
  <w:style w:type="paragraph" w:styleId="ListNumber4">
    <w:name w:val="List Number 4"/>
    <w:basedOn w:val="Normal"/>
    <w:uiPriority w:val="99"/>
    <w:rsid w:val="007C6D9F"/>
    <w:pPr>
      <w:numPr>
        <w:ilvl w:val="3"/>
        <w:numId w:val="21"/>
      </w:numPr>
    </w:pPr>
  </w:style>
  <w:style w:type="paragraph" w:styleId="ListNumber5">
    <w:name w:val="List Number 5"/>
    <w:basedOn w:val="Normal"/>
    <w:uiPriority w:val="99"/>
    <w:rsid w:val="007C6D9F"/>
    <w:pPr>
      <w:numPr>
        <w:ilvl w:val="4"/>
        <w:numId w:val="21"/>
      </w:numPr>
    </w:pPr>
  </w:style>
  <w:style w:type="paragraph" w:styleId="ListBullet">
    <w:name w:val="List Bullet"/>
    <w:basedOn w:val="Normal"/>
    <w:uiPriority w:val="99"/>
    <w:rsid w:val="004E2CB7"/>
    <w:pPr>
      <w:numPr>
        <w:numId w:val="32"/>
      </w:numPr>
    </w:pPr>
  </w:style>
  <w:style w:type="paragraph" w:styleId="ListBullet2">
    <w:name w:val="List Bullet 2"/>
    <w:basedOn w:val="Normal"/>
    <w:uiPriority w:val="99"/>
    <w:rsid w:val="004E2CB7"/>
    <w:pPr>
      <w:numPr>
        <w:ilvl w:val="1"/>
        <w:numId w:val="32"/>
      </w:numPr>
    </w:pPr>
  </w:style>
  <w:style w:type="paragraph" w:styleId="ListBullet3">
    <w:name w:val="List Bullet 3"/>
    <w:basedOn w:val="Normal"/>
    <w:uiPriority w:val="99"/>
    <w:rsid w:val="004E2CB7"/>
    <w:pPr>
      <w:numPr>
        <w:ilvl w:val="2"/>
        <w:numId w:val="32"/>
      </w:numPr>
    </w:pPr>
  </w:style>
  <w:style w:type="paragraph" w:styleId="ListBullet4">
    <w:name w:val="List Bullet 4"/>
    <w:basedOn w:val="Normal"/>
    <w:uiPriority w:val="99"/>
    <w:rsid w:val="004E2CB7"/>
    <w:pPr>
      <w:numPr>
        <w:ilvl w:val="3"/>
        <w:numId w:val="32"/>
      </w:numPr>
    </w:pPr>
  </w:style>
  <w:style w:type="paragraph" w:styleId="ListBullet5">
    <w:name w:val="List Bullet 5"/>
    <w:basedOn w:val="Normal"/>
    <w:uiPriority w:val="99"/>
    <w:rsid w:val="004E2CB7"/>
    <w:pPr>
      <w:numPr>
        <w:ilvl w:val="4"/>
        <w:numId w:val="32"/>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character" w:styleId="CommentReference">
    <w:name w:val="annotation reference"/>
    <w:basedOn w:val="DefaultParagraphFont"/>
    <w:uiPriority w:val="99"/>
    <w:semiHidden/>
    <w:unhideWhenUsed/>
    <w:rsid w:val="004F6C0C"/>
    <w:rPr>
      <w:sz w:val="16"/>
      <w:szCs w:val="16"/>
    </w:rPr>
  </w:style>
  <w:style w:type="paragraph" w:styleId="CommentText">
    <w:name w:val="annotation text"/>
    <w:basedOn w:val="Normal"/>
    <w:link w:val="CommentTextChar"/>
    <w:uiPriority w:val="99"/>
    <w:semiHidden/>
    <w:unhideWhenUsed/>
    <w:rsid w:val="004F6C0C"/>
    <w:rPr>
      <w:sz w:val="20"/>
      <w:szCs w:val="20"/>
    </w:rPr>
  </w:style>
  <w:style w:type="character" w:customStyle="1" w:styleId="CommentTextChar">
    <w:name w:val="Comment Text Char"/>
    <w:basedOn w:val="DefaultParagraphFont"/>
    <w:link w:val="CommentText"/>
    <w:uiPriority w:val="99"/>
    <w:semiHidden/>
    <w:rsid w:val="004F6C0C"/>
    <w:rPr>
      <w:sz w:val="20"/>
      <w:szCs w:val="20"/>
    </w:rPr>
  </w:style>
  <w:style w:type="paragraph" w:styleId="CommentSubject">
    <w:name w:val="annotation subject"/>
    <w:basedOn w:val="CommentText"/>
    <w:next w:val="CommentText"/>
    <w:link w:val="CommentSubjectChar"/>
    <w:uiPriority w:val="99"/>
    <w:semiHidden/>
    <w:unhideWhenUsed/>
    <w:rsid w:val="004F6C0C"/>
    <w:rPr>
      <w:b/>
      <w:bCs/>
    </w:rPr>
  </w:style>
  <w:style w:type="character" w:customStyle="1" w:styleId="CommentSubjectChar">
    <w:name w:val="Comment Subject Char"/>
    <w:basedOn w:val="CommentTextChar"/>
    <w:link w:val="CommentSubject"/>
    <w:uiPriority w:val="99"/>
    <w:semiHidden/>
    <w:rsid w:val="004F6C0C"/>
    <w:rPr>
      <w:b/>
      <w:bCs/>
      <w:sz w:val="20"/>
      <w:szCs w:val="20"/>
    </w:rPr>
  </w:style>
  <w:style w:type="paragraph" w:styleId="Revision">
    <w:name w:val="Revision"/>
    <w:hidden/>
    <w:uiPriority w:val="99"/>
    <w:semiHidden/>
    <w:rsid w:val="004F6C0C"/>
    <w:pPr>
      <w:spacing w:after="0"/>
    </w:pPr>
  </w:style>
  <w:style w:type="character" w:customStyle="1" w:styleId="NoSpacingChar">
    <w:name w:val="No Spacing Char"/>
    <w:basedOn w:val="DefaultParagraphFont"/>
    <w:link w:val="NoSpacing"/>
    <w:uiPriority w:val="1"/>
    <w:rsid w:val="00000664"/>
  </w:style>
  <w:style w:type="paragraph" w:customStyle="1" w:styleId="Departmentname">
    <w:name w:val="Department name"/>
    <w:basedOn w:val="Normal"/>
    <w:rsid w:val="00000664"/>
    <w:pPr>
      <w:spacing w:after="0"/>
    </w:pPr>
    <w:rPr>
      <w:rFonts w:ascii="Lato Black" w:eastAsia="Times New Roman" w:hAnsi="Lato Black" w:cs="Lato Black"/>
      <w:caps/>
      <w:color w:val="231F20"/>
      <w:sz w:val="24"/>
      <w:szCs w:val="24"/>
      <w:u w:color="000000"/>
      <w:lang w:val="en-US" w:eastAsia="ja-JP"/>
    </w:rPr>
  </w:style>
  <w:style w:type="character" w:customStyle="1" w:styleId="ListParagraphChar">
    <w:name w:val="List Paragraph Char"/>
    <w:basedOn w:val="DefaultParagraphFont"/>
    <w:link w:val="ListParagraph"/>
    <w:uiPriority w:val="34"/>
    <w:rsid w:val="00564C25"/>
    <w:rPr>
      <w:rFonts w:eastAsiaTheme="minorEastAsi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595127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itoryfamilies.nt.gov.au/policy/office-of-gender-equity-and-diversity/about-the-office-of-womens-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o\AppData\Local\Temp\Temp4_blank-word-portrait-template_8.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8CAD-009F-490F-8C0E-164AD75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0</TotalTime>
  <Pages>6</Pages>
  <Words>1760</Words>
  <Characters>10510</Characters>
  <Application>Microsoft Office Word</Application>
  <DocSecurity>0</DocSecurity>
  <Lines>808</Lines>
  <Paragraphs>350</Paragraphs>
  <ScaleCrop>false</ScaleCrop>
  <HeadingPairs>
    <vt:vector size="2" baseType="variant">
      <vt:variant>
        <vt:lpstr>Title</vt:lpstr>
      </vt:variant>
      <vt:variant>
        <vt:i4>1</vt:i4>
      </vt:variant>
    </vt:vector>
  </HeadingPairs>
  <TitlesOfParts>
    <vt:vector size="1" baseType="lpstr">
      <vt:lpstr>Office of Gender Equity and Diversity Gender Equality Grants - Guidelines</vt:lpstr>
    </vt:vector>
  </TitlesOfParts>
  <Company>Northern Territory Government</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day - grant guidelines</dc:title>
  <dc:creator>Northern Territory Government</dc:creator>
  <cp:lastModifiedBy>Victoria Edmonds</cp:lastModifiedBy>
  <cp:revision>2</cp:revision>
  <cp:lastPrinted>2017-09-27T23:56:00Z</cp:lastPrinted>
  <dcterms:created xsi:type="dcterms:W3CDTF">2018-10-01T22:59:00Z</dcterms:created>
  <dcterms:modified xsi:type="dcterms:W3CDTF">2018-10-01T22:59:00Z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
  </property>
  <property fmtid="{D5CDD505-2E9C-101B-9397-08002B2CF9AE}" pid="3" name="DepartmentName">
    <vt:lpwstr>Territory Families</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1 December 2016</vt:lpwstr>
  </property>
</Properties>
</file>