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7" w:rsidRPr="00C6417C" w:rsidRDefault="00944CE8" w:rsidP="00CD26A1">
      <w:pPr>
        <w:pStyle w:val="Heading1"/>
        <w:tabs>
          <w:tab w:val="right" w:pos="10466"/>
        </w:tabs>
        <w:spacing w:before="0" w:after="120"/>
        <w:ind w:left="0" w:right="0"/>
      </w:pPr>
      <w:r>
        <w:t xml:space="preserve">Cost of </w:t>
      </w:r>
      <w:r w:rsidR="00360F50">
        <w:t>t</w:t>
      </w:r>
      <w:r>
        <w:t xml:space="preserve">urnover </w:t>
      </w:r>
      <w:r w:rsidR="00360F50">
        <w:t>c</w:t>
      </w:r>
      <w:r>
        <w:t>alculator</w:t>
      </w:r>
      <w:r w:rsidR="00360F50">
        <w:tab/>
      </w:r>
      <w:r w:rsidR="003F5148" w:rsidRPr="00360F50">
        <w:rPr>
          <w:sz w:val="28"/>
          <w:szCs w:val="28"/>
        </w:rPr>
        <w:t>(insert organisation / logo)</w:t>
      </w:r>
    </w:p>
    <w:p w:rsidR="003030C7" w:rsidRPr="003D24E7" w:rsidRDefault="00F245F3" w:rsidP="00CD26A1">
      <w:pPr>
        <w:spacing w:before="120" w:after="80"/>
        <w:rPr>
          <w:sz w:val="22"/>
        </w:rPr>
      </w:pPr>
      <w:r w:rsidRPr="003D24E7">
        <w:rPr>
          <w:sz w:val="22"/>
        </w:rPr>
        <w:t xml:space="preserve">This template provides three steps to analysing and addressing workforce turnover.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Workforce turnover checklist and analysis"/>
        <w:tblDescription w:val="This table contains a workforce turnover checklist and a range of questions to allow analysis."/>
      </w:tblPr>
      <w:tblGrid>
        <w:gridCol w:w="7371"/>
        <w:gridCol w:w="1418"/>
        <w:gridCol w:w="1701"/>
      </w:tblGrid>
      <w:tr w:rsidR="00E029E9" w:rsidRPr="00F245F3" w:rsidTr="007E5D56">
        <w:trPr>
          <w:cantSplit/>
          <w:trHeight w:val="60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3676BC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029E9" w:rsidRPr="00C04B60" w:rsidRDefault="00C04B60" w:rsidP="00C6417C">
            <w:pPr>
              <w:spacing w:line="240" w:lineRule="auto"/>
              <w:rPr>
                <w:rFonts w:eastAsiaTheme="minorEastAsia" w:cs="Arial"/>
                <w:b/>
                <w:color w:val="FFFFFF" w:themeColor="background1"/>
              </w:rPr>
            </w:pPr>
            <w:r w:rsidRPr="00C04B60">
              <w:rPr>
                <w:rFonts w:eastAsiaTheme="minorEastAsia" w:cstheme="minorBidi"/>
                <w:b/>
                <w:color w:val="FFFFFF" w:themeColor="background1"/>
                <w:sz w:val="22"/>
              </w:rPr>
              <w:t>Step One – Measure Your Turnover Percentage</w:t>
            </w:r>
          </w:p>
        </w:tc>
      </w:tr>
      <w:tr w:rsidR="003030C7" w:rsidRPr="00F245F3" w:rsidTr="00282506">
        <w:trPr>
          <w:cantSplit/>
          <w:trHeight w:val="302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="Arial"/>
              </w:rPr>
              <w:t>1.  What’s your average number of employees?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="Arial"/>
              </w:rPr>
              <w:t>Example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="Arial"/>
              </w:rPr>
              <w:t>Your figures</w:t>
            </w:r>
          </w:p>
        </w:tc>
      </w:tr>
      <w:tr w:rsidR="003030C7" w:rsidRPr="00F245F3" w:rsidTr="00282506">
        <w:trPr>
          <w:cantSplit/>
          <w:trHeight w:val="1038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AF6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  <w:kern w:val="16"/>
              </w:rPr>
            </w:pPr>
            <w:r w:rsidRPr="00F245F3">
              <w:rPr>
                <w:rFonts w:eastAsiaTheme="minorEastAsia" w:cstheme="minorBidi"/>
                <w:kern w:val="16"/>
              </w:rPr>
              <w:t xml:space="preserve">Add the number of employees at the beginning of a nominated period (such as the financial year) with the number employed at the end of the period and divide by two. </w:t>
            </w:r>
          </w:p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Average number of employees = (no. at beginning + no. at end)</w:t>
            </w:r>
            <w:r w:rsidR="00E029E9">
              <w:rPr>
                <w:rFonts w:eastAsiaTheme="minorEastAsia" w:cstheme="minorBidi"/>
              </w:rPr>
              <w:t xml:space="preserve"> </w:t>
            </w:r>
            <w:r w:rsidRPr="00F245F3">
              <w:rPr>
                <w:rFonts w:eastAsiaTheme="minorEastAsia" w:cstheme="minorBidi"/>
              </w:rPr>
              <w:t>/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(30 + 42 )/2</w:t>
            </w:r>
          </w:p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br/>
            </w:r>
            <w:r w:rsidRPr="00F245F3">
              <w:rPr>
                <w:rFonts w:eastAsiaTheme="minorEastAsia" w:cstheme="minorBidi"/>
              </w:rPr>
              <w:br/>
              <w:t>36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9F7C6B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30C7" w:rsidRPr="00F245F3" w:rsidTr="00282506">
        <w:trPr>
          <w:cantSplit/>
          <w:trHeight w:val="60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="Arial"/>
              </w:rPr>
              <w:t>2.  What’s your turnover percentage rate?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030C7" w:rsidRPr="00F245F3" w:rsidRDefault="003030C7" w:rsidP="00282506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9F7C6B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30C7" w:rsidRPr="00F245F3" w:rsidTr="00282506">
        <w:trPr>
          <w:cantSplit/>
          <w:trHeight w:val="60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AF6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How many employees left during the same nominated period?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9F7C6B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30C7" w:rsidRPr="00F245F3" w:rsidTr="00282506">
        <w:trPr>
          <w:cantSplit/>
          <w:trHeight w:val="60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AF6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  <w:kern w:val="16"/>
              </w:rPr>
            </w:pPr>
            <w:r w:rsidRPr="00F245F3">
              <w:rPr>
                <w:rFonts w:eastAsiaTheme="minorEastAsia" w:cstheme="minorBidi"/>
                <w:kern w:val="16"/>
              </w:rPr>
              <w:t>Multiply the number who left by 100 and divide by the average number of employees in that same period. This gives you your turnover rate as a percentage.</w:t>
            </w:r>
          </w:p>
          <w:p w:rsidR="003030C7" w:rsidRPr="00F245F3" w:rsidRDefault="00F245F3" w:rsidP="00E029E9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 xml:space="preserve">Turnover percentage rate =(no. of employees who left </w:t>
            </w:r>
            <w:r w:rsidR="00E029E9">
              <w:rPr>
                <w:rFonts w:eastAsiaTheme="minorEastAsia" w:cstheme="minorBidi"/>
              </w:rPr>
              <w:t>x</w:t>
            </w:r>
            <w:r w:rsidRPr="00F245F3">
              <w:rPr>
                <w:rFonts w:eastAsiaTheme="minorEastAsia" w:cstheme="minorBidi"/>
              </w:rPr>
              <w:t xml:space="preserve"> 100) / av. no. of employees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(6 X 100)/ 36</w:t>
            </w:r>
          </w:p>
          <w:p w:rsidR="00E029E9" w:rsidRDefault="00E029E9" w:rsidP="00282506">
            <w:pPr>
              <w:jc w:val="center"/>
              <w:rPr>
                <w:rFonts w:eastAsiaTheme="minorEastAsia" w:cstheme="minorBidi"/>
              </w:rPr>
            </w:pPr>
          </w:p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br/>
              <w:t>16.6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9F7C6B">
            <w:pPr>
              <w:jc w:val="center"/>
              <w:rPr>
                <w:rFonts w:eastAsiaTheme="minorEastAsia" w:cstheme="minorBidi"/>
              </w:rPr>
            </w:pPr>
          </w:p>
        </w:tc>
      </w:tr>
      <w:tr w:rsidR="00360F50" w:rsidRPr="00360F50" w:rsidTr="00F57C61">
        <w:trPr>
          <w:cantSplit/>
          <w:trHeight w:val="60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3676BC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360F50" w:rsidRDefault="00C04B60" w:rsidP="00360F50">
            <w:pPr>
              <w:rPr>
                <w:b/>
                <w:color w:val="FFFFFF" w:themeColor="background1"/>
                <w:sz w:val="22"/>
              </w:rPr>
            </w:pPr>
            <w:r w:rsidRPr="00360F50">
              <w:rPr>
                <w:b/>
                <w:color w:val="FFFFFF" w:themeColor="background1"/>
                <w:sz w:val="22"/>
              </w:rPr>
              <w:t>Step Two – Calculate the Approximate Cost of Your Turnover</w:t>
            </w:r>
          </w:p>
        </w:tc>
      </w:tr>
      <w:tr w:rsidR="003030C7" w:rsidRPr="00F245F3" w:rsidTr="00F57C61">
        <w:trPr>
          <w:cantSplit/>
          <w:trHeight w:val="53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0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ind w:left="113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This framework uses the estimate that suggests that the cost of replacing em</w:t>
            </w:r>
            <w:r w:rsidR="00C6417C" w:rsidRPr="00F245F3">
              <w:rPr>
                <w:rFonts w:eastAsiaTheme="minorEastAsia" w:cstheme="minorBidi"/>
              </w:rPr>
              <w:t xml:space="preserve">ployees is around 1.5 times an </w:t>
            </w:r>
            <w:r w:rsidRPr="00F245F3">
              <w:rPr>
                <w:rFonts w:eastAsiaTheme="minorEastAsia" w:cstheme="minorBidi"/>
              </w:rPr>
              <w:t xml:space="preserve">employee’s salary. </w:t>
            </w:r>
          </w:p>
        </w:tc>
      </w:tr>
      <w:tr w:rsidR="003030C7" w:rsidRPr="00F245F3" w:rsidTr="00282506">
        <w:trPr>
          <w:cantSplit/>
          <w:trHeight w:val="338"/>
        </w:trPr>
        <w:tc>
          <w:tcPr>
            <w:tcW w:w="7371" w:type="dxa"/>
            <w:tcBorders>
              <w:top w:val="single" w:sz="6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C6417C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="Arial"/>
              </w:rPr>
              <w:t xml:space="preserve">1. </w:t>
            </w:r>
            <w:r w:rsidR="00F245F3" w:rsidRPr="00F245F3">
              <w:rPr>
                <w:rFonts w:eastAsiaTheme="minorEastAsia" w:cs="Arial"/>
              </w:rPr>
              <w:t>Approximately how much do</w:t>
            </w:r>
            <w:r w:rsidRPr="00F245F3">
              <w:rPr>
                <w:rFonts w:eastAsiaTheme="minorEastAsia" w:cs="Arial"/>
              </w:rPr>
              <w:t xml:space="preserve">es turnover cost your business </w:t>
            </w:r>
            <w:r w:rsidR="00F245F3" w:rsidRPr="00F245F3">
              <w:rPr>
                <w:rFonts w:eastAsiaTheme="minorEastAsia" w:cs="Arial"/>
              </w:rPr>
              <w:t>per exiting employee?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="Arial"/>
              </w:rPr>
              <w:t>Example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782BA6" w:rsidP="00282506">
            <w:pPr>
              <w:jc w:val="center"/>
              <w:rPr>
                <w:rFonts w:eastAsiaTheme="minorEastAsia" w:cstheme="minorBidi"/>
              </w:rPr>
            </w:pPr>
            <w:r w:rsidRPr="00782BA6">
              <w:rPr>
                <w:rFonts w:eastAsiaTheme="minorEastAsia" w:cstheme="minorBidi"/>
              </w:rPr>
              <w:t>Your figures</w:t>
            </w:r>
          </w:p>
        </w:tc>
      </w:tr>
      <w:tr w:rsidR="003030C7" w:rsidRPr="00F245F3" w:rsidTr="00282506">
        <w:trPr>
          <w:cantSplit/>
          <w:trHeight w:val="60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AF6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What’s the average annual salary of an employee in your workforce?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$35 000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282506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30C7" w:rsidRPr="00F245F3" w:rsidTr="00282506">
        <w:trPr>
          <w:cantSplit/>
          <w:trHeight w:val="783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AF6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Multiply this by the cost of replacing one employee in a year (approx 1.5 times an employee’s salary).</w:t>
            </w:r>
          </w:p>
          <w:p w:rsidR="003030C7" w:rsidRPr="00F245F3" w:rsidRDefault="00F245F3" w:rsidP="00E029E9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 xml:space="preserve">Cost of replacing one employee per year = av. salary for one employee </w:t>
            </w:r>
            <w:r w:rsidR="00E029E9">
              <w:rPr>
                <w:rFonts w:eastAsiaTheme="minorEastAsia" w:cstheme="minorBidi"/>
              </w:rPr>
              <w:t>x</w:t>
            </w:r>
            <w:r w:rsidRPr="00F245F3">
              <w:rPr>
                <w:rFonts w:eastAsiaTheme="minorEastAsia" w:cstheme="minorBidi"/>
              </w:rPr>
              <w:t xml:space="preserve"> 1.5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 xml:space="preserve">$35 000 </w:t>
            </w:r>
            <w:r w:rsidRPr="00F245F3">
              <w:rPr>
                <w:rFonts w:eastAsiaTheme="minorEastAsia" w:cstheme="minorBidi"/>
              </w:rPr>
              <w:br/>
            </w:r>
            <w:r w:rsidR="00E029E9">
              <w:rPr>
                <w:rFonts w:eastAsiaTheme="minorEastAsia" w:cstheme="minorBidi"/>
              </w:rPr>
              <w:t>x</w:t>
            </w:r>
            <w:r w:rsidRPr="00F245F3">
              <w:rPr>
                <w:rFonts w:eastAsiaTheme="minorEastAsia" w:cstheme="minorBidi"/>
              </w:rPr>
              <w:t xml:space="preserve"> 1.5</w:t>
            </w:r>
          </w:p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$52 500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282506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30C7" w:rsidRPr="00F245F3" w:rsidTr="00282506">
        <w:trPr>
          <w:cantSplit/>
          <w:trHeight w:val="60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="Arial"/>
              </w:rPr>
              <w:t xml:space="preserve">2.  Approximately how much does turnover cost your business?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282506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282506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30C7" w:rsidRPr="00F245F3" w:rsidTr="00282506">
        <w:trPr>
          <w:cantSplit/>
          <w:trHeight w:val="60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AF6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H</w:t>
            </w:r>
            <w:r w:rsidRPr="00F245F3">
              <w:rPr>
                <w:rFonts w:eastAsiaTheme="minorEastAsia" w:cstheme="minorBidi"/>
                <w:shd w:val="clear" w:color="auto" w:fill="E6EAF6"/>
              </w:rPr>
              <w:t xml:space="preserve">ow many people left during the nominated time?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282506">
            <w:pPr>
              <w:jc w:val="center"/>
              <w:rPr>
                <w:rFonts w:eastAsiaTheme="minorEastAsia" w:cstheme="minorBidi"/>
              </w:rPr>
            </w:pPr>
          </w:p>
        </w:tc>
      </w:tr>
      <w:tr w:rsidR="003030C7" w:rsidRPr="00F245F3" w:rsidTr="00C40C29">
        <w:trPr>
          <w:cantSplit/>
          <w:trHeight w:val="60"/>
        </w:trPr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6EAF6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Multiply this by the approximate cost of replacing one employee a year.</w:t>
            </w:r>
          </w:p>
          <w:p w:rsidR="003030C7" w:rsidRPr="00F245F3" w:rsidRDefault="00F245F3" w:rsidP="00E029E9">
            <w:pPr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Approximate cost of turnover = cost o</w:t>
            </w:r>
            <w:r w:rsidR="002D229D" w:rsidRPr="00F245F3">
              <w:rPr>
                <w:rFonts w:eastAsiaTheme="minorEastAsia" w:cstheme="minorBidi"/>
              </w:rPr>
              <w:t xml:space="preserve">f replacing one employee </w:t>
            </w:r>
            <w:r w:rsidR="00E029E9">
              <w:rPr>
                <w:rFonts w:eastAsiaTheme="minorEastAsia" w:cstheme="minorBidi"/>
              </w:rPr>
              <w:t>x</w:t>
            </w:r>
            <w:r w:rsidR="002D229D" w:rsidRPr="00F245F3">
              <w:rPr>
                <w:rFonts w:eastAsiaTheme="minorEastAsia" w:cstheme="minorBidi"/>
              </w:rPr>
              <w:t xml:space="preserve"> no. </w:t>
            </w:r>
            <w:r w:rsidRPr="00F245F3">
              <w:rPr>
                <w:rFonts w:eastAsiaTheme="minorEastAsia" w:cstheme="minorBidi"/>
              </w:rPr>
              <w:t>of employees who left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 xml:space="preserve">$52 500 </w:t>
            </w:r>
            <w:r w:rsidR="00E029E9">
              <w:rPr>
                <w:rFonts w:eastAsiaTheme="minorEastAsia" w:cstheme="minorBidi"/>
              </w:rPr>
              <w:t>x</w:t>
            </w:r>
            <w:r w:rsidRPr="00F245F3">
              <w:rPr>
                <w:rFonts w:eastAsiaTheme="minorEastAsia" w:cstheme="minorBidi"/>
              </w:rPr>
              <w:t xml:space="preserve"> 6</w:t>
            </w:r>
          </w:p>
          <w:p w:rsidR="003030C7" w:rsidRPr="00F245F3" w:rsidRDefault="00F245F3" w:rsidP="00282506">
            <w:pPr>
              <w:jc w:val="center"/>
              <w:rPr>
                <w:rFonts w:eastAsiaTheme="minorEastAsia" w:cstheme="minorBidi"/>
              </w:rPr>
            </w:pPr>
            <w:r w:rsidRPr="00F245F3">
              <w:rPr>
                <w:rFonts w:eastAsiaTheme="minorEastAsia" w:cstheme="minorBidi"/>
              </w:rPr>
              <w:t>$315 000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030C7" w:rsidRPr="00F245F3" w:rsidRDefault="003030C7" w:rsidP="00282506">
            <w:pPr>
              <w:jc w:val="center"/>
              <w:rPr>
                <w:rFonts w:eastAsiaTheme="minorEastAsia" w:cstheme="minorBidi"/>
              </w:rPr>
            </w:pPr>
          </w:p>
        </w:tc>
      </w:tr>
      <w:tr w:rsidR="00C40C29" w:rsidRPr="00F245F3" w:rsidTr="00D25AE0">
        <w:trPr>
          <w:cantSplit/>
          <w:trHeight w:val="624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C40C29" w:rsidRPr="00C40C29" w:rsidRDefault="00BF0164" w:rsidP="00D25AE0">
            <w:pPr>
              <w:spacing w:line="240" w:lineRule="exact"/>
            </w:pPr>
            <w:r>
              <w:t xml:space="preserve">You may wish to consider the </w:t>
            </w:r>
            <w:r w:rsidR="00C40C29" w:rsidRPr="00C6417C">
              <w:t>total annual cost to you of losing an employee with the costs of pr</w:t>
            </w:r>
            <w:r w:rsidR="00C40C29">
              <w:t xml:space="preserve">oviding some extra training or </w:t>
            </w:r>
            <w:r w:rsidR="00C40C29" w:rsidRPr="00C6417C">
              <w:t>professional development.</w:t>
            </w:r>
          </w:p>
        </w:tc>
      </w:tr>
      <w:tr w:rsidR="00360F50" w:rsidRPr="00360F50" w:rsidTr="00270779">
        <w:trPr>
          <w:cantSplit/>
          <w:trHeight w:val="60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3676BC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40C29" w:rsidRPr="00360F50" w:rsidRDefault="00C04B60" w:rsidP="00360F50">
            <w:pPr>
              <w:rPr>
                <w:b/>
                <w:color w:val="FFFFFF" w:themeColor="background1"/>
                <w:sz w:val="22"/>
              </w:rPr>
            </w:pPr>
            <w:r w:rsidRPr="00360F50">
              <w:rPr>
                <w:b/>
                <w:color w:val="FFFFFF" w:themeColor="background1"/>
                <w:sz w:val="22"/>
              </w:rPr>
              <w:t>Step Three – Examine What the Causes of Your Workforce Turnover Are and Address any Issues that Arise</w:t>
            </w:r>
          </w:p>
        </w:tc>
      </w:tr>
      <w:tr w:rsidR="00C40C29" w:rsidRPr="00F245F3" w:rsidTr="00C40C29">
        <w:trPr>
          <w:cantSplit/>
          <w:trHeight w:val="541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40C29" w:rsidRPr="00C40C29" w:rsidRDefault="00C40C29" w:rsidP="00E029E9">
            <w:pPr>
              <w:ind w:left="426" w:hanging="426"/>
            </w:pPr>
            <w:r>
              <w:t>1.</w:t>
            </w:r>
            <w:r>
              <w:tab/>
            </w:r>
            <w:r w:rsidRPr="00C6417C">
              <w:t xml:space="preserve">Ask employees who leave or who are leaving why they </w:t>
            </w:r>
            <w:r w:rsidR="00E029E9">
              <w:t>are leaving</w:t>
            </w:r>
            <w:r w:rsidRPr="00C6417C">
              <w:t>. Exit int</w:t>
            </w:r>
            <w:r>
              <w:t xml:space="preserve">erviews can reveal some of the </w:t>
            </w:r>
            <w:r w:rsidRPr="00C6417C">
              <w:t>common reasons.</w:t>
            </w:r>
          </w:p>
        </w:tc>
      </w:tr>
      <w:tr w:rsidR="00C40C29" w:rsidRPr="00F245F3" w:rsidTr="00C40C29">
        <w:trPr>
          <w:cantSplit/>
          <w:trHeight w:val="60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40C29" w:rsidRPr="00C40C29" w:rsidRDefault="00C40C29" w:rsidP="00AF5C17">
            <w:pPr>
              <w:ind w:left="426" w:hanging="426"/>
            </w:pPr>
            <w:r>
              <w:t>2.</w:t>
            </w:r>
            <w:r>
              <w:tab/>
            </w:r>
            <w:r w:rsidRPr="00C6417C">
              <w:t>Ask employees why they think employees may leave.  Ask emp</w:t>
            </w:r>
            <w:r>
              <w:t xml:space="preserve">loyees to complete an employee </w:t>
            </w:r>
            <w:r w:rsidR="00AF5C17">
              <w:t>feedback</w:t>
            </w:r>
            <w:r w:rsidRPr="00C6417C">
              <w:t xml:space="preserve"> survey that will gauge general satisfaction levels.</w:t>
            </w:r>
            <w:r w:rsidR="00AF5C17">
              <w:t xml:space="preserve"> Look for repeated areas of c</w:t>
            </w:r>
            <w:r w:rsidR="00C927ED">
              <w:t>oncern. These are your opportunities to improve</w:t>
            </w:r>
            <w:r w:rsidR="008C4931">
              <w:t xml:space="preserve"> particular areas</w:t>
            </w:r>
            <w:r w:rsidR="00C927ED">
              <w:t xml:space="preserve">. </w:t>
            </w:r>
          </w:p>
        </w:tc>
      </w:tr>
      <w:tr w:rsidR="00C40C29" w:rsidRPr="00F245F3" w:rsidTr="00C40C29">
        <w:trPr>
          <w:cantSplit/>
          <w:trHeight w:val="343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40C29" w:rsidRPr="00C40C29" w:rsidRDefault="00C40C29" w:rsidP="00AF5C17">
            <w:pPr>
              <w:ind w:left="426" w:hanging="426"/>
            </w:pPr>
            <w:r>
              <w:t>3.</w:t>
            </w:r>
            <w:r>
              <w:tab/>
            </w:r>
            <w:r w:rsidRPr="00C6417C">
              <w:t xml:space="preserve">Address </w:t>
            </w:r>
            <w:r w:rsidR="00AF5C17">
              <w:t xml:space="preserve">key </w:t>
            </w:r>
            <w:r w:rsidRPr="00C6417C">
              <w:t>issues that arise so that employees know you take their vi</w:t>
            </w:r>
            <w:r>
              <w:t xml:space="preserve">ews seriously and that you are </w:t>
            </w:r>
            <w:r w:rsidRPr="00C6417C">
              <w:t xml:space="preserve">committed </w:t>
            </w:r>
            <w:r>
              <w:t>to reducing workforce turnover.</w:t>
            </w:r>
          </w:p>
        </w:tc>
      </w:tr>
    </w:tbl>
    <w:p w:rsidR="00D25AE0" w:rsidRPr="00CD26A1" w:rsidRDefault="00D25AE0" w:rsidP="00CD26A1">
      <w:pPr>
        <w:rPr>
          <w:sz w:val="10"/>
          <w:szCs w:val="10"/>
        </w:rPr>
      </w:pPr>
      <w:bookmarkStart w:id="0" w:name="_GoBack"/>
      <w:bookmarkEnd w:id="0"/>
    </w:p>
    <w:sectPr w:rsidR="00D25AE0" w:rsidRPr="00CD26A1" w:rsidSect="00CD26A1">
      <w:footerReference w:type="default" r:id="rId12"/>
      <w:pgSz w:w="11906" w:h="16838"/>
      <w:pgMar w:top="536" w:right="720" w:bottom="720" w:left="720" w:header="283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94" w:rsidRDefault="00534594" w:rsidP="003F5148">
      <w:pPr>
        <w:spacing w:line="240" w:lineRule="auto"/>
      </w:pPr>
      <w:r>
        <w:separator/>
      </w:r>
    </w:p>
  </w:endnote>
  <w:endnote w:type="continuationSeparator" w:id="0">
    <w:p w:rsidR="00534594" w:rsidRDefault="00534594" w:rsidP="003F5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E0" w:rsidRDefault="00582F26" w:rsidP="003F5148">
    <w:pPr>
      <w:tabs>
        <w:tab w:val="center" w:pos="4513"/>
        <w:tab w:val="right" w:pos="9026"/>
      </w:tabs>
      <w:suppressAutoHyphens w:val="0"/>
      <w:spacing w:line="240" w:lineRule="auto"/>
    </w:pPr>
    <w:r w:rsidRPr="00582F26">
      <w:t xml:space="preserve">For more information on this topic, refer to </w:t>
    </w:r>
    <w:r w:rsidRPr="003F5148">
      <w:rPr>
        <w:b/>
      </w:rPr>
      <w:t>Chapter 5. Retain and Support</w:t>
    </w:r>
    <w:r w:rsidRPr="00582F26">
      <w:t xml:space="preserve"> of Your Workforce – a guide for Northern Territory Employers</w:t>
    </w:r>
    <w:r>
      <w:t>.</w:t>
    </w:r>
  </w:p>
  <w:p w:rsidR="00CD26A1" w:rsidRPr="00CD26A1" w:rsidRDefault="00CD26A1" w:rsidP="003F5148">
    <w:pPr>
      <w:tabs>
        <w:tab w:val="center" w:pos="4513"/>
        <w:tab w:val="right" w:pos="9026"/>
      </w:tabs>
      <w:suppressAutoHyphens w:val="0"/>
      <w:spacing w:line="240" w:lineRule="auto"/>
      <w:rPr>
        <w:sz w:val="4"/>
        <w:szCs w:val="4"/>
      </w:rPr>
    </w:pPr>
  </w:p>
  <w:tbl>
    <w:tblPr>
      <w:tblW w:w="1049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552"/>
    </w:tblGrid>
    <w:tr w:rsidR="00D25AE0" w:rsidRPr="00D25AE0" w:rsidTr="00D25AE0">
      <w:trPr>
        <w:trHeight w:val="567"/>
      </w:trPr>
      <w:tc>
        <w:tcPr>
          <w:tcW w:w="7938" w:type="dxa"/>
          <w:shd w:val="clear" w:color="auto" w:fill="auto"/>
        </w:tcPr>
        <w:p w:rsidR="00D25AE0" w:rsidRPr="00D25AE0" w:rsidRDefault="00D25AE0" w:rsidP="00D25AE0">
          <w:pPr>
            <w:tabs>
              <w:tab w:val="center" w:pos="4513"/>
              <w:tab w:val="right" w:pos="9026"/>
            </w:tabs>
            <w:suppressAutoHyphens w:val="0"/>
            <w:spacing w:before="12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D25AE0">
            <w:rPr>
              <w:rFonts w:eastAsia="Calibri" w:cs="Arial"/>
              <w:sz w:val="22"/>
              <w:szCs w:val="20"/>
              <w:lang w:eastAsia="en-US"/>
            </w:rPr>
            <w:t xml:space="preserve">Department of </w:t>
          </w:r>
          <w:r w:rsidRPr="00D25AE0">
            <w:rPr>
              <w:rFonts w:eastAsia="Calibri" w:cs="Arial"/>
              <w:b/>
              <w:sz w:val="22"/>
              <w:szCs w:val="20"/>
              <w:lang w:eastAsia="en-US"/>
            </w:rPr>
            <w:t>Business</w:t>
          </w:r>
        </w:p>
        <w:p w:rsidR="00D25AE0" w:rsidRPr="00D25AE0" w:rsidRDefault="00D25AE0" w:rsidP="00D25AE0">
          <w:pPr>
            <w:tabs>
              <w:tab w:val="center" w:pos="4513"/>
              <w:tab w:val="right" w:pos="9026"/>
            </w:tabs>
            <w:suppressAutoHyphens w:val="0"/>
            <w:spacing w:line="240" w:lineRule="auto"/>
            <w:rPr>
              <w:rFonts w:ascii="Calibri" w:eastAsia="Calibri" w:hAnsi="Calibri"/>
              <w:sz w:val="22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D25AE0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CD26A1"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D25AE0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CD26A1"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D25AE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25AE0" w:rsidRPr="00D25AE0" w:rsidRDefault="00D25AE0" w:rsidP="00D25AE0">
          <w:pPr>
            <w:tabs>
              <w:tab w:val="right" w:pos="9044"/>
            </w:tabs>
            <w:suppressAutoHyphens w:val="0"/>
            <w:spacing w:after="120" w:line="240" w:lineRule="auto"/>
            <w:rPr>
              <w:b/>
              <w:sz w:val="32"/>
            </w:rPr>
          </w:pPr>
          <w:r w:rsidRPr="00D25AE0">
            <w:rPr>
              <w:b/>
              <w:noProof/>
              <w:sz w:val="18"/>
              <w:szCs w:val="18"/>
            </w:rPr>
            <w:drawing>
              <wp:inline distT="0" distB="0" distL="0" distR="0" wp14:anchorId="396AE6C8" wp14:editId="5524581A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5AE0" w:rsidRPr="00D25AE0" w:rsidRDefault="00D25AE0" w:rsidP="003F5148">
    <w:pPr>
      <w:tabs>
        <w:tab w:val="center" w:pos="4513"/>
        <w:tab w:val="right" w:pos="9026"/>
      </w:tabs>
      <w:suppressAutoHyphens w:val="0"/>
      <w:spacing w:line="240" w:lineRule="auto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94" w:rsidRDefault="00534594" w:rsidP="003F5148">
      <w:pPr>
        <w:spacing w:line="240" w:lineRule="auto"/>
      </w:pPr>
      <w:r>
        <w:separator/>
      </w:r>
    </w:p>
  </w:footnote>
  <w:footnote w:type="continuationSeparator" w:id="0">
    <w:p w:rsidR="00534594" w:rsidRDefault="00534594" w:rsidP="003F51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7C"/>
    <w:rsid w:val="000318C2"/>
    <w:rsid w:val="000D464C"/>
    <w:rsid w:val="00162AA0"/>
    <w:rsid w:val="00276ED4"/>
    <w:rsid w:val="00282506"/>
    <w:rsid w:val="002D229D"/>
    <w:rsid w:val="003030C7"/>
    <w:rsid w:val="00360F50"/>
    <w:rsid w:val="003D24E7"/>
    <w:rsid w:val="003F5148"/>
    <w:rsid w:val="00534594"/>
    <w:rsid w:val="00582F26"/>
    <w:rsid w:val="005B00D3"/>
    <w:rsid w:val="00782BA6"/>
    <w:rsid w:val="0086467D"/>
    <w:rsid w:val="008C4931"/>
    <w:rsid w:val="00944CE8"/>
    <w:rsid w:val="009F7C6B"/>
    <w:rsid w:val="00A75A00"/>
    <w:rsid w:val="00AD3DBE"/>
    <w:rsid w:val="00AF5C17"/>
    <w:rsid w:val="00BA2689"/>
    <w:rsid w:val="00BF0164"/>
    <w:rsid w:val="00C04B60"/>
    <w:rsid w:val="00C10C53"/>
    <w:rsid w:val="00C40C29"/>
    <w:rsid w:val="00C6417C"/>
    <w:rsid w:val="00C927ED"/>
    <w:rsid w:val="00C94648"/>
    <w:rsid w:val="00CD26A1"/>
    <w:rsid w:val="00D25AE0"/>
    <w:rsid w:val="00D92EB3"/>
    <w:rsid w:val="00E029E9"/>
    <w:rsid w:val="00F245F3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00"/>
    <w:pPr>
      <w:suppressAutoHyphens/>
      <w:spacing w:line="26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17C"/>
    <w:pPr>
      <w:widowControl w:val="0"/>
      <w:autoSpaceDE w:val="0"/>
      <w:autoSpaceDN w:val="0"/>
      <w:adjustRightInd w:val="0"/>
      <w:spacing w:before="58" w:line="240" w:lineRule="auto"/>
      <w:ind w:left="107" w:right="-20"/>
      <w:outlineLvl w:val="0"/>
    </w:pPr>
    <w:rPr>
      <w:rFonts w:cs="Arial"/>
      <w:b/>
      <w:color w:val="3777B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A00"/>
    <w:pPr>
      <w:keepNext/>
      <w:keepLines/>
      <w:widowControl w:val="0"/>
      <w:autoSpaceDE w:val="0"/>
      <w:autoSpaceDN w:val="0"/>
      <w:adjustRightInd w:val="0"/>
      <w:spacing w:line="288" w:lineRule="auto"/>
      <w:textAlignment w:val="center"/>
      <w:outlineLvl w:val="1"/>
    </w:pPr>
    <w:rPr>
      <w:rFonts w:cs="Arial"/>
      <w:color w:val="3676BC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C29"/>
    <w:pPr>
      <w:outlineLvl w:val="2"/>
    </w:pPr>
    <w:rPr>
      <w:rFonts w:eastAsiaTheme="minorEastAsia" w:cstheme="minorBidi"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29"/>
    <w:rPr>
      <w:rFonts w:ascii="Arial" w:eastAsiaTheme="minorEastAsia" w:hAnsi="Arial" w:cstheme="minorBidi"/>
      <w:color w:val="FFFFFF" w:themeColor="background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6417C"/>
    <w:rPr>
      <w:rFonts w:ascii="Arial" w:hAnsi="Arial" w:cs="Arial"/>
      <w:b/>
      <w:color w:val="3777B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229D"/>
    <w:rPr>
      <w:rFonts w:ascii="Arial" w:hAnsi="Arial" w:cs="Arial"/>
      <w:color w:val="3676BC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51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48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F51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48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00"/>
    <w:pPr>
      <w:suppressAutoHyphens/>
      <w:spacing w:line="26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17C"/>
    <w:pPr>
      <w:widowControl w:val="0"/>
      <w:autoSpaceDE w:val="0"/>
      <w:autoSpaceDN w:val="0"/>
      <w:adjustRightInd w:val="0"/>
      <w:spacing w:before="58" w:line="240" w:lineRule="auto"/>
      <w:ind w:left="107" w:right="-20"/>
      <w:outlineLvl w:val="0"/>
    </w:pPr>
    <w:rPr>
      <w:rFonts w:cs="Arial"/>
      <w:b/>
      <w:color w:val="3777B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A00"/>
    <w:pPr>
      <w:keepNext/>
      <w:keepLines/>
      <w:widowControl w:val="0"/>
      <w:autoSpaceDE w:val="0"/>
      <w:autoSpaceDN w:val="0"/>
      <w:adjustRightInd w:val="0"/>
      <w:spacing w:line="288" w:lineRule="auto"/>
      <w:textAlignment w:val="center"/>
      <w:outlineLvl w:val="1"/>
    </w:pPr>
    <w:rPr>
      <w:rFonts w:cs="Arial"/>
      <w:color w:val="3676BC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C29"/>
    <w:pPr>
      <w:outlineLvl w:val="2"/>
    </w:pPr>
    <w:rPr>
      <w:rFonts w:eastAsiaTheme="minorEastAsia" w:cstheme="minorBidi"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29"/>
    <w:rPr>
      <w:rFonts w:ascii="Arial" w:eastAsiaTheme="minorEastAsia" w:hAnsi="Arial" w:cstheme="minorBidi"/>
      <w:color w:val="FFFFFF" w:themeColor="background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6417C"/>
    <w:rPr>
      <w:rFonts w:ascii="Arial" w:hAnsi="Arial" w:cs="Arial"/>
      <w:b/>
      <w:color w:val="3777B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229D"/>
    <w:rPr>
      <w:rFonts w:ascii="Arial" w:hAnsi="Arial" w:cs="Arial"/>
      <w:color w:val="3676BC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51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48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F51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48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2AXQX2YYQNYC-570-34</_dlc_DocId>
    <_dlc_DocIdUrl xmlns="28e3188d-fccf-4e87-a6b6-2e446be4517c">
      <Url>http://www.dob.nt.gov.au/Employment/workforce-development/your-workforce/_layouts/DocIdRedir.aspx?ID=2AXQX2YYQNYC-570-34</Url>
      <Description>2AXQX2YYQNYC-570-34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32 kb)</Document_x0020_Size>
    <_dlc_DocIdPersistId xmlns="28e3188d-fccf-4e87-a6b6-2e446be4517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B631-07CB-41E6-BFE7-0AFBA6E55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02F32B-952B-4EEF-9158-C580B2402D39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44F520-86D8-4D03-949D-36EC3613D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83FF6-6654-4ED5-98A8-4F3B1EE5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EA10BA-C1B3-4786-89F2-8B23723F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5.2 Cost of turnover calculator form</vt:lpstr>
    </vt:vector>
  </TitlesOfParts>
  <Company>Toshiba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turnover calculator</dc:title>
  <dc:creator>Northern Territory Government</dc:creator>
  <cp:lastModifiedBy>Nicole Allen</cp:lastModifiedBy>
  <cp:revision>16</cp:revision>
  <dcterms:created xsi:type="dcterms:W3CDTF">2014-09-03T01:12:00Z</dcterms:created>
  <dcterms:modified xsi:type="dcterms:W3CDTF">2015-10-05T02:24:00Z</dcterms:modified>
  <cp:category>Five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71f2bd5e-3b15-4295-8312-3c7f90053028</vt:lpwstr>
  </property>
  <property fmtid="{D5CDD505-2E9C-101B-9397-08002B2CF9AE}" pid="4" name="TemplateUrl">
    <vt:lpwstr/>
  </property>
  <property fmtid="{D5CDD505-2E9C-101B-9397-08002B2CF9AE}" pid="5" name="Order">
    <vt:r8>3400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