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8AF5" w14:textId="1EA400D3" w:rsidR="00A1027E" w:rsidRPr="00636B4E" w:rsidRDefault="002E199D" w:rsidP="00636B4E">
      <w:pPr>
        <w:pStyle w:val="Subtitle0"/>
        <w:rPr>
          <w:noProof/>
          <w:lang w:eastAsia="en-AU"/>
        </w:rPr>
      </w:pPr>
      <w:r w:rsidRPr="00636B4E">
        <w:rPr>
          <w:noProof/>
          <w:lang w:eastAsia="en-AU"/>
        </w:rPr>
        <w:t xml:space="preserve">Schedule 4 </w:t>
      </w:r>
      <w:r w:rsidR="00636B4E" w:rsidRPr="00636B4E">
        <w:rPr>
          <w:noProof/>
          <w:lang w:eastAsia="en-AU"/>
        </w:rPr>
        <w:t>and</w:t>
      </w:r>
      <w:r w:rsidR="00315312" w:rsidRPr="00636B4E">
        <w:rPr>
          <w:noProof/>
          <w:lang w:eastAsia="en-AU"/>
        </w:rPr>
        <w:t xml:space="preserve"> 8 </w:t>
      </w:r>
      <w:r w:rsidRPr="00636B4E">
        <w:rPr>
          <w:noProof/>
          <w:lang w:eastAsia="en-AU"/>
        </w:rPr>
        <w:t xml:space="preserve">– </w:t>
      </w:r>
      <w:r w:rsidR="00636B4E" w:rsidRPr="00636B4E">
        <w:rPr>
          <w:noProof/>
          <w:lang w:eastAsia="en-AU"/>
        </w:rPr>
        <w:t>v</w:t>
      </w:r>
      <w:r w:rsidR="00315312" w:rsidRPr="00636B4E">
        <w:rPr>
          <w:noProof/>
          <w:lang w:eastAsia="en-AU"/>
        </w:rPr>
        <w:t xml:space="preserve">eterinary </w:t>
      </w:r>
      <w:r w:rsidR="00636B4E" w:rsidRPr="00636B4E">
        <w:rPr>
          <w:noProof/>
          <w:lang w:eastAsia="en-AU"/>
        </w:rPr>
        <w:t>c</w:t>
      </w:r>
      <w:r w:rsidRPr="00636B4E">
        <w:rPr>
          <w:noProof/>
          <w:lang w:eastAsia="en-AU"/>
        </w:rPr>
        <w:t xml:space="preserve">hemical </w:t>
      </w:r>
      <w:r w:rsidR="00636B4E" w:rsidRPr="00636B4E">
        <w:rPr>
          <w:noProof/>
          <w:lang w:eastAsia="en-AU"/>
        </w:rPr>
        <w:t>p</w:t>
      </w:r>
      <w:r w:rsidRPr="00636B4E">
        <w:rPr>
          <w:noProof/>
          <w:lang w:eastAsia="en-AU"/>
        </w:rPr>
        <w:t>roducts</w:t>
      </w:r>
    </w:p>
    <w:p w14:paraId="093CA582" w14:textId="77777777" w:rsidR="00802253" w:rsidRPr="00636B4E" w:rsidRDefault="00667EC2" w:rsidP="00CC2967">
      <w:pPr>
        <w:pStyle w:val="ListParagraph"/>
        <w:numPr>
          <w:ilvl w:val="0"/>
          <w:numId w:val="9"/>
        </w:numPr>
        <w:ind w:left="714" w:hanging="357"/>
        <w:jc w:val="both"/>
        <w:rPr>
          <w:rFonts w:asciiTheme="minorHAnsi" w:hAnsiTheme="minorHAnsi" w:cs="Arial"/>
          <w:i/>
        </w:rPr>
      </w:pPr>
      <w:r w:rsidRPr="00636B4E">
        <w:rPr>
          <w:rFonts w:asciiTheme="minorHAnsi" w:hAnsiTheme="minorHAnsi" w:cs="Arial"/>
        </w:rPr>
        <w:t xml:space="preserve">Part 3 Division 4 of the </w:t>
      </w:r>
      <w:r w:rsidR="00A1027E" w:rsidRPr="00636B4E">
        <w:rPr>
          <w:rFonts w:asciiTheme="minorHAnsi" w:hAnsiTheme="minorHAnsi" w:cs="Arial"/>
          <w:b/>
          <w:i/>
          <w:shd w:val="clear" w:color="auto" w:fill="FFFFFF"/>
        </w:rPr>
        <w:t xml:space="preserve">Agricultural and Veterinary Chemicals (Control of Use) </w:t>
      </w:r>
      <w:r w:rsidR="00BF371F" w:rsidRPr="00636B4E">
        <w:rPr>
          <w:rFonts w:asciiTheme="minorHAnsi" w:hAnsiTheme="minorHAnsi" w:cs="Arial"/>
          <w:b/>
          <w:i/>
          <w:shd w:val="clear" w:color="auto" w:fill="FFFFFF"/>
        </w:rPr>
        <w:t>Act 2004</w:t>
      </w:r>
      <w:r w:rsidR="00A1027E" w:rsidRPr="00636B4E">
        <w:rPr>
          <w:rFonts w:asciiTheme="minorHAnsi" w:hAnsiTheme="minorHAnsi" w:cs="Arial"/>
          <w:shd w:val="clear" w:color="auto" w:fill="FFFFFF"/>
        </w:rPr>
        <w:t xml:space="preserve"> </w:t>
      </w:r>
      <w:r w:rsidRPr="00636B4E">
        <w:rPr>
          <w:rFonts w:asciiTheme="minorHAnsi" w:hAnsiTheme="minorHAnsi" w:cs="Arial"/>
          <w:shd w:val="clear" w:color="auto" w:fill="FFFFFF"/>
        </w:rPr>
        <w:t>governs the use of veterinary chemical products in the NT.  This includes both veterinarians and non veterinarian’s use of all scheduled products contained within the Poisons Standard and administered in conjunction with the Medicines, Poisons and Therapeutic Goods Act 2012.</w:t>
      </w:r>
    </w:p>
    <w:p w14:paraId="76A63128" w14:textId="59B99DA5" w:rsidR="00B46C78" w:rsidRPr="00063916" w:rsidRDefault="00B46C78" w:rsidP="00636B4E">
      <w:pPr>
        <w:pStyle w:val="Heading1"/>
      </w:pPr>
      <w:r w:rsidRPr="00063916">
        <w:t xml:space="preserve">Specified </w:t>
      </w:r>
      <w:r w:rsidR="00636B4E">
        <w:t>r</w:t>
      </w:r>
      <w:r w:rsidRPr="00063916">
        <w:t>equirements</w:t>
      </w:r>
    </w:p>
    <w:p w14:paraId="60B8CFEE" w14:textId="77777777" w:rsidR="00667EC2" w:rsidRPr="00636B4E" w:rsidRDefault="00667EC2" w:rsidP="00063916">
      <w:pPr>
        <w:pStyle w:val="ListParagraph"/>
        <w:numPr>
          <w:ilvl w:val="0"/>
          <w:numId w:val="9"/>
        </w:numPr>
        <w:jc w:val="both"/>
        <w:rPr>
          <w:rFonts w:asciiTheme="minorHAnsi" w:hAnsiTheme="minorHAnsi" w:cs="Arial"/>
        </w:rPr>
      </w:pPr>
      <w:r w:rsidRPr="00636B4E">
        <w:rPr>
          <w:rFonts w:asciiTheme="minorHAnsi" w:hAnsiTheme="minorHAnsi" w:cs="Arial"/>
        </w:rPr>
        <w:t xml:space="preserve">There is no legislative basis for non-veterinarians to use a Schedule 4 or 8 veterinary chemical product without a lawful authority. In accordance with section 25 (1) of the </w:t>
      </w:r>
      <w:r w:rsidRPr="00636B4E">
        <w:rPr>
          <w:rFonts w:asciiTheme="minorHAnsi" w:hAnsiTheme="minorHAnsi" w:cs="Arial"/>
          <w:b/>
          <w:i/>
          <w:shd w:val="clear" w:color="auto" w:fill="FFFFFF"/>
        </w:rPr>
        <w:t xml:space="preserve">Agricultural and Veterinary Chemicals (Control of Use), </w:t>
      </w:r>
      <w:r w:rsidRPr="00636B4E">
        <w:rPr>
          <w:rFonts w:asciiTheme="minorHAnsi" w:hAnsiTheme="minorHAnsi" w:cs="Arial"/>
        </w:rPr>
        <w:t>non-veterinarians can only get lawful authority to possess and use veterinary chemical products through:</w:t>
      </w:r>
    </w:p>
    <w:p w14:paraId="2D0DB5CE" w14:textId="77777777" w:rsidR="00667EC2" w:rsidRPr="00636B4E" w:rsidRDefault="00667EC2" w:rsidP="00063916">
      <w:pPr>
        <w:pStyle w:val="ListParagraph"/>
        <w:numPr>
          <w:ilvl w:val="0"/>
          <w:numId w:val="16"/>
        </w:numPr>
        <w:jc w:val="both"/>
        <w:rPr>
          <w:rFonts w:asciiTheme="minorHAnsi" w:hAnsiTheme="minorHAnsi" w:cs="Arial"/>
        </w:rPr>
      </w:pPr>
      <w:r w:rsidRPr="00636B4E">
        <w:rPr>
          <w:rFonts w:asciiTheme="minorHAnsi" w:hAnsiTheme="minorHAnsi" w:cs="Arial"/>
        </w:rPr>
        <w:t>an authority issued by the Medicines and Poisons Team (Dep</w:t>
      </w:r>
      <w:r w:rsidR="00315312" w:rsidRPr="00636B4E">
        <w:rPr>
          <w:rFonts w:asciiTheme="minorHAnsi" w:hAnsiTheme="minorHAnsi" w:cs="Arial"/>
        </w:rPr>
        <w:t xml:space="preserve">artment </w:t>
      </w:r>
      <w:r w:rsidRPr="00636B4E">
        <w:rPr>
          <w:rFonts w:asciiTheme="minorHAnsi" w:hAnsiTheme="minorHAnsi" w:cs="Arial"/>
        </w:rPr>
        <w:t>of Health) to possess and use</w:t>
      </w:r>
      <w:r w:rsidR="000C0E1C" w:rsidRPr="00636B4E">
        <w:rPr>
          <w:rFonts w:asciiTheme="minorHAnsi" w:hAnsiTheme="minorHAnsi" w:cs="Arial"/>
        </w:rPr>
        <w:t xml:space="preserve"> (for scheduled substances only);</w:t>
      </w:r>
      <w:r w:rsidRPr="00636B4E">
        <w:rPr>
          <w:rFonts w:asciiTheme="minorHAnsi" w:hAnsiTheme="minorHAnsi" w:cs="Arial"/>
        </w:rPr>
        <w:t xml:space="preserve"> or</w:t>
      </w:r>
    </w:p>
    <w:p w14:paraId="0204593C" w14:textId="77777777" w:rsidR="00667EC2" w:rsidRPr="00636B4E" w:rsidRDefault="00667EC2" w:rsidP="00063916">
      <w:pPr>
        <w:pStyle w:val="ListParagraph"/>
        <w:numPr>
          <w:ilvl w:val="0"/>
          <w:numId w:val="16"/>
        </w:numPr>
        <w:jc w:val="both"/>
        <w:rPr>
          <w:rFonts w:asciiTheme="minorHAnsi" w:hAnsiTheme="minorHAnsi" w:cs="Arial"/>
        </w:rPr>
      </w:pPr>
      <w:r w:rsidRPr="00636B4E">
        <w:rPr>
          <w:rFonts w:asciiTheme="minorHAnsi" w:hAnsiTheme="minorHAnsi" w:cs="Arial"/>
        </w:rPr>
        <w:t>the   written   instructions   provided   by   the   veterinarian   who   prescribed, recommended or supplied the product</w:t>
      </w:r>
      <w:r w:rsidR="000C0E1C" w:rsidRPr="00636B4E">
        <w:rPr>
          <w:rFonts w:asciiTheme="minorHAnsi" w:hAnsiTheme="minorHAnsi" w:cs="Arial"/>
        </w:rPr>
        <w:t>;</w:t>
      </w:r>
      <w:r w:rsidRPr="00636B4E">
        <w:rPr>
          <w:rFonts w:asciiTheme="minorHAnsi" w:hAnsiTheme="minorHAnsi" w:cs="Arial"/>
        </w:rPr>
        <w:t xml:space="preserve"> or</w:t>
      </w:r>
    </w:p>
    <w:p w14:paraId="7BE00B84" w14:textId="77777777" w:rsidR="004D4D5F" w:rsidRPr="00636B4E" w:rsidRDefault="00667EC2" w:rsidP="00063916">
      <w:pPr>
        <w:pStyle w:val="ListParagraph"/>
        <w:numPr>
          <w:ilvl w:val="0"/>
          <w:numId w:val="16"/>
        </w:numPr>
        <w:jc w:val="both"/>
        <w:rPr>
          <w:rFonts w:asciiTheme="minorHAnsi" w:hAnsiTheme="minorHAnsi" w:cs="Arial"/>
        </w:rPr>
      </w:pPr>
      <w:r w:rsidRPr="00636B4E">
        <w:rPr>
          <w:rFonts w:asciiTheme="minorHAnsi" w:hAnsiTheme="minorHAnsi" w:cs="Arial"/>
        </w:rPr>
        <w:t>if no instructions are provided comply with the directions on the label.</w:t>
      </w:r>
    </w:p>
    <w:p w14:paraId="5D26B40D" w14:textId="77777777" w:rsidR="00063916" w:rsidRPr="00636B4E" w:rsidRDefault="00667EC2" w:rsidP="00063916">
      <w:pPr>
        <w:pStyle w:val="ListParagraph"/>
        <w:numPr>
          <w:ilvl w:val="0"/>
          <w:numId w:val="9"/>
        </w:numPr>
        <w:rPr>
          <w:rFonts w:asciiTheme="minorHAnsi" w:hAnsiTheme="minorHAnsi" w:cs="Arial"/>
        </w:rPr>
      </w:pPr>
      <w:r w:rsidRPr="00636B4E">
        <w:rPr>
          <w:rFonts w:asciiTheme="minorHAnsi" w:hAnsiTheme="minorHAnsi" w:cs="Arial"/>
        </w:rPr>
        <w:t xml:space="preserve">However for schedule 4 and 8 substances non-veterinarians cannot rely on the third condition because of Section 77 of the </w:t>
      </w:r>
      <w:r w:rsidRPr="00636B4E">
        <w:rPr>
          <w:rFonts w:asciiTheme="minorHAnsi" w:hAnsiTheme="minorHAnsi" w:cs="Arial"/>
          <w:b/>
          <w:i/>
        </w:rPr>
        <w:t>Medicines, Poisons and Therapeutic Goods Act</w:t>
      </w:r>
      <w:r w:rsidRPr="00636B4E">
        <w:rPr>
          <w:rFonts w:asciiTheme="minorHAnsi" w:hAnsiTheme="minorHAnsi" w:cs="Arial"/>
        </w:rPr>
        <w:t xml:space="preserve"> </w:t>
      </w:r>
      <w:r w:rsidR="000C0E1C" w:rsidRPr="00636B4E">
        <w:rPr>
          <w:rFonts w:asciiTheme="minorHAnsi" w:hAnsiTheme="minorHAnsi" w:cs="Arial"/>
        </w:rPr>
        <w:t xml:space="preserve">2012 </w:t>
      </w:r>
      <w:r w:rsidRPr="00636B4E">
        <w:rPr>
          <w:rFonts w:asciiTheme="minorHAnsi" w:hAnsiTheme="minorHAnsi" w:cs="Arial"/>
        </w:rPr>
        <w:t xml:space="preserve">which states the person administer in accordance with the instruction of the veterinarian.  </w:t>
      </w:r>
    </w:p>
    <w:p w14:paraId="30D63343" w14:textId="77777777" w:rsidR="00063916" w:rsidRPr="00063916" w:rsidRDefault="00063916" w:rsidP="00063916">
      <w:pPr>
        <w:pStyle w:val="ListParagraph"/>
        <w:ind w:left="720"/>
        <w:jc w:val="center"/>
        <w:rPr>
          <w:rFonts w:ascii="Arial" w:hAnsi="Arial" w:cs="Arial"/>
        </w:rPr>
      </w:pPr>
      <w:r w:rsidRPr="00063916">
        <w:rPr>
          <w:noProof/>
          <w:lang w:eastAsia="en-AU"/>
        </w:rPr>
        <w:drawing>
          <wp:inline distT="0" distB="0" distL="0" distR="0" wp14:anchorId="3ED354EC" wp14:editId="4C6DC10B">
            <wp:extent cx="3876334" cy="3125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87278" cy="3134160"/>
                    </a:xfrm>
                    <a:prstGeom prst="rect">
                      <a:avLst/>
                    </a:prstGeom>
                  </pic:spPr>
                </pic:pic>
              </a:graphicData>
            </a:graphic>
          </wp:inline>
        </w:drawing>
      </w:r>
    </w:p>
    <w:p w14:paraId="24795155" w14:textId="77777777" w:rsidR="00063916" w:rsidRPr="00063916" w:rsidRDefault="00063916" w:rsidP="00667EC2">
      <w:pPr>
        <w:rPr>
          <w:rFonts w:ascii="Arial" w:eastAsiaTheme="minorEastAsia" w:hAnsi="Arial" w:cs="Arial"/>
        </w:rPr>
      </w:pPr>
    </w:p>
    <w:p w14:paraId="5D31E200" w14:textId="77777777" w:rsidR="00612119" w:rsidRDefault="00612119">
      <w:pPr>
        <w:rPr>
          <w:rFonts w:ascii="Arial" w:eastAsiaTheme="minorEastAsia" w:hAnsi="Arial" w:cs="Arial"/>
          <w:iCs/>
        </w:rPr>
      </w:pPr>
      <w:r>
        <w:rPr>
          <w:rFonts w:ascii="Arial" w:hAnsi="Arial" w:cs="Arial"/>
        </w:rPr>
        <w:br w:type="page"/>
      </w:r>
    </w:p>
    <w:p w14:paraId="5DB7F5B6" w14:textId="77777777" w:rsidR="00612119" w:rsidRDefault="00612119" w:rsidP="00636B4E">
      <w:pPr>
        <w:pStyle w:val="Heading1"/>
      </w:pPr>
      <w:r>
        <w:lastRenderedPageBreak/>
        <w:t>Directions</w:t>
      </w:r>
    </w:p>
    <w:p w14:paraId="755A2D8B" w14:textId="77777777" w:rsidR="00A60D34" w:rsidRPr="00636B4E" w:rsidRDefault="00612119" w:rsidP="00063916">
      <w:pPr>
        <w:pStyle w:val="ListParagraph"/>
        <w:numPr>
          <w:ilvl w:val="0"/>
          <w:numId w:val="9"/>
        </w:numPr>
        <w:rPr>
          <w:rFonts w:asciiTheme="minorHAnsi" w:hAnsiTheme="minorHAnsi" w:cs="Arial"/>
        </w:rPr>
      </w:pPr>
      <w:proofErr w:type="gramStart"/>
      <w:r w:rsidRPr="00636B4E">
        <w:rPr>
          <w:rFonts w:asciiTheme="minorHAnsi" w:hAnsiTheme="minorHAnsi" w:cs="Arial"/>
        </w:rPr>
        <w:t>In order to</w:t>
      </w:r>
      <w:proofErr w:type="gramEnd"/>
      <w:r w:rsidRPr="00636B4E">
        <w:rPr>
          <w:rFonts w:asciiTheme="minorHAnsi" w:hAnsiTheme="minorHAnsi" w:cs="Arial"/>
        </w:rPr>
        <w:t xml:space="preserve"> provide clarity and remove ambiguity, the Chemical Coordinator has determined that </w:t>
      </w:r>
      <w:r w:rsidR="00A60D34" w:rsidRPr="00636B4E">
        <w:rPr>
          <w:rFonts w:asciiTheme="minorHAnsi" w:hAnsiTheme="minorHAnsi" w:cs="Arial"/>
        </w:rPr>
        <w:t xml:space="preserve">to protect users (non-veterinarians) of a class of chemical product (Schedule 4 and 8 substances), instructions by a veterinarian </w:t>
      </w:r>
      <w:r w:rsidR="00A60D34" w:rsidRPr="00636B4E">
        <w:rPr>
          <w:rFonts w:asciiTheme="minorHAnsi" w:hAnsiTheme="minorHAnsi" w:cs="Arial"/>
          <w:b/>
        </w:rPr>
        <w:t>must be in writing</w:t>
      </w:r>
      <w:r w:rsidR="00A60D34" w:rsidRPr="00636B4E">
        <w:rPr>
          <w:rFonts w:asciiTheme="minorHAnsi" w:hAnsiTheme="minorHAnsi" w:cs="Arial"/>
        </w:rPr>
        <w:t xml:space="preserve"> in accordance with Section 25 (2)(a) of the </w:t>
      </w:r>
      <w:r w:rsidR="00A60D34" w:rsidRPr="00636B4E">
        <w:rPr>
          <w:rFonts w:asciiTheme="minorHAnsi" w:hAnsiTheme="minorHAnsi" w:cs="Arial"/>
          <w:b/>
          <w:i/>
          <w:shd w:val="clear" w:color="auto" w:fill="FFFFFF"/>
        </w:rPr>
        <w:t>Agricultural and Veterinary Chemicals (Control of Use) Act</w:t>
      </w:r>
      <w:r w:rsidR="00A60D34" w:rsidRPr="00636B4E">
        <w:rPr>
          <w:rFonts w:asciiTheme="minorHAnsi" w:hAnsiTheme="minorHAnsi" w:cs="Arial"/>
        </w:rPr>
        <w:t>.</w:t>
      </w:r>
    </w:p>
    <w:p w14:paraId="1F9212F4" w14:textId="77777777" w:rsidR="00612119" w:rsidRPr="00636B4E" w:rsidRDefault="00A60D34" w:rsidP="00063916">
      <w:pPr>
        <w:pStyle w:val="ListParagraph"/>
        <w:numPr>
          <w:ilvl w:val="0"/>
          <w:numId w:val="9"/>
        </w:numPr>
        <w:rPr>
          <w:rFonts w:asciiTheme="minorHAnsi" w:hAnsiTheme="minorHAnsi" w:cs="Arial"/>
        </w:rPr>
      </w:pPr>
      <w:r w:rsidRPr="00636B4E">
        <w:rPr>
          <w:rFonts w:asciiTheme="minorHAnsi" w:hAnsiTheme="minorHAnsi" w:cs="Arial"/>
        </w:rPr>
        <w:t>These directions are issued in accordance with Section 87 (b)(</w:t>
      </w:r>
      <w:proofErr w:type="spellStart"/>
      <w:r w:rsidRPr="00636B4E">
        <w:rPr>
          <w:rFonts w:asciiTheme="minorHAnsi" w:hAnsiTheme="minorHAnsi" w:cs="Arial"/>
        </w:rPr>
        <w:t>i</w:t>
      </w:r>
      <w:proofErr w:type="spellEnd"/>
      <w:r w:rsidRPr="00636B4E">
        <w:rPr>
          <w:rFonts w:asciiTheme="minorHAnsi" w:hAnsiTheme="minorHAnsi" w:cs="Arial"/>
        </w:rPr>
        <w:t xml:space="preserve">) of the </w:t>
      </w:r>
      <w:r w:rsidRPr="00636B4E">
        <w:rPr>
          <w:rFonts w:asciiTheme="minorHAnsi" w:hAnsiTheme="minorHAnsi" w:cs="Arial"/>
          <w:b/>
          <w:i/>
          <w:shd w:val="clear" w:color="auto" w:fill="FFFFFF"/>
        </w:rPr>
        <w:t>Agricultural and Veterinary Chemicals</w:t>
      </w:r>
      <w:r w:rsidR="000C0961" w:rsidRPr="00636B4E">
        <w:rPr>
          <w:rFonts w:asciiTheme="minorHAnsi" w:hAnsiTheme="minorHAnsi" w:cs="Arial"/>
          <w:b/>
          <w:i/>
          <w:shd w:val="clear" w:color="auto" w:fill="FFFFFF"/>
        </w:rPr>
        <w:t xml:space="preserve"> (Control of Use) Act</w:t>
      </w:r>
      <w:r w:rsidR="000C0961" w:rsidRPr="00636B4E">
        <w:rPr>
          <w:rFonts w:asciiTheme="minorHAnsi" w:hAnsiTheme="minorHAnsi" w:cs="Arial"/>
          <w:i/>
          <w:u w:val="single"/>
          <w:shd w:val="clear" w:color="auto" w:fill="FFFFFF"/>
        </w:rPr>
        <w:t xml:space="preserve"> </w:t>
      </w:r>
      <w:r w:rsidR="000C0961" w:rsidRPr="00636B4E">
        <w:rPr>
          <w:rFonts w:asciiTheme="minorHAnsi" w:hAnsiTheme="minorHAnsi" w:cs="Arial"/>
          <w:shd w:val="clear" w:color="auto" w:fill="FFFFFF"/>
        </w:rPr>
        <w:t xml:space="preserve">and have been gazetted in NTG Gazette 22 on the </w:t>
      </w:r>
      <w:proofErr w:type="gramStart"/>
      <w:r w:rsidR="000C0961" w:rsidRPr="00636B4E">
        <w:rPr>
          <w:rFonts w:asciiTheme="minorHAnsi" w:hAnsiTheme="minorHAnsi" w:cs="Arial"/>
          <w:shd w:val="clear" w:color="auto" w:fill="FFFFFF"/>
        </w:rPr>
        <w:t>26</w:t>
      </w:r>
      <w:r w:rsidR="000C0961" w:rsidRPr="00636B4E">
        <w:rPr>
          <w:rFonts w:asciiTheme="minorHAnsi" w:hAnsiTheme="minorHAnsi" w:cs="Arial"/>
          <w:shd w:val="clear" w:color="auto" w:fill="FFFFFF"/>
          <w:vertAlign w:val="superscript"/>
        </w:rPr>
        <w:t>th</w:t>
      </w:r>
      <w:proofErr w:type="gramEnd"/>
      <w:r w:rsidR="000C0961" w:rsidRPr="00636B4E">
        <w:rPr>
          <w:rFonts w:asciiTheme="minorHAnsi" w:hAnsiTheme="minorHAnsi" w:cs="Arial"/>
          <w:shd w:val="clear" w:color="auto" w:fill="FFFFFF"/>
        </w:rPr>
        <w:t xml:space="preserve"> October 2023.</w:t>
      </w:r>
    </w:p>
    <w:p w14:paraId="41EDCC05" w14:textId="77777777" w:rsidR="00114653" w:rsidRPr="00063916" w:rsidRDefault="00114653" w:rsidP="00636B4E">
      <w:pPr>
        <w:pStyle w:val="Heading1"/>
      </w:pPr>
      <w:r w:rsidRPr="00063916">
        <w:rPr>
          <w:rFonts w:eastAsiaTheme="minorEastAsia"/>
        </w:rPr>
        <w:t>Offence</w:t>
      </w:r>
      <w:r w:rsidR="00FF2CDD" w:rsidRPr="00063916">
        <w:rPr>
          <w:rFonts w:eastAsiaTheme="minorEastAsia"/>
        </w:rPr>
        <w:t>s</w:t>
      </w:r>
    </w:p>
    <w:p w14:paraId="5AB8AA31" w14:textId="77777777" w:rsidR="00063916" w:rsidRPr="00636B4E" w:rsidRDefault="00114653" w:rsidP="0004774C">
      <w:pPr>
        <w:pStyle w:val="ListParagraph"/>
        <w:numPr>
          <w:ilvl w:val="0"/>
          <w:numId w:val="9"/>
        </w:numPr>
        <w:jc w:val="both"/>
        <w:rPr>
          <w:rFonts w:asciiTheme="minorHAnsi" w:eastAsia="Calibri" w:hAnsiTheme="minorHAnsi" w:cs="Arial"/>
        </w:rPr>
      </w:pPr>
      <w:r w:rsidRPr="00636B4E">
        <w:rPr>
          <w:rFonts w:asciiTheme="minorHAnsi" w:eastAsia="Calibri" w:hAnsiTheme="minorHAnsi" w:cs="Arial"/>
        </w:rPr>
        <w:t>The</w:t>
      </w:r>
      <w:r w:rsidR="00C827B8" w:rsidRPr="00636B4E">
        <w:rPr>
          <w:rFonts w:asciiTheme="minorHAnsi" w:eastAsia="Calibri" w:hAnsiTheme="minorHAnsi" w:cs="Arial"/>
        </w:rPr>
        <w:t xml:space="preserve"> use of </w:t>
      </w:r>
      <w:r w:rsidR="00063916" w:rsidRPr="00636B4E">
        <w:rPr>
          <w:rFonts w:asciiTheme="minorHAnsi" w:eastAsia="Calibri" w:hAnsiTheme="minorHAnsi" w:cs="Arial"/>
        </w:rPr>
        <w:t xml:space="preserve">veterinary </w:t>
      </w:r>
      <w:r w:rsidR="00C827B8" w:rsidRPr="00636B4E">
        <w:rPr>
          <w:rFonts w:asciiTheme="minorHAnsi" w:eastAsia="Calibri" w:hAnsiTheme="minorHAnsi" w:cs="Arial"/>
        </w:rPr>
        <w:t>chemicals</w:t>
      </w:r>
      <w:r w:rsidR="00063916" w:rsidRPr="00636B4E">
        <w:rPr>
          <w:rFonts w:asciiTheme="minorHAnsi" w:eastAsia="Calibri" w:hAnsiTheme="minorHAnsi" w:cs="Arial"/>
        </w:rPr>
        <w:t xml:space="preserve"> without a lawful authority </w:t>
      </w:r>
      <w:r w:rsidRPr="00636B4E">
        <w:rPr>
          <w:rFonts w:asciiTheme="minorHAnsi" w:eastAsia="Calibri" w:hAnsiTheme="minorHAnsi" w:cs="Arial"/>
        </w:rPr>
        <w:t>constitute</w:t>
      </w:r>
      <w:r w:rsidR="000D0E75" w:rsidRPr="00636B4E">
        <w:rPr>
          <w:rFonts w:asciiTheme="minorHAnsi" w:eastAsia="Calibri" w:hAnsiTheme="minorHAnsi" w:cs="Arial"/>
        </w:rPr>
        <w:t>s</w:t>
      </w:r>
      <w:r w:rsidRPr="00636B4E">
        <w:rPr>
          <w:rFonts w:asciiTheme="minorHAnsi" w:eastAsia="Calibri" w:hAnsiTheme="minorHAnsi" w:cs="Arial"/>
        </w:rPr>
        <w:t xml:space="preserve"> an offence under Section </w:t>
      </w:r>
      <w:r w:rsidR="00063916" w:rsidRPr="00636B4E">
        <w:rPr>
          <w:rFonts w:asciiTheme="minorHAnsi" w:eastAsia="Calibri" w:hAnsiTheme="minorHAnsi" w:cs="Arial"/>
        </w:rPr>
        <w:t>25(1)</w:t>
      </w:r>
      <w:r w:rsidRPr="00636B4E">
        <w:rPr>
          <w:rFonts w:asciiTheme="minorHAnsi" w:eastAsia="Calibri" w:hAnsiTheme="minorHAnsi" w:cs="Arial"/>
        </w:rPr>
        <w:t xml:space="preserve"> of the </w:t>
      </w:r>
      <w:r w:rsidRPr="00636B4E">
        <w:rPr>
          <w:rFonts w:asciiTheme="minorHAnsi" w:eastAsia="Calibri" w:hAnsiTheme="minorHAnsi" w:cs="Arial"/>
          <w:b/>
          <w:i/>
        </w:rPr>
        <w:t>Agricultural and Veterinary Chemicals (Control of Use) Act 2004</w:t>
      </w:r>
      <w:r w:rsidRPr="00636B4E">
        <w:rPr>
          <w:rFonts w:asciiTheme="minorHAnsi" w:eastAsia="Calibri" w:hAnsiTheme="minorHAnsi" w:cs="Arial"/>
        </w:rPr>
        <w:t>.</w:t>
      </w:r>
    </w:p>
    <w:p w14:paraId="7965F37D" w14:textId="77777777" w:rsidR="00D800EF" w:rsidRPr="00D800EF" w:rsidRDefault="00D800EF" w:rsidP="00D800EF">
      <w:pPr>
        <w:jc w:val="center"/>
        <w:rPr>
          <w:rFonts w:ascii="Arial" w:hAnsi="Arial" w:cs="Arial"/>
        </w:rPr>
      </w:pPr>
      <w:r w:rsidRPr="00063916">
        <w:rPr>
          <w:noProof/>
          <w:lang w:eastAsia="en-AU"/>
        </w:rPr>
        <w:drawing>
          <wp:inline distT="0" distB="0" distL="0" distR="0" wp14:anchorId="29939EA3" wp14:editId="1F398C50">
            <wp:extent cx="3935895" cy="204269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49369" cy="2049688"/>
                    </a:xfrm>
                    <a:prstGeom prst="rect">
                      <a:avLst/>
                    </a:prstGeom>
                  </pic:spPr>
                </pic:pic>
              </a:graphicData>
            </a:graphic>
          </wp:inline>
        </w:drawing>
      </w:r>
    </w:p>
    <w:p w14:paraId="573AEC82" w14:textId="77777777" w:rsidR="00BE10B2" w:rsidRPr="00636B4E" w:rsidRDefault="00BE10B2" w:rsidP="00D800EF">
      <w:pPr>
        <w:pStyle w:val="ListParagraph"/>
        <w:numPr>
          <w:ilvl w:val="0"/>
          <w:numId w:val="9"/>
        </w:numPr>
        <w:jc w:val="center"/>
        <w:rPr>
          <w:rFonts w:asciiTheme="minorHAnsi" w:eastAsia="Calibri" w:hAnsiTheme="minorHAnsi" w:cs="Arial"/>
        </w:rPr>
      </w:pPr>
      <w:r w:rsidRPr="00636B4E">
        <w:rPr>
          <w:rFonts w:asciiTheme="minorHAnsi" w:hAnsiTheme="minorHAnsi"/>
          <w:noProof/>
          <w:lang w:eastAsia="en-AU"/>
        </w:rPr>
        <w:lastRenderedPageBreak/>
        <w:drawing>
          <wp:anchor distT="0" distB="0" distL="114300" distR="114300" simplePos="0" relativeHeight="251659264" behindDoc="1" locked="0" layoutInCell="1" allowOverlap="1" wp14:anchorId="7DC89C45" wp14:editId="142000A6">
            <wp:simplePos x="0" y="0"/>
            <wp:positionH relativeFrom="margin">
              <wp:align>center</wp:align>
            </wp:positionH>
            <wp:positionV relativeFrom="paragraph">
              <wp:posOffset>559711</wp:posOffset>
            </wp:positionV>
            <wp:extent cx="4528820" cy="3683635"/>
            <wp:effectExtent l="0" t="0" r="508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28820" cy="3683635"/>
                    </a:xfrm>
                    <a:prstGeom prst="rect">
                      <a:avLst/>
                    </a:prstGeom>
                  </pic:spPr>
                </pic:pic>
              </a:graphicData>
            </a:graphic>
            <wp14:sizeRelH relativeFrom="margin">
              <wp14:pctWidth>0</wp14:pctWidth>
            </wp14:sizeRelH>
            <wp14:sizeRelV relativeFrom="margin">
              <wp14:pctHeight>0</wp14:pctHeight>
            </wp14:sizeRelV>
          </wp:anchor>
        </w:drawing>
      </w:r>
      <w:r w:rsidR="00114653" w:rsidRPr="00636B4E">
        <w:rPr>
          <w:rFonts w:asciiTheme="minorHAnsi" w:eastAsia="Calibri" w:hAnsiTheme="minorHAnsi" w:cs="Arial"/>
        </w:rPr>
        <w:t xml:space="preserve">Furthermore a person who contravenes a direction by the Chemical Coordinator commits a </w:t>
      </w:r>
      <w:r w:rsidRPr="00636B4E">
        <w:rPr>
          <w:rFonts w:asciiTheme="minorHAnsi" w:eastAsia="Calibri" w:hAnsiTheme="minorHAnsi" w:cs="Arial"/>
        </w:rPr>
        <w:t>further</w:t>
      </w:r>
      <w:r w:rsidR="00114653" w:rsidRPr="00636B4E">
        <w:rPr>
          <w:rFonts w:asciiTheme="minorHAnsi" w:eastAsia="Calibri" w:hAnsiTheme="minorHAnsi" w:cs="Arial"/>
        </w:rPr>
        <w:t xml:space="preserve"> offence</w:t>
      </w:r>
      <w:r w:rsidRPr="00636B4E">
        <w:rPr>
          <w:rFonts w:asciiTheme="minorHAnsi" w:eastAsia="Calibri" w:hAnsiTheme="minorHAnsi" w:cs="Arial"/>
        </w:rPr>
        <w:t xml:space="preserve"> under Section 87 of the Agricultural and Veterinary Chemicals (Control of Use) </w:t>
      </w:r>
      <w:r w:rsidR="009D6138" w:rsidRPr="00636B4E">
        <w:rPr>
          <w:rFonts w:asciiTheme="minorHAnsi" w:eastAsia="Calibri" w:hAnsiTheme="minorHAnsi" w:cs="Arial"/>
        </w:rPr>
        <w:t>Act 2004</w:t>
      </w:r>
      <w:r w:rsidRPr="00636B4E">
        <w:rPr>
          <w:rFonts w:asciiTheme="minorHAnsi" w:eastAsia="Calibri" w:hAnsiTheme="minorHAnsi" w:cs="Arial"/>
        </w:rPr>
        <w:t>.</w:t>
      </w:r>
    </w:p>
    <w:p w14:paraId="0A9018DD" w14:textId="77777777" w:rsidR="00BE10B2" w:rsidRPr="00063916" w:rsidRDefault="00BE10B2" w:rsidP="00BE10B2">
      <w:pPr>
        <w:rPr>
          <w:rFonts w:ascii="Arial" w:hAnsi="Arial" w:cs="Arial"/>
        </w:rPr>
      </w:pPr>
    </w:p>
    <w:p w14:paraId="55167D66" w14:textId="77777777" w:rsidR="00BE10B2" w:rsidRPr="00063916" w:rsidRDefault="00BE10B2" w:rsidP="00BE10B2">
      <w:pPr>
        <w:rPr>
          <w:rFonts w:ascii="Arial" w:hAnsi="Arial" w:cs="Arial"/>
        </w:rPr>
      </w:pPr>
    </w:p>
    <w:p w14:paraId="5AD584D9" w14:textId="52F82EBB" w:rsidR="00BE10B2" w:rsidRPr="00063916" w:rsidRDefault="00BE10B2" w:rsidP="00636B4E">
      <w:pPr>
        <w:pStyle w:val="Heading1"/>
        <w:rPr>
          <w:rFonts w:eastAsiaTheme="minorEastAsia"/>
        </w:rPr>
      </w:pPr>
      <w:r w:rsidRPr="00063916">
        <w:rPr>
          <w:rFonts w:eastAsiaTheme="minorEastAsia"/>
        </w:rPr>
        <w:t xml:space="preserve">Further </w:t>
      </w:r>
      <w:r w:rsidR="00636B4E">
        <w:rPr>
          <w:rFonts w:eastAsiaTheme="minorEastAsia"/>
        </w:rPr>
        <w:t>i</w:t>
      </w:r>
      <w:r w:rsidRPr="00063916">
        <w:rPr>
          <w:rFonts w:eastAsiaTheme="minorEastAsia"/>
        </w:rPr>
        <w:t>nformation</w:t>
      </w:r>
    </w:p>
    <w:p w14:paraId="4C566E05" w14:textId="77777777" w:rsidR="00073138" w:rsidRPr="00636B4E" w:rsidRDefault="00C827B8" w:rsidP="00AE4CE5">
      <w:pPr>
        <w:pStyle w:val="ListParagraph"/>
        <w:numPr>
          <w:ilvl w:val="0"/>
          <w:numId w:val="11"/>
        </w:numPr>
        <w:jc w:val="both"/>
        <w:rPr>
          <w:rFonts w:asciiTheme="minorHAnsi" w:hAnsiTheme="minorHAnsi" w:cs="Arial"/>
        </w:rPr>
      </w:pPr>
      <w:r w:rsidRPr="00636B4E">
        <w:rPr>
          <w:rFonts w:asciiTheme="minorHAnsi" w:hAnsiTheme="minorHAnsi" w:cs="Arial"/>
        </w:rPr>
        <w:t>F</w:t>
      </w:r>
      <w:r w:rsidR="00BE10B2" w:rsidRPr="00636B4E">
        <w:rPr>
          <w:rFonts w:asciiTheme="minorHAnsi" w:hAnsiTheme="minorHAnsi" w:cs="Arial"/>
        </w:rPr>
        <w:t xml:space="preserve">urther </w:t>
      </w:r>
      <w:r w:rsidRPr="00636B4E">
        <w:rPr>
          <w:rFonts w:asciiTheme="minorHAnsi" w:hAnsiTheme="minorHAnsi" w:cs="Arial"/>
        </w:rPr>
        <w:t xml:space="preserve">information </w:t>
      </w:r>
      <w:r w:rsidR="000D0E75" w:rsidRPr="00636B4E">
        <w:rPr>
          <w:rFonts w:asciiTheme="minorHAnsi" w:hAnsiTheme="minorHAnsi" w:cs="Arial"/>
        </w:rPr>
        <w:t>on the safety and handling of chemicals and fertilisers can be found on their respective labels, safety data sheets as well as the APVMA or Chem Alert websites.</w:t>
      </w:r>
    </w:p>
    <w:p w14:paraId="2AC792F4" w14:textId="77777777" w:rsidR="000D0E75" w:rsidRPr="00636B4E" w:rsidRDefault="00D24435" w:rsidP="00AE4CE5">
      <w:pPr>
        <w:pStyle w:val="ListParagraph"/>
        <w:numPr>
          <w:ilvl w:val="0"/>
          <w:numId w:val="11"/>
        </w:numPr>
        <w:jc w:val="both"/>
        <w:rPr>
          <w:rFonts w:asciiTheme="minorHAnsi" w:hAnsiTheme="minorHAnsi" w:cs="Arial"/>
        </w:rPr>
      </w:pPr>
      <w:hyperlink r:id="rId12" w:history="1">
        <w:r w:rsidR="000D0E75" w:rsidRPr="00636B4E">
          <w:rPr>
            <w:rStyle w:val="Hyperlink"/>
            <w:rFonts w:asciiTheme="minorHAnsi" w:hAnsiTheme="minorHAnsi" w:cs="Arial"/>
          </w:rPr>
          <w:t>www.chemalert.rmt.com.au</w:t>
        </w:r>
      </w:hyperlink>
    </w:p>
    <w:p w14:paraId="455D6C03" w14:textId="77777777" w:rsidR="000D0E75" w:rsidRPr="00636B4E" w:rsidRDefault="00D24435" w:rsidP="00AE4CE5">
      <w:pPr>
        <w:pStyle w:val="ListParagraph"/>
        <w:numPr>
          <w:ilvl w:val="0"/>
          <w:numId w:val="11"/>
        </w:numPr>
        <w:jc w:val="both"/>
        <w:rPr>
          <w:rStyle w:val="Hyperlink"/>
          <w:rFonts w:asciiTheme="minorHAnsi" w:hAnsiTheme="minorHAnsi" w:cs="Arial"/>
          <w:color w:val="auto"/>
          <w:u w:val="none"/>
        </w:rPr>
      </w:pPr>
      <w:hyperlink r:id="rId13" w:history="1">
        <w:r w:rsidR="000D0E75" w:rsidRPr="00636B4E">
          <w:rPr>
            <w:rStyle w:val="Hyperlink"/>
            <w:rFonts w:asciiTheme="minorHAnsi" w:hAnsiTheme="minorHAnsi" w:cs="Arial"/>
          </w:rPr>
          <w:t>https://portal.apvma.gov.au/pubcris</w:t>
        </w:r>
      </w:hyperlink>
    </w:p>
    <w:p w14:paraId="2C0592F9" w14:textId="77777777" w:rsidR="000C0E1C" w:rsidRPr="00636B4E" w:rsidRDefault="000C0E1C" w:rsidP="006A2C2F">
      <w:pPr>
        <w:pStyle w:val="ListParagraph"/>
        <w:numPr>
          <w:ilvl w:val="0"/>
          <w:numId w:val="11"/>
        </w:numPr>
        <w:jc w:val="both"/>
        <w:rPr>
          <w:rFonts w:asciiTheme="minorHAnsi" w:hAnsiTheme="minorHAnsi" w:cs="Arial"/>
        </w:rPr>
      </w:pPr>
      <w:r w:rsidRPr="00636B4E">
        <w:rPr>
          <w:rFonts w:asciiTheme="minorHAnsi" w:hAnsiTheme="minorHAnsi" w:cs="Arial"/>
        </w:rPr>
        <w:t>Further information on Scheduled substances can be found on the NTG Medicine and Poisons website:</w:t>
      </w:r>
      <w:r w:rsidR="000C0961" w:rsidRPr="00636B4E">
        <w:rPr>
          <w:rFonts w:asciiTheme="minorHAnsi" w:hAnsiTheme="minorHAnsi" w:cs="Arial"/>
        </w:rPr>
        <w:t xml:space="preserve"> </w:t>
      </w:r>
      <w:hyperlink r:id="rId14" w:history="1">
        <w:r w:rsidRPr="00636B4E">
          <w:rPr>
            <w:rStyle w:val="Hyperlink"/>
            <w:rFonts w:asciiTheme="minorHAnsi" w:hAnsiTheme="minorHAnsi"/>
          </w:rPr>
          <w:t>Medicines and poisons | NT Health</w:t>
        </w:r>
      </w:hyperlink>
    </w:p>
    <w:p w14:paraId="6CE412CD" w14:textId="77777777" w:rsidR="000C0E1C" w:rsidRDefault="000C0E1C" w:rsidP="000C0E1C">
      <w:pPr>
        <w:pStyle w:val="ListParagraph"/>
        <w:ind w:left="720"/>
        <w:jc w:val="both"/>
        <w:rPr>
          <w:rFonts w:ascii="Arial" w:hAnsi="Arial" w:cs="Arial"/>
        </w:rPr>
      </w:pPr>
    </w:p>
    <w:p w14:paraId="04B23318" w14:textId="77777777" w:rsidR="000D0E75" w:rsidRPr="000D0E75" w:rsidRDefault="000D0E75" w:rsidP="000D0E75">
      <w:pPr>
        <w:pStyle w:val="ListParagraph"/>
        <w:ind w:left="720"/>
        <w:jc w:val="both"/>
        <w:rPr>
          <w:rFonts w:ascii="Arial" w:hAnsi="Arial" w:cs="Arial"/>
        </w:rPr>
      </w:pPr>
    </w:p>
    <w:p w14:paraId="435ED37F" w14:textId="77777777" w:rsidR="00FF2CDD" w:rsidRPr="000D0E75" w:rsidRDefault="00FF2CDD" w:rsidP="00A1027E">
      <w:pPr>
        <w:rPr>
          <w:rFonts w:ascii="Arial" w:hAnsi="Arial" w:cs="Arial"/>
        </w:rPr>
      </w:pPr>
    </w:p>
    <w:p w14:paraId="27E47652" w14:textId="77777777" w:rsidR="00FF2CDD" w:rsidRPr="000D0E75" w:rsidRDefault="00FF2CDD" w:rsidP="00FF2CDD">
      <w:pPr>
        <w:rPr>
          <w:rFonts w:ascii="Arial" w:hAnsi="Arial" w:cs="Arial"/>
        </w:rPr>
      </w:pPr>
    </w:p>
    <w:p w14:paraId="029BF0B3" w14:textId="77777777" w:rsidR="00FF2CDD" w:rsidRPr="000D0E75" w:rsidRDefault="00FF2CDD" w:rsidP="00FF2CDD">
      <w:pPr>
        <w:rPr>
          <w:rFonts w:ascii="Arial" w:hAnsi="Arial" w:cs="Arial"/>
        </w:rPr>
      </w:pPr>
    </w:p>
    <w:p w14:paraId="336DAC64" w14:textId="77777777" w:rsidR="00FF2CDD" w:rsidRPr="000D0E75" w:rsidRDefault="00FF2CDD" w:rsidP="00FF2CDD">
      <w:pPr>
        <w:rPr>
          <w:rFonts w:ascii="Arial" w:hAnsi="Arial" w:cs="Arial"/>
        </w:rPr>
      </w:pPr>
    </w:p>
    <w:p w14:paraId="117B3600" w14:textId="77777777" w:rsidR="00A1027E" w:rsidRPr="000D0E75" w:rsidRDefault="00FF2CDD" w:rsidP="00FF2CDD">
      <w:pPr>
        <w:tabs>
          <w:tab w:val="left" w:pos="978"/>
        </w:tabs>
        <w:rPr>
          <w:rFonts w:ascii="Arial" w:hAnsi="Arial" w:cs="Arial"/>
        </w:rPr>
      </w:pPr>
      <w:r w:rsidRPr="000D0E75">
        <w:rPr>
          <w:rFonts w:ascii="Arial" w:hAnsi="Arial" w:cs="Arial"/>
        </w:rPr>
        <w:tab/>
      </w:r>
    </w:p>
    <w:sectPr w:rsidR="00A1027E" w:rsidRPr="000D0E75" w:rsidSect="00A567EE">
      <w:headerReference w:type="default"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FB3C" w14:textId="77777777" w:rsidR="00D24435" w:rsidRDefault="00D24435" w:rsidP="007332FF">
      <w:r>
        <w:separator/>
      </w:r>
    </w:p>
  </w:endnote>
  <w:endnote w:type="continuationSeparator" w:id="0">
    <w:p w14:paraId="577685B7" w14:textId="77777777" w:rsidR="00D24435" w:rsidRDefault="00D2443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B7C1"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6A3ED7A0" w14:textId="77777777" w:rsidTr="00D47DC7">
      <w:trPr>
        <w:cantSplit/>
        <w:trHeight w:hRule="exact" w:val="850"/>
      </w:trPr>
      <w:tc>
        <w:tcPr>
          <w:tcW w:w="10318" w:type="dxa"/>
          <w:vAlign w:val="bottom"/>
        </w:tcPr>
        <w:p w14:paraId="00D821C9" w14:textId="527C4750"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36B4E">
                <w:rPr>
                  <w:rStyle w:val="PageNumber"/>
                  <w:b/>
                </w:rPr>
                <w:t>Industry, Tourism and Trade</w:t>
              </w:r>
            </w:sdtContent>
          </w:sdt>
        </w:p>
        <w:p w14:paraId="7E94D81C" w14:textId="77777777" w:rsidR="00D47DC7" w:rsidRPr="00CE6614" w:rsidRDefault="00D24435"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7-21T00:00:00Z">
                <w:dateFormat w:val="d MMMM yyyy"/>
                <w:lid w:val="en-AU"/>
                <w:storeMappedDataAs w:val="dateTime"/>
                <w:calendar w:val="gregorian"/>
              </w:date>
            </w:sdtPr>
            <w:sdtEndPr>
              <w:rPr>
                <w:rStyle w:val="PageNumber"/>
              </w:rPr>
            </w:sdtEndPr>
            <w:sdtContent>
              <w:r w:rsidR="005C6397">
                <w:rPr>
                  <w:rStyle w:val="PageNumber"/>
                </w:rPr>
                <w:t>21 July 2023</w:t>
              </w:r>
            </w:sdtContent>
          </w:sdt>
          <w:r w:rsidR="00D47DC7" w:rsidRPr="00CE6614">
            <w:rPr>
              <w:rStyle w:val="PageNumber"/>
            </w:rPr>
            <w:t xml:space="preserve"> | Version </w:t>
          </w:r>
          <w:r w:rsidR="00943A00">
            <w:rPr>
              <w:rStyle w:val="PageNumber"/>
            </w:rPr>
            <w:t>1.0</w:t>
          </w:r>
        </w:p>
        <w:p w14:paraId="2F339DF0"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C0961">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C0961">
            <w:rPr>
              <w:rStyle w:val="PageNumber"/>
              <w:noProof/>
            </w:rPr>
            <w:t>3</w:t>
          </w:r>
          <w:r w:rsidRPr="00AC4488">
            <w:rPr>
              <w:rStyle w:val="PageNumber"/>
            </w:rPr>
            <w:fldChar w:fldCharType="end"/>
          </w:r>
        </w:p>
      </w:tc>
    </w:tr>
  </w:tbl>
  <w:p w14:paraId="07E3145B"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947B"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5E4A4135" w14:textId="77777777" w:rsidTr="008921B4">
      <w:trPr>
        <w:cantSplit/>
        <w:trHeight w:hRule="exact" w:val="1134"/>
      </w:trPr>
      <w:tc>
        <w:tcPr>
          <w:tcW w:w="7767" w:type="dxa"/>
          <w:vAlign w:val="bottom"/>
        </w:tcPr>
        <w:p w14:paraId="1426FDFD" w14:textId="1DA752D2" w:rsidR="00D47DC7" w:rsidRPr="00A1027E" w:rsidRDefault="00D47DC7" w:rsidP="00D47DC7">
          <w:pPr>
            <w:spacing w:after="0"/>
            <w:rPr>
              <w:rStyle w:val="PageNumber"/>
            </w:rPr>
          </w:pPr>
          <w:r w:rsidRPr="00A1027E">
            <w:rPr>
              <w:rStyle w:val="PageNumber"/>
            </w:rPr>
            <w:t xml:space="preserve">Department of </w:t>
          </w:r>
          <w:sdt>
            <w:sdtPr>
              <w:rPr>
                <w:rStyle w:val="PageNumber"/>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1027E" w:rsidRPr="00A1027E">
                <w:rPr>
                  <w:rStyle w:val="PageNumber"/>
                </w:rPr>
                <w:t xml:space="preserve">Industry, Tourism </w:t>
              </w:r>
              <w:r w:rsidR="00636B4E">
                <w:rPr>
                  <w:rStyle w:val="PageNumber"/>
                </w:rPr>
                <w:t>and</w:t>
              </w:r>
              <w:r w:rsidR="00A1027E" w:rsidRPr="00A1027E">
                <w:rPr>
                  <w:rStyle w:val="PageNumber"/>
                </w:rPr>
                <w:t xml:space="preserve"> Trade</w:t>
              </w:r>
            </w:sdtContent>
          </w:sdt>
        </w:p>
        <w:p w14:paraId="36EA9B71" w14:textId="77777777" w:rsidR="00A1027E" w:rsidRPr="00A1027E" w:rsidRDefault="00A1027E" w:rsidP="00D47DC7">
          <w:pPr>
            <w:spacing w:after="0"/>
            <w:rPr>
              <w:rStyle w:val="PageNumber"/>
            </w:rPr>
          </w:pPr>
          <w:r w:rsidRPr="00A1027E">
            <w:rPr>
              <w:rStyle w:val="PageNumber"/>
            </w:rPr>
            <w:t>Chemical Services Branch</w:t>
          </w:r>
        </w:p>
        <w:p w14:paraId="615A114B" w14:textId="77777777" w:rsidR="00D47DC7" w:rsidRPr="00CE6614" w:rsidRDefault="00D24435"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7-21T00:00:00Z">
                <w:dateFormat w:val="d MMMM yyyy"/>
                <w:lid w:val="en-AU"/>
                <w:storeMappedDataAs w:val="dateTime"/>
                <w:calendar w:val="gregorian"/>
              </w:date>
            </w:sdtPr>
            <w:sdtEndPr>
              <w:rPr>
                <w:rStyle w:val="PageNumber"/>
              </w:rPr>
            </w:sdtEndPr>
            <w:sdtContent>
              <w:r w:rsidR="005C6397">
                <w:rPr>
                  <w:rStyle w:val="PageNumber"/>
                </w:rPr>
                <w:t>21 July 2023</w:t>
              </w:r>
            </w:sdtContent>
          </w:sdt>
        </w:p>
        <w:p w14:paraId="575662E1"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C0961">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C0961">
            <w:rPr>
              <w:rStyle w:val="PageNumber"/>
              <w:noProof/>
            </w:rPr>
            <w:t>3</w:t>
          </w:r>
          <w:r w:rsidRPr="00AC4488">
            <w:rPr>
              <w:rStyle w:val="PageNumber"/>
            </w:rPr>
            <w:fldChar w:fldCharType="end"/>
          </w:r>
        </w:p>
      </w:tc>
      <w:tc>
        <w:tcPr>
          <w:tcW w:w="2551" w:type="dxa"/>
          <w:vAlign w:val="bottom"/>
        </w:tcPr>
        <w:p w14:paraId="281C3C83" w14:textId="77777777" w:rsidR="0071700C" w:rsidRPr="001E14EB" w:rsidRDefault="0071700C" w:rsidP="0071700C">
          <w:pPr>
            <w:spacing w:after="0"/>
            <w:jc w:val="right"/>
          </w:pPr>
          <w:r>
            <w:rPr>
              <w:noProof/>
              <w:lang w:eastAsia="en-AU"/>
            </w:rPr>
            <w:drawing>
              <wp:inline distT="0" distB="0" distL="0" distR="0" wp14:anchorId="4C500DE0" wp14:editId="36312C9B">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1B4835D"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D39C" w14:textId="77777777" w:rsidR="00D24435" w:rsidRDefault="00D24435" w:rsidP="007332FF">
      <w:r>
        <w:separator/>
      </w:r>
    </w:p>
  </w:footnote>
  <w:footnote w:type="continuationSeparator" w:id="0">
    <w:p w14:paraId="087D8766" w14:textId="77777777" w:rsidR="00D24435" w:rsidRDefault="00D2443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8A8D" w14:textId="32E8EF0A" w:rsidR="00983000" w:rsidRPr="00162207" w:rsidRDefault="00D24435"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636B4E">
          <w:t>Chemical Services – advisory note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EF40" w14:textId="1E026808" w:rsidR="00E54F9E" w:rsidRPr="00636B4E" w:rsidRDefault="00D24435" w:rsidP="00435082">
    <w:pPr>
      <w:pStyle w:val="Title"/>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A1027E" w:rsidRPr="00636B4E">
          <w:rPr>
            <w:rStyle w:val="TitleChar"/>
          </w:rPr>
          <w:t xml:space="preserve">Chemical Services – </w:t>
        </w:r>
        <w:r w:rsidR="00636B4E">
          <w:rPr>
            <w:rStyle w:val="TitleChar"/>
          </w:rPr>
          <w:t>a</w:t>
        </w:r>
        <w:r w:rsidR="00A1027E" w:rsidRPr="00636B4E">
          <w:rPr>
            <w:rStyle w:val="TitleChar"/>
          </w:rPr>
          <w:t xml:space="preserve">dvisory </w:t>
        </w:r>
        <w:r w:rsidR="00636B4E">
          <w:rPr>
            <w:rStyle w:val="TitleChar"/>
          </w:rPr>
          <w:t>n</w:t>
        </w:r>
        <w:r w:rsidR="00A1027E" w:rsidRPr="00636B4E">
          <w:rPr>
            <w:rStyle w:val="TitleChar"/>
          </w:rPr>
          <w:t>ote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AB4"/>
    <w:multiLevelType w:val="hybridMultilevel"/>
    <w:tmpl w:val="A84283F0"/>
    <w:lvl w:ilvl="0" w:tplc="35FED5DA">
      <w:start w:val="1"/>
      <w:numFmt w:val="decimal"/>
      <w:lvlText w:val="%1."/>
      <w:lvlJc w:val="left"/>
      <w:pPr>
        <w:ind w:left="720" w:hanging="360"/>
      </w:pPr>
      <w:rPr>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B1F8D"/>
    <w:multiLevelType w:val="hybridMultilevel"/>
    <w:tmpl w:val="3CD28CCE"/>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0D0813"/>
    <w:multiLevelType w:val="hybridMultilevel"/>
    <w:tmpl w:val="967C8FCA"/>
    <w:lvl w:ilvl="0" w:tplc="19BCAC2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647563"/>
    <w:multiLevelType w:val="hybridMultilevel"/>
    <w:tmpl w:val="36EC5D14"/>
    <w:lvl w:ilvl="0" w:tplc="35FED5DA">
      <w:start w:val="1"/>
      <w:numFmt w:val="decimal"/>
      <w:lvlText w:val="%1."/>
      <w:lvlJc w:val="left"/>
      <w:pPr>
        <w:ind w:left="720" w:hanging="360"/>
      </w:pPr>
      <w:rPr>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09D568E"/>
    <w:multiLevelType w:val="hybridMultilevel"/>
    <w:tmpl w:val="C1789C72"/>
    <w:lvl w:ilvl="0" w:tplc="35FED5DA">
      <w:start w:val="1"/>
      <w:numFmt w:val="decimal"/>
      <w:lvlText w:val="%1."/>
      <w:lvlJc w:val="left"/>
      <w:pPr>
        <w:ind w:left="720" w:hanging="360"/>
      </w:pPr>
      <w:rPr>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376364"/>
    <w:multiLevelType w:val="multilevel"/>
    <w:tmpl w:val="5AEC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3B22DCF"/>
    <w:multiLevelType w:val="hybridMultilevel"/>
    <w:tmpl w:val="38E41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B604BD4"/>
    <w:multiLevelType w:val="hybridMultilevel"/>
    <w:tmpl w:val="86B68A0E"/>
    <w:lvl w:ilvl="0" w:tplc="19BCAC2C">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4385C11"/>
    <w:multiLevelType w:val="hybridMultilevel"/>
    <w:tmpl w:val="D8B88602"/>
    <w:lvl w:ilvl="0" w:tplc="705273E0">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7"/>
  </w:num>
  <w:num w:numId="3">
    <w:abstractNumId w:val="42"/>
  </w:num>
  <w:num w:numId="4">
    <w:abstractNumId w:val="31"/>
  </w:num>
  <w:num w:numId="5">
    <w:abstractNumId w:val="23"/>
  </w:num>
  <w:num w:numId="6">
    <w:abstractNumId w:val="11"/>
  </w:num>
  <w:num w:numId="7">
    <w:abstractNumId w:val="33"/>
  </w:num>
  <w:num w:numId="8">
    <w:abstractNumId w:val="21"/>
  </w:num>
  <w:num w:numId="9">
    <w:abstractNumId w:val="0"/>
  </w:num>
  <w:num w:numId="10">
    <w:abstractNumId w:val="16"/>
  </w:num>
  <w:num w:numId="11">
    <w:abstractNumId w:val="29"/>
  </w:num>
  <w:num w:numId="12">
    <w:abstractNumId w:val="18"/>
  </w:num>
  <w:num w:numId="13">
    <w:abstractNumId w:val="3"/>
  </w:num>
  <w:num w:numId="14">
    <w:abstractNumId w:val="22"/>
  </w:num>
  <w:num w:numId="15">
    <w:abstractNumId w:val="15"/>
  </w:num>
  <w:num w:numId="16">
    <w:abstractNumId w:val="1"/>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27E"/>
    <w:rsid w:val="00001DDF"/>
    <w:rsid w:val="0000322D"/>
    <w:rsid w:val="000073B4"/>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3916"/>
    <w:rsid w:val="0006635A"/>
    <w:rsid w:val="000720BE"/>
    <w:rsid w:val="0007259C"/>
    <w:rsid w:val="00073138"/>
    <w:rsid w:val="000801B3"/>
    <w:rsid w:val="00080202"/>
    <w:rsid w:val="00080DCD"/>
    <w:rsid w:val="00080E22"/>
    <w:rsid w:val="00082573"/>
    <w:rsid w:val="000840A3"/>
    <w:rsid w:val="00085062"/>
    <w:rsid w:val="00086A5F"/>
    <w:rsid w:val="000911EF"/>
    <w:rsid w:val="000962C5"/>
    <w:rsid w:val="00097865"/>
    <w:rsid w:val="000A4317"/>
    <w:rsid w:val="000A559C"/>
    <w:rsid w:val="000B26F1"/>
    <w:rsid w:val="000B2CA1"/>
    <w:rsid w:val="000B7D07"/>
    <w:rsid w:val="000C0961"/>
    <w:rsid w:val="000C0E1C"/>
    <w:rsid w:val="000D0E75"/>
    <w:rsid w:val="000D1F29"/>
    <w:rsid w:val="000D633D"/>
    <w:rsid w:val="000E342B"/>
    <w:rsid w:val="000E3ED2"/>
    <w:rsid w:val="000E5DD2"/>
    <w:rsid w:val="000F2958"/>
    <w:rsid w:val="000F3850"/>
    <w:rsid w:val="000F604F"/>
    <w:rsid w:val="00104E7F"/>
    <w:rsid w:val="001137EC"/>
    <w:rsid w:val="00114653"/>
    <w:rsid w:val="001152F5"/>
    <w:rsid w:val="00115738"/>
    <w:rsid w:val="00117743"/>
    <w:rsid w:val="00117F5B"/>
    <w:rsid w:val="0012118C"/>
    <w:rsid w:val="001244B2"/>
    <w:rsid w:val="00132658"/>
    <w:rsid w:val="00150DC0"/>
    <w:rsid w:val="0015394D"/>
    <w:rsid w:val="00156CD4"/>
    <w:rsid w:val="0016153B"/>
    <w:rsid w:val="00162207"/>
    <w:rsid w:val="00164A3E"/>
    <w:rsid w:val="00166FF6"/>
    <w:rsid w:val="0017572D"/>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6EDE"/>
    <w:rsid w:val="001D7CA4"/>
    <w:rsid w:val="001E057F"/>
    <w:rsid w:val="001E0CBE"/>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199D"/>
    <w:rsid w:val="002E20C8"/>
    <w:rsid w:val="002E4290"/>
    <w:rsid w:val="002E42EA"/>
    <w:rsid w:val="002E66A6"/>
    <w:rsid w:val="002F0DB1"/>
    <w:rsid w:val="002F2885"/>
    <w:rsid w:val="002F45A1"/>
    <w:rsid w:val="0030203D"/>
    <w:rsid w:val="003037F9"/>
    <w:rsid w:val="0030583E"/>
    <w:rsid w:val="00307FE1"/>
    <w:rsid w:val="003120DC"/>
    <w:rsid w:val="00315312"/>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D4D5F"/>
    <w:rsid w:val="004D5F45"/>
    <w:rsid w:val="004E019E"/>
    <w:rsid w:val="004E06EC"/>
    <w:rsid w:val="004E0A3F"/>
    <w:rsid w:val="004E2CB7"/>
    <w:rsid w:val="004F016A"/>
    <w:rsid w:val="004F4D9E"/>
    <w:rsid w:val="00500F94"/>
    <w:rsid w:val="00502FB3"/>
    <w:rsid w:val="00503DE9"/>
    <w:rsid w:val="0050530C"/>
    <w:rsid w:val="00505DEA"/>
    <w:rsid w:val="00507782"/>
    <w:rsid w:val="00512A04"/>
    <w:rsid w:val="00520499"/>
    <w:rsid w:val="005249F5"/>
    <w:rsid w:val="005260F7"/>
    <w:rsid w:val="00543BD1"/>
    <w:rsid w:val="00551ECB"/>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C6397"/>
    <w:rsid w:val="005E1444"/>
    <w:rsid w:val="005E144D"/>
    <w:rsid w:val="005E1500"/>
    <w:rsid w:val="005E3A43"/>
    <w:rsid w:val="005F0B17"/>
    <w:rsid w:val="005F6602"/>
    <w:rsid w:val="005F77C7"/>
    <w:rsid w:val="00612119"/>
    <w:rsid w:val="00614380"/>
    <w:rsid w:val="00620675"/>
    <w:rsid w:val="00622910"/>
    <w:rsid w:val="006254B6"/>
    <w:rsid w:val="00627FC8"/>
    <w:rsid w:val="00636B4E"/>
    <w:rsid w:val="006433C3"/>
    <w:rsid w:val="00650F5B"/>
    <w:rsid w:val="00654260"/>
    <w:rsid w:val="006670D7"/>
    <w:rsid w:val="00667EC2"/>
    <w:rsid w:val="0067150C"/>
    <w:rsid w:val="006719EA"/>
    <w:rsid w:val="00671F13"/>
    <w:rsid w:val="0067400A"/>
    <w:rsid w:val="006847AD"/>
    <w:rsid w:val="0069114B"/>
    <w:rsid w:val="00693CF6"/>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0D52"/>
    <w:rsid w:val="00777795"/>
    <w:rsid w:val="00783A57"/>
    <w:rsid w:val="00784C92"/>
    <w:rsid w:val="007859CD"/>
    <w:rsid w:val="00785C24"/>
    <w:rsid w:val="007907E4"/>
    <w:rsid w:val="00796461"/>
    <w:rsid w:val="007A6A4F"/>
    <w:rsid w:val="007B03F5"/>
    <w:rsid w:val="007B5C09"/>
    <w:rsid w:val="007B5DA2"/>
    <w:rsid w:val="007C0966"/>
    <w:rsid w:val="007C19E7"/>
    <w:rsid w:val="007C44F8"/>
    <w:rsid w:val="007C5CFD"/>
    <w:rsid w:val="007C644E"/>
    <w:rsid w:val="007C6D9F"/>
    <w:rsid w:val="007C7AC5"/>
    <w:rsid w:val="007D4510"/>
    <w:rsid w:val="007D4893"/>
    <w:rsid w:val="007E70CF"/>
    <w:rsid w:val="007E74A4"/>
    <w:rsid w:val="007F1B6F"/>
    <w:rsid w:val="007F263F"/>
    <w:rsid w:val="008015A8"/>
    <w:rsid w:val="00802253"/>
    <w:rsid w:val="0080766E"/>
    <w:rsid w:val="0080796B"/>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3A00"/>
    <w:rsid w:val="009444F0"/>
    <w:rsid w:val="009468BC"/>
    <w:rsid w:val="00947FAE"/>
    <w:rsid w:val="00960725"/>
    <w:rsid w:val="009616DF"/>
    <w:rsid w:val="0096542F"/>
    <w:rsid w:val="00967FA7"/>
    <w:rsid w:val="00971645"/>
    <w:rsid w:val="00977919"/>
    <w:rsid w:val="009819C5"/>
    <w:rsid w:val="00983000"/>
    <w:rsid w:val="009870FA"/>
    <w:rsid w:val="009921C3"/>
    <w:rsid w:val="0099551D"/>
    <w:rsid w:val="009A5897"/>
    <w:rsid w:val="009A5F24"/>
    <w:rsid w:val="009B0B3E"/>
    <w:rsid w:val="009B1913"/>
    <w:rsid w:val="009B6657"/>
    <w:rsid w:val="009B6966"/>
    <w:rsid w:val="009D0EB5"/>
    <w:rsid w:val="009D14F9"/>
    <w:rsid w:val="009D2B74"/>
    <w:rsid w:val="009D483B"/>
    <w:rsid w:val="009D6138"/>
    <w:rsid w:val="009D63FF"/>
    <w:rsid w:val="009E175D"/>
    <w:rsid w:val="009E3CC2"/>
    <w:rsid w:val="009F06BD"/>
    <w:rsid w:val="009F2A4D"/>
    <w:rsid w:val="00A00828"/>
    <w:rsid w:val="00A03290"/>
    <w:rsid w:val="00A0387E"/>
    <w:rsid w:val="00A05BFD"/>
    <w:rsid w:val="00A07490"/>
    <w:rsid w:val="00A1027E"/>
    <w:rsid w:val="00A10655"/>
    <w:rsid w:val="00A12B64"/>
    <w:rsid w:val="00A22C38"/>
    <w:rsid w:val="00A25193"/>
    <w:rsid w:val="00A26E80"/>
    <w:rsid w:val="00A31AE8"/>
    <w:rsid w:val="00A3739D"/>
    <w:rsid w:val="00A37DDA"/>
    <w:rsid w:val="00A45005"/>
    <w:rsid w:val="00A567EE"/>
    <w:rsid w:val="00A60D34"/>
    <w:rsid w:val="00A70DD8"/>
    <w:rsid w:val="00A76790"/>
    <w:rsid w:val="00A8005A"/>
    <w:rsid w:val="00A85D0C"/>
    <w:rsid w:val="00A925EC"/>
    <w:rsid w:val="00A929AA"/>
    <w:rsid w:val="00A92B6B"/>
    <w:rsid w:val="00AA541E"/>
    <w:rsid w:val="00AD0DA4"/>
    <w:rsid w:val="00AD4169"/>
    <w:rsid w:val="00AE25C6"/>
    <w:rsid w:val="00AE306C"/>
    <w:rsid w:val="00AE4CE5"/>
    <w:rsid w:val="00AF28C1"/>
    <w:rsid w:val="00B02EF1"/>
    <w:rsid w:val="00B07C97"/>
    <w:rsid w:val="00B11C67"/>
    <w:rsid w:val="00B14257"/>
    <w:rsid w:val="00B15754"/>
    <w:rsid w:val="00B16002"/>
    <w:rsid w:val="00B2046E"/>
    <w:rsid w:val="00B20E8B"/>
    <w:rsid w:val="00B257E1"/>
    <w:rsid w:val="00B2599A"/>
    <w:rsid w:val="00B27AC4"/>
    <w:rsid w:val="00B343CC"/>
    <w:rsid w:val="00B46C78"/>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10B2"/>
    <w:rsid w:val="00BE37CA"/>
    <w:rsid w:val="00BE6144"/>
    <w:rsid w:val="00BE635A"/>
    <w:rsid w:val="00BF17E9"/>
    <w:rsid w:val="00BF2ABB"/>
    <w:rsid w:val="00BF371F"/>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27B8"/>
    <w:rsid w:val="00C83BB6"/>
    <w:rsid w:val="00C86609"/>
    <w:rsid w:val="00C92B4C"/>
    <w:rsid w:val="00C954F6"/>
    <w:rsid w:val="00CA36A0"/>
    <w:rsid w:val="00CA6BC5"/>
    <w:rsid w:val="00CC2967"/>
    <w:rsid w:val="00CC571B"/>
    <w:rsid w:val="00CC61CD"/>
    <w:rsid w:val="00CC6C02"/>
    <w:rsid w:val="00CC737B"/>
    <w:rsid w:val="00CD5011"/>
    <w:rsid w:val="00CD764F"/>
    <w:rsid w:val="00CE0A70"/>
    <w:rsid w:val="00CE640F"/>
    <w:rsid w:val="00CE76BC"/>
    <w:rsid w:val="00CF2B20"/>
    <w:rsid w:val="00CF540E"/>
    <w:rsid w:val="00D02F07"/>
    <w:rsid w:val="00D15D88"/>
    <w:rsid w:val="00D24435"/>
    <w:rsid w:val="00D27D49"/>
    <w:rsid w:val="00D27EBE"/>
    <w:rsid w:val="00D36A49"/>
    <w:rsid w:val="00D47DC7"/>
    <w:rsid w:val="00D517C6"/>
    <w:rsid w:val="00D71D84"/>
    <w:rsid w:val="00D72464"/>
    <w:rsid w:val="00D72A57"/>
    <w:rsid w:val="00D768EB"/>
    <w:rsid w:val="00D800EF"/>
    <w:rsid w:val="00D81E17"/>
    <w:rsid w:val="00D82D1E"/>
    <w:rsid w:val="00D832D9"/>
    <w:rsid w:val="00D90F00"/>
    <w:rsid w:val="00D96804"/>
    <w:rsid w:val="00D975C0"/>
    <w:rsid w:val="00DA2EDE"/>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5BC5"/>
    <w:rsid w:val="00E160D5"/>
    <w:rsid w:val="00E239FF"/>
    <w:rsid w:val="00E27D7B"/>
    <w:rsid w:val="00E30556"/>
    <w:rsid w:val="00E30981"/>
    <w:rsid w:val="00E33136"/>
    <w:rsid w:val="00E34D7C"/>
    <w:rsid w:val="00E3723D"/>
    <w:rsid w:val="00E44C89"/>
    <w:rsid w:val="00E457A6"/>
    <w:rsid w:val="00E54F9E"/>
    <w:rsid w:val="00E558ED"/>
    <w:rsid w:val="00E61BA2"/>
    <w:rsid w:val="00E63864"/>
    <w:rsid w:val="00E6403F"/>
    <w:rsid w:val="00E64A71"/>
    <w:rsid w:val="00E75451"/>
    <w:rsid w:val="00E75EA9"/>
    <w:rsid w:val="00E76AD6"/>
    <w:rsid w:val="00E770C4"/>
    <w:rsid w:val="00E84C5A"/>
    <w:rsid w:val="00E861DB"/>
    <w:rsid w:val="00E908F1"/>
    <w:rsid w:val="00E93406"/>
    <w:rsid w:val="00E956C5"/>
    <w:rsid w:val="00E95C39"/>
    <w:rsid w:val="00EA0E8B"/>
    <w:rsid w:val="00EA2C39"/>
    <w:rsid w:val="00EB0A3C"/>
    <w:rsid w:val="00EB0A96"/>
    <w:rsid w:val="00EB77F9"/>
    <w:rsid w:val="00EC5769"/>
    <w:rsid w:val="00EC623E"/>
    <w:rsid w:val="00EC7939"/>
    <w:rsid w:val="00EC7D00"/>
    <w:rsid w:val="00ED0304"/>
    <w:rsid w:val="00ED4FF7"/>
    <w:rsid w:val="00ED5B7B"/>
    <w:rsid w:val="00EE38FA"/>
    <w:rsid w:val="00EE3E2C"/>
    <w:rsid w:val="00EE5D23"/>
    <w:rsid w:val="00EE750D"/>
    <w:rsid w:val="00EF3CA4"/>
    <w:rsid w:val="00EF49A8"/>
    <w:rsid w:val="00EF7859"/>
    <w:rsid w:val="00F014DA"/>
    <w:rsid w:val="00F02591"/>
    <w:rsid w:val="00F056CC"/>
    <w:rsid w:val="00F30AE1"/>
    <w:rsid w:val="00F5696E"/>
    <w:rsid w:val="00F60EFF"/>
    <w:rsid w:val="00F67D2D"/>
    <w:rsid w:val="00F75D00"/>
    <w:rsid w:val="00F858F2"/>
    <w:rsid w:val="00F860CC"/>
    <w:rsid w:val="00F94398"/>
    <w:rsid w:val="00FB2B56"/>
    <w:rsid w:val="00FB55D5"/>
    <w:rsid w:val="00FC12BF"/>
    <w:rsid w:val="00FC2C60"/>
    <w:rsid w:val="00FC45CD"/>
    <w:rsid w:val="00FD3E6F"/>
    <w:rsid w:val="00FD51B9"/>
    <w:rsid w:val="00FD5849"/>
    <w:rsid w:val="00FE03E4"/>
    <w:rsid w:val="00FE2A39"/>
    <w:rsid w:val="00FF2CDD"/>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DEAD1"/>
  <w15:docId w15:val="{0C72EB0E-B162-4F83-9974-5FEB3DA0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101682618">
      <w:bodyDiv w:val="1"/>
      <w:marLeft w:val="0"/>
      <w:marRight w:val="0"/>
      <w:marTop w:val="0"/>
      <w:marBottom w:val="0"/>
      <w:divBdr>
        <w:top w:val="none" w:sz="0" w:space="0" w:color="auto"/>
        <w:left w:val="none" w:sz="0" w:space="0" w:color="auto"/>
        <w:bottom w:val="none" w:sz="0" w:space="0" w:color="auto"/>
        <w:right w:val="none" w:sz="0" w:space="0" w:color="auto"/>
      </w:divBdr>
      <w:divsChild>
        <w:div w:id="2087343104">
          <w:marLeft w:val="0"/>
          <w:marRight w:val="0"/>
          <w:marTop w:val="0"/>
          <w:marBottom w:val="18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apvma.gov.au/pubcris"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emalert.rmt.com.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health.nt.gov.au/professionals/medicines-and-poisons-control2/medicines-and-poisons-contro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wh\Downloads\ntg-short-document-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DF07FE-DC98-4C3D-BD6D-AA124C24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ntg-short-document-portrait.dotx</Template>
  <TotalTime>1</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Chemical Services – advisory note</vt:lpstr>
    </vt:vector>
  </TitlesOfParts>
  <Company>Industry, Tourism and Trade</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Services – advisory note</dc:title>
  <dc:creator>NorthernTerritoryGovernment@ntgov.onmicrosoft.com</dc:creator>
  <cp:lastModifiedBy>Nicola Kalmar</cp:lastModifiedBy>
  <cp:revision>2</cp:revision>
  <cp:lastPrinted>2023-06-05T00:07:00Z</cp:lastPrinted>
  <dcterms:created xsi:type="dcterms:W3CDTF">2023-11-01T22:41:00Z</dcterms:created>
  <dcterms:modified xsi:type="dcterms:W3CDTF">2023-11-01T22:41:00Z</dcterms:modified>
</cp:coreProperties>
</file>