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8B6E" w14:textId="77777777" w:rsidR="001C6C76" w:rsidRPr="001762CC" w:rsidRDefault="001C6C76" w:rsidP="001762CC">
      <w:r w:rsidRPr="001762CC">
        <w:t>The following table includes the seven Land Suitability Categories and provides examples of how these might be addressed for a subdivision in the</w:t>
      </w:r>
      <w:r w:rsidR="00F87F5D" w:rsidRPr="001762CC">
        <w:t xml:space="preserve"> Darwin</w:t>
      </w:r>
      <w:r w:rsidRPr="001762CC">
        <w:t xml:space="preserve"> rural area. Each assessment requires supporting maps and documentation. </w:t>
      </w:r>
    </w:p>
    <w:tbl>
      <w:tblPr>
        <w:tblStyle w:val="NTGtable"/>
        <w:tblW w:w="5000" w:type="pct"/>
        <w:tblLook w:val="04A0" w:firstRow="1" w:lastRow="0" w:firstColumn="1" w:lastColumn="0" w:noHBand="0" w:noVBand="1"/>
      </w:tblPr>
      <w:tblGrid>
        <w:gridCol w:w="354"/>
        <w:gridCol w:w="1759"/>
        <w:gridCol w:w="2725"/>
        <w:gridCol w:w="1291"/>
        <w:gridCol w:w="4179"/>
      </w:tblGrid>
      <w:tr w:rsidR="00636D35" w14:paraId="6EBD6FD2" w14:textId="77777777" w:rsidTr="00635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" w:type="pct"/>
            <w:gridSpan w:val="2"/>
          </w:tcPr>
          <w:p w14:paraId="5329A78B" w14:textId="77777777" w:rsidR="00636D35" w:rsidRDefault="00636D35" w:rsidP="001B07AB">
            <w:r>
              <w:t>Category</w:t>
            </w:r>
          </w:p>
        </w:tc>
        <w:tc>
          <w:tcPr>
            <w:tcW w:w="1322" w:type="pct"/>
          </w:tcPr>
          <w:p w14:paraId="000D5C43" w14:textId="77777777" w:rsidR="00636D35" w:rsidRDefault="00636D35" w:rsidP="001B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Site description</w:t>
            </w:r>
          </w:p>
        </w:tc>
        <w:tc>
          <w:tcPr>
            <w:tcW w:w="626" w:type="pct"/>
          </w:tcPr>
          <w:p w14:paraId="1B9924DF" w14:textId="77777777" w:rsidR="00636D35" w:rsidRDefault="00636D35" w:rsidP="001B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Suitability class</w:t>
            </w:r>
          </w:p>
        </w:tc>
        <w:tc>
          <w:tcPr>
            <w:tcW w:w="2027" w:type="pct"/>
          </w:tcPr>
          <w:p w14:paraId="5D285122" w14:textId="77777777" w:rsidR="00636D35" w:rsidRDefault="00636D35" w:rsidP="001B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to support class rating</w:t>
            </w:r>
          </w:p>
        </w:tc>
      </w:tr>
      <w:tr w:rsidR="001B07AB" w14:paraId="19691687" w14:textId="77777777" w:rsidTr="006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7477CFC2" w14:textId="77777777" w:rsidR="001B07AB" w:rsidRDefault="00636D35" w:rsidP="001B07AB">
            <w:r>
              <w:t>1</w:t>
            </w:r>
          </w:p>
        </w:tc>
        <w:tc>
          <w:tcPr>
            <w:tcW w:w="853" w:type="pct"/>
          </w:tcPr>
          <w:p w14:paraId="336A4B13" w14:textId="77777777" w:rsidR="001B07AB" w:rsidRDefault="00636D35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Drainage</w:t>
            </w:r>
          </w:p>
        </w:tc>
        <w:tc>
          <w:tcPr>
            <w:tcW w:w="1322" w:type="pct"/>
          </w:tcPr>
          <w:p w14:paraId="0FCEECA6" w14:textId="77777777" w:rsidR="001B07AB" w:rsidRDefault="00636D35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Significant areas of constrained land associated with Butterfly Creek runs through the proposed subdivision</w:t>
            </w:r>
            <w:r w:rsidR="00F87F5D">
              <w:t>.</w:t>
            </w:r>
          </w:p>
        </w:tc>
        <w:tc>
          <w:tcPr>
            <w:tcW w:w="626" w:type="pct"/>
          </w:tcPr>
          <w:p w14:paraId="1059607E" w14:textId="77777777" w:rsidR="001B07AB" w:rsidRDefault="00636D35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  <w:r w:rsidR="001C6C76">
              <w:t xml:space="preserve"> </w:t>
            </w:r>
            <w:r>
              <w:t>&amp; S4</w:t>
            </w:r>
          </w:p>
        </w:tc>
        <w:tc>
          <w:tcPr>
            <w:tcW w:w="2027" w:type="pct"/>
          </w:tcPr>
          <w:p w14:paraId="4FD7807D" w14:textId="2752BB57" w:rsidR="001B07AB" w:rsidRDefault="00636D35" w:rsidP="009D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detailed land suitability assessment undertaken by a consultant is attached. It details, by way of field assessment the extent of poorly drained land and subsequently configures the propos</w:t>
            </w:r>
            <w:r w:rsidR="009D553D">
              <w:t>ed</w:t>
            </w:r>
            <w:r w:rsidR="00973AA5">
              <w:t xml:space="preserve"> </w:t>
            </w:r>
            <w:r>
              <w:t>lots to ensure each lot contains &gt;1 ha o</w:t>
            </w:r>
            <w:r w:rsidR="009D553D">
              <w:t>f</w:t>
            </w:r>
            <w:r>
              <w:t xml:space="preserve"> unconstrained land. </w:t>
            </w:r>
          </w:p>
        </w:tc>
      </w:tr>
      <w:tr w:rsidR="001B07AB" w14:paraId="4669D616" w14:textId="77777777" w:rsidTr="00635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6F91E7B9" w14:textId="77777777" w:rsidR="001B07AB" w:rsidRDefault="00636D35" w:rsidP="001B07AB">
            <w:r>
              <w:t>2</w:t>
            </w:r>
          </w:p>
        </w:tc>
        <w:tc>
          <w:tcPr>
            <w:tcW w:w="853" w:type="pct"/>
          </w:tcPr>
          <w:p w14:paraId="4B738444" w14:textId="77777777" w:rsidR="001B07AB" w:rsidRDefault="00636D35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On-site Wastewater Management</w:t>
            </w:r>
          </w:p>
        </w:tc>
        <w:tc>
          <w:tcPr>
            <w:tcW w:w="1322" w:type="pct"/>
          </w:tcPr>
          <w:p w14:paraId="29A5F973" w14:textId="77777777" w:rsidR="001B07AB" w:rsidRDefault="00636D35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notional septic systems for all lots including the absorption trench (Map 1) is located on the unconstrained land. </w:t>
            </w:r>
          </w:p>
        </w:tc>
        <w:tc>
          <w:tcPr>
            <w:tcW w:w="626" w:type="pct"/>
          </w:tcPr>
          <w:p w14:paraId="5F5F74F6" w14:textId="77777777" w:rsidR="001B07AB" w:rsidRDefault="00636D35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</w:t>
            </w:r>
            <w:bookmarkStart w:id="0" w:name="_GoBack"/>
            <w:bookmarkEnd w:id="0"/>
          </w:p>
        </w:tc>
        <w:tc>
          <w:tcPr>
            <w:tcW w:w="2027" w:type="pct"/>
          </w:tcPr>
          <w:p w14:paraId="6C16E671" w14:textId="77777777" w:rsidR="001B07AB" w:rsidRDefault="00636D35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 accordance with the NTPS, each septic system is more than 50 m above the extent of the land constrained by drainage. </w:t>
            </w:r>
          </w:p>
          <w:p w14:paraId="45937E87" w14:textId="42229119" w:rsidR="00636D35" w:rsidRDefault="00636D35" w:rsidP="009D55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Soil-landscape information collected on the site including photographs is provided in the land suitability assessment. It supports the soils </w:t>
            </w:r>
            <w:r w:rsidR="009D553D">
              <w:t xml:space="preserve">being </w:t>
            </w:r>
            <w:r>
              <w:t xml:space="preserve">well drained and moderately to highly suitable for waste water treatment. </w:t>
            </w:r>
          </w:p>
        </w:tc>
      </w:tr>
      <w:tr w:rsidR="001C6C76" w14:paraId="183AFE6F" w14:textId="77777777" w:rsidTr="006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vMerge w:val="restart"/>
          </w:tcPr>
          <w:p w14:paraId="6546EA0C" w14:textId="77777777" w:rsidR="001C6C76" w:rsidRDefault="001C6C76" w:rsidP="001B07AB">
            <w:r>
              <w:t>3</w:t>
            </w:r>
          </w:p>
        </w:tc>
        <w:tc>
          <w:tcPr>
            <w:tcW w:w="853" w:type="pct"/>
            <w:vMerge w:val="restart"/>
          </w:tcPr>
          <w:p w14:paraId="6C8DC950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Erosion Risk</w:t>
            </w:r>
          </w:p>
        </w:tc>
        <w:tc>
          <w:tcPr>
            <w:tcW w:w="1322" w:type="pct"/>
          </w:tcPr>
          <w:p w14:paraId="1671050A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slopes across the subdivision are 1-2%</w:t>
            </w:r>
          </w:p>
        </w:tc>
        <w:tc>
          <w:tcPr>
            <w:tcW w:w="626" w:type="pct"/>
          </w:tcPr>
          <w:p w14:paraId="08DB1798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027" w:type="pct"/>
          </w:tcPr>
          <w:p w14:paraId="5824D638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Slope is approximately 1%</w:t>
            </w:r>
            <w:r w:rsidR="00F87F5D">
              <w:t>.</w:t>
            </w:r>
          </w:p>
        </w:tc>
      </w:tr>
      <w:tr w:rsidR="001C6C76" w14:paraId="5B555D78" w14:textId="77777777" w:rsidTr="00973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  <w:vMerge/>
          </w:tcPr>
          <w:p w14:paraId="2A3FA4DE" w14:textId="77777777" w:rsidR="001C6C76" w:rsidRDefault="001C6C76" w:rsidP="001B07AB"/>
        </w:tc>
        <w:tc>
          <w:tcPr>
            <w:tcW w:w="853" w:type="pct"/>
            <w:vMerge/>
          </w:tcPr>
          <w:p w14:paraId="66A4A97E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22" w:type="pct"/>
            <w:shd w:val="clear" w:color="auto" w:fill="auto"/>
          </w:tcPr>
          <w:p w14:paraId="5607469A" w14:textId="77777777" w:rsidR="001C6C76" w:rsidRDefault="001C6C76" w:rsidP="001C6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Butterfly Creek is considered an extremely high erosion risk. </w:t>
            </w:r>
          </w:p>
        </w:tc>
        <w:tc>
          <w:tcPr>
            <w:tcW w:w="626" w:type="pct"/>
            <w:shd w:val="clear" w:color="auto" w:fill="auto"/>
          </w:tcPr>
          <w:p w14:paraId="702C5723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S3-S4</w:t>
            </w:r>
          </w:p>
        </w:tc>
        <w:tc>
          <w:tcPr>
            <w:tcW w:w="2027" w:type="pct"/>
            <w:shd w:val="clear" w:color="auto" w:fill="auto"/>
          </w:tcPr>
          <w:p w14:paraId="7017C7B5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Minimal disturbance to the creek is anticipated due to the proposed lot configuration. This will also be addressed in the erosion and sediment control plan. </w:t>
            </w:r>
          </w:p>
        </w:tc>
      </w:tr>
      <w:tr w:rsidR="001B07AB" w14:paraId="0FC251AF" w14:textId="77777777" w:rsidTr="006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74EFA207" w14:textId="77777777" w:rsidR="001B07AB" w:rsidRDefault="001B07AB" w:rsidP="001B07AB"/>
        </w:tc>
        <w:tc>
          <w:tcPr>
            <w:tcW w:w="853" w:type="pct"/>
          </w:tcPr>
          <w:p w14:paraId="2827D3CA" w14:textId="77777777" w:rsidR="001B07AB" w:rsidRDefault="001B07AB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pct"/>
          </w:tcPr>
          <w:p w14:paraId="1AF4BFEE" w14:textId="77777777" w:rsidR="001B07AB" w:rsidRDefault="001B07AB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" w:type="pct"/>
          </w:tcPr>
          <w:p w14:paraId="3A73D53E" w14:textId="77777777" w:rsidR="001B07AB" w:rsidRDefault="001B07AB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pct"/>
          </w:tcPr>
          <w:p w14:paraId="08C885D1" w14:textId="77777777" w:rsidR="001B07AB" w:rsidRDefault="001B07AB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7AB" w14:paraId="4968DE93" w14:textId="77777777" w:rsidTr="00635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CC4673D" w14:textId="77777777" w:rsidR="001B07AB" w:rsidRDefault="001C6C76" w:rsidP="001B07AB">
            <w:r>
              <w:t>4</w:t>
            </w:r>
          </w:p>
        </w:tc>
        <w:tc>
          <w:tcPr>
            <w:tcW w:w="853" w:type="pct"/>
          </w:tcPr>
          <w:p w14:paraId="05B95FA3" w14:textId="77777777" w:rsidR="001B07AB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Soil Salinity</w:t>
            </w:r>
          </w:p>
        </w:tc>
        <w:tc>
          <w:tcPr>
            <w:tcW w:w="1322" w:type="pct"/>
          </w:tcPr>
          <w:p w14:paraId="3396A6D7" w14:textId="77777777" w:rsidR="001B07AB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 in the Top End</w:t>
            </w:r>
          </w:p>
        </w:tc>
        <w:tc>
          <w:tcPr>
            <w:tcW w:w="626" w:type="pct"/>
          </w:tcPr>
          <w:p w14:paraId="358B498B" w14:textId="77777777" w:rsidR="001B07AB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27" w:type="pct"/>
          </w:tcPr>
          <w:p w14:paraId="3B911F41" w14:textId="77777777" w:rsidR="001B07AB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N/A </w:t>
            </w:r>
          </w:p>
        </w:tc>
      </w:tr>
      <w:tr w:rsidR="001B07AB" w14:paraId="6847E611" w14:textId="77777777" w:rsidTr="006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572F7EB3" w14:textId="77777777" w:rsidR="001B07AB" w:rsidRDefault="001C6C76" w:rsidP="001B07AB">
            <w:r>
              <w:t>5</w:t>
            </w:r>
          </w:p>
        </w:tc>
        <w:tc>
          <w:tcPr>
            <w:tcW w:w="853" w:type="pct"/>
          </w:tcPr>
          <w:p w14:paraId="541C75F0" w14:textId="77777777" w:rsidR="001B07AB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Acid </w:t>
            </w:r>
            <w:proofErr w:type="spellStart"/>
            <w:r>
              <w:t>Sulfate</w:t>
            </w:r>
            <w:proofErr w:type="spellEnd"/>
            <w:r>
              <w:t xml:space="preserve"> Soils</w:t>
            </w:r>
          </w:p>
        </w:tc>
        <w:tc>
          <w:tcPr>
            <w:tcW w:w="1322" w:type="pct"/>
          </w:tcPr>
          <w:p w14:paraId="62E55B04" w14:textId="77777777" w:rsidR="001B07AB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 in the Darwin region outside coastal areas</w:t>
            </w:r>
            <w:r w:rsidR="00F87F5D">
              <w:t>.</w:t>
            </w:r>
          </w:p>
        </w:tc>
        <w:tc>
          <w:tcPr>
            <w:tcW w:w="626" w:type="pct"/>
          </w:tcPr>
          <w:p w14:paraId="13E198B3" w14:textId="77777777" w:rsidR="001B07AB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27" w:type="pct"/>
          </w:tcPr>
          <w:p w14:paraId="50ABC240" w14:textId="77777777" w:rsidR="001B07AB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1C6C76" w14:paraId="0A606326" w14:textId="77777777" w:rsidTr="00635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9520BB2" w14:textId="77777777" w:rsidR="001C6C76" w:rsidRDefault="001C6C76" w:rsidP="001B07AB">
            <w:r>
              <w:t>6</w:t>
            </w:r>
          </w:p>
        </w:tc>
        <w:tc>
          <w:tcPr>
            <w:tcW w:w="853" w:type="pct"/>
          </w:tcPr>
          <w:p w14:paraId="4B976642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Storm Tide Flooding</w:t>
            </w:r>
          </w:p>
        </w:tc>
        <w:tc>
          <w:tcPr>
            <w:tcW w:w="1322" w:type="pct"/>
          </w:tcPr>
          <w:p w14:paraId="0A3ACD78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N/A. The subdivision is a significant distance from a tidal area and well above sea level</w:t>
            </w:r>
            <w:r w:rsidR="00F87F5D">
              <w:t>.</w:t>
            </w:r>
          </w:p>
        </w:tc>
        <w:tc>
          <w:tcPr>
            <w:tcW w:w="626" w:type="pct"/>
          </w:tcPr>
          <w:p w14:paraId="0CE91FC2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27" w:type="pct"/>
          </w:tcPr>
          <w:p w14:paraId="6673FA90" w14:textId="77777777" w:rsidR="001C6C76" w:rsidRDefault="001C6C76" w:rsidP="001B0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</w:tr>
      <w:tr w:rsidR="001C6C76" w14:paraId="527C43ED" w14:textId="77777777" w:rsidTr="00635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" w:type="pct"/>
          </w:tcPr>
          <w:p w14:paraId="2EC84D72" w14:textId="77777777" w:rsidR="001C6C76" w:rsidRDefault="001C6C76" w:rsidP="001B07AB">
            <w:r>
              <w:t>7</w:t>
            </w:r>
          </w:p>
        </w:tc>
        <w:tc>
          <w:tcPr>
            <w:tcW w:w="853" w:type="pct"/>
          </w:tcPr>
          <w:p w14:paraId="554FE16F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Riverine Flooding</w:t>
            </w:r>
          </w:p>
        </w:tc>
        <w:tc>
          <w:tcPr>
            <w:tcW w:w="1322" w:type="pct"/>
          </w:tcPr>
          <w:p w14:paraId="7488430D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Prone to inundation</w:t>
            </w:r>
            <w:r w:rsidR="00F87F5D">
              <w:t>.</w:t>
            </w:r>
          </w:p>
        </w:tc>
        <w:tc>
          <w:tcPr>
            <w:tcW w:w="626" w:type="pct"/>
          </w:tcPr>
          <w:p w14:paraId="2A8140DC" w14:textId="77777777" w:rsidR="001C6C76" w:rsidRDefault="001C6C76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S1-S2 &amp; S3-S5</w:t>
            </w:r>
          </w:p>
        </w:tc>
        <w:tc>
          <w:tcPr>
            <w:tcW w:w="2027" w:type="pct"/>
          </w:tcPr>
          <w:p w14:paraId="3BA20A92" w14:textId="77777777" w:rsidR="001C6C76" w:rsidRDefault="00F87F5D" w:rsidP="001B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riverine flooding assessment has identified the extent of land .1%AEP risk of floodplain flooding.</w:t>
            </w:r>
          </w:p>
        </w:tc>
      </w:tr>
    </w:tbl>
    <w:p w14:paraId="2952D8F2" w14:textId="77777777" w:rsidR="006814E6" w:rsidRDefault="006814E6" w:rsidP="003C4941">
      <w:pPr>
        <w:rPr>
          <w:lang w:eastAsia="en-AU"/>
        </w:rPr>
      </w:pPr>
      <w:r>
        <w:rPr>
          <w:lang w:eastAsia="en-AU"/>
        </w:rPr>
        <w:t xml:space="preserve">        </w:t>
      </w:r>
    </w:p>
    <w:sectPr w:rsidR="006814E6" w:rsidSect="006A1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C0F3" w14:textId="77777777" w:rsidR="008044EA" w:rsidRDefault="008044EA" w:rsidP="007332FF">
      <w:r>
        <w:separator/>
      </w:r>
    </w:p>
  </w:endnote>
  <w:endnote w:type="continuationSeparator" w:id="0">
    <w:p w14:paraId="28558A85" w14:textId="77777777" w:rsidR="008044EA" w:rsidRDefault="008044E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928C" w14:textId="77777777" w:rsidR="00DA1B7B" w:rsidRDefault="00DA1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B4D3" w14:textId="77777777" w:rsidR="006814E6" w:rsidRDefault="006814E6" w:rsidP="006814E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814E6" w:rsidRPr="00132658" w14:paraId="402121E0" w14:textId="77777777" w:rsidTr="00A66EB7">
      <w:trPr>
        <w:cantSplit/>
        <w:trHeight w:hRule="exact" w:val="850"/>
      </w:trPr>
      <w:tc>
        <w:tcPr>
          <w:tcW w:w="10318" w:type="dxa"/>
          <w:vAlign w:val="bottom"/>
        </w:tcPr>
        <w:p w14:paraId="4A9BF7C4" w14:textId="77777777" w:rsidR="006814E6" w:rsidRPr="00CE6614" w:rsidRDefault="008044EA" w:rsidP="006814E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55908837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814E6">
                <w:rPr>
                  <w:rStyle w:val="PageNumber"/>
                </w:rPr>
                <w:t>1 August 2020</w:t>
              </w:r>
            </w:sdtContent>
          </w:sdt>
          <w:r w:rsidR="006814E6" w:rsidRPr="00CE6614">
            <w:rPr>
              <w:rStyle w:val="PageNumber"/>
            </w:rPr>
            <w:t xml:space="preserve"> </w:t>
          </w:r>
          <w:r w:rsidR="006814E6" w:rsidRPr="006814E6">
            <w:rPr>
              <w:rStyle w:val="PageNumber"/>
            </w:rPr>
            <w:t>|</w:t>
          </w:r>
          <w:r w:rsidR="006814E6" w:rsidRPr="00CE6614">
            <w:rPr>
              <w:rStyle w:val="PageNumber"/>
            </w:rPr>
            <w:t xml:space="preserve"> </w:t>
          </w:r>
        </w:p>
        <w:p w14:paraId="5C7CF072" w14:textId="48135C2C" w:rsidR="006814E6" w:rsidRPr="00AC4488" w:rsidRDefault="006814E6" w:rsidP="006814E6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A2EE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A2EE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21D6DC2" w14:textId="77777777" w:rsidR="006814E6" w:rsidRPr="00B11C67" w:rsidRDefault="006814E6" w:rsidP="006814E6">
    <w:pPr>
      <w:pStyle w:val="Footer"/>
      <w:rPr>
        <w:sz w:val="4"/>
        <w:szCs w:val="4"/>
      </w:rPr>
    </w:pPr>
  </w:p>
  <w:p w14:paraId="4E088E15" w14:textId="77777777" w:rsidR="006814E6" w:rsidRPr="006814E6" w:rsidRDefault="006814E6" w:rsidP="00681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710C" w14:textId="77777777" w:rsidR="00CD25CE" w:rsidRDefault="00CD25CE" w:rsidP="00CD25CE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D25CE" w:rsidRPr="00132658" w14:paraId="7B1EF8D9" w14:textId="77777777" w:rsidTr="00735FB5">
      <w:trPr>
        <w:cantSplit/>
        <w:trHeight w:hRule="exact" w:val="1134"/>
      </w:trPr>
      <w:tc>
        <w:tcPr>
          <w:tcW w:w="7767" w:type="dxa"/>
          <w:vAlign w:val="bottom"/>
        </w:tcPr>
        <w:p w14:paraId="468AAF3A" w14:textId="77777777" w:rsidR="00CD25CE" w:rsidRPr="00CE6614" w:rsidRDefault="008044EA" w:rsidP="00CD25CE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D25CE">
                <w:rPr>
                  <w:rStyle w:val="PageNumber"/>
                </w:rPr>
                <w:t>1 August 2020</w:t>
              </w:r>
            </w:sdtContent>
          </w:sdt>
          <w:r w:rsidR="00CD25CE" w:rsidRPr="00CE6614">
            <w:rPr>
              <w:rStyle w:val="PageNumber"/>
            </w:rPr>
            <w:t xml:space="preserve"> | </w:t>
          </w:r>
        </w:p>
        <w:p w14:paraId="5171240D" w14:textId="487EC202" w:rsidR="00CD25CE" w:rsidRPr="00CE30CF" w:rsidRDefault="00CD25CE" w:rsidP="00CD25CE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C359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C359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C80FAB5" w14:textId="77777777" w:rsidR="00CD25CE" w:rsidRPr="001E14EB" w:rsidRDefault="00CD25CE" w:rsidP="00CD25C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C746AA2" wp14:editId="392B7DD4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E3D89DA" w14:textId="77777777" w:rsidR="00036658" w:rsidRPr="006A1DD3" w:rsidRDefault="00036658" w:rsidP="006A1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F755" w14:textId="77777777" w:rsidR="008044EA" w:rsidRDefault="008044EA" w:rsidP="007332FF">
      <w:r>
        <w:separator/>
      </w:r>
    </w:p>
  </w:footnote>
  <w:footnote w:type="continuationSeparator" w:id="0">
    <w:p w14:paraId="186B5C53" w14:textId="77777777" w:rsidR="008044EA" w:rsidRDefault="008044E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39A" w14:textId="77777777" w:rsidR="00DA1B7B" w:rsidRDefault="00DA1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B75D" w14:textId="74A76C5C" w:rsidR="00983000" w:rsidRDefault="008044E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45C7">
          <w:t>Preliminary land suitability assessment – example</w:t>
        </w:r>
      </w:sdtContent>
    </w:sdt>
    <w:r w:rsidR="00073C1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6BAE" w14:textId="46F30892" w:rsidR="00E54F9E" w:rsidRDefault="008044EA" w:rsidP="008645C7">
    <w:pPr>
      <w:pStyle w:val="Title"/>
      <w:rPr>
        <w:rFonts w:cs="Arial"/>
      </w:rPr>
    </w:pPr>
    <w:sdt>
      <w:sdtPr>
        <w:rPr>
          <w:rFonts w:cs="Arial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8645C7">
          <w:rPr>
            <w:rFonts w:cs="Arial"/>
          </w:rPr>
          <w:t>P</w:t>
        </w:r>
        <w:r w:rsidR="008645C7" w:rsidRPr="008645C7">
          <w:rPr>
            <w:rFonts w:cs="Arial"/>
          </w:rPr>
          <w:t xml:space="preserve">reliminary </w:t>
        </w:r>
        <w:r w:rsidR="008645C7">
          <w:rPr>
            <w:rFonts w:cs="Arial"/>
          </w:rPr>
          <w:t>l</w:t>
        </w:r>
        <w:r w:rsidR="008645C7" w:rsidRPr="008645C7">
          <w:rPr>
            <w:rFonts w:cs="Arial"/>
          </w:rPr>
          <w:t xml:space="preserve">and </w:t>
        </w:r>
        <w:r w:rsidR="008645C7">
          <w:rPr>
            <w:rFonts w:cs="Arial"/>
          </w:rPr>
          <w:t>s</w:t>
        </w:r>
        <w:r w:rsidR="008645C7" w:rsidRPr="008645C7">
          <w:rPr>
            <w:rFonts w:cs="Arial"/>
          </w:rPr>
          <w:t xml:space="preserve">uitability </w:t>
        </w:r>
        <w:r w:rsidR="008645C7">
          <w:rPr>
            <w:rFonts w:cs="Arial"/>
          </w:rPr>
          <w:t>a</w:t>
        </w:r>
        <w:r w:rsidR="008645C7" w:rsidRPr="008645C7">
          <w:rPr>
            <w:rFonts w:cs="Arial"/>
          </w:rPr>
          <w:t xml:space="preserve">ssessment – </w:t>
        </w:r>
        <w:r w:rsidR="008645C7">
          <w:rPr>
            <w:rFonts w:cs="Arial"/>
          </w:rPr>
          <w:t>e</w:t>
        </w:r>
        <w:r w:rsidR="008645C7" w:rsidRPr="008645C7">
          <w:rPr>
            <w:rFonts w:cs="Arial"/>
          </w:rPr>
          <w:t>xample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BF"/>
    <w:multiLevelType w:val="hybridMultilevel"/>
    <w:tmpl w:val="8BE0A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E504E94"/>
    <w:multiLevelType w:val="hybridMultilevel"/>
    <w:tmpl w:val="6EF2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BAA0965"/>
    <w:multiLevelType w:val="hybridMultilevel"/>
    <w:tmpl w:val="F87651D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2D87646"/>
    <w:multiLevelType w:val="hybridMultilevel"/>
    <w:tmpl w:val="50B80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4A5A1B"/>
    <w:multiLevelType w:val="hybridMultilevel"/>
    <w:tmpl w:val="33303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A0D4F"/>
    <w:multiLevelType w:val="hybridMultilevel"/>
    <w:tmpl w:val="6810B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740761"/>
    <w:multiLevelType w:val="hybridMultilevel"/>
    <w:tmpl w:val="4BDCBBE6"/>
    <w:lvl w:ilvl="0" w:tplc="13A4E380">
      <w:start w:val="1"/>
      <w:numFmt w:val="upperLetter"/>
      <w:lvlText w:val="%1."/>
      <w:lvlJc w:val="left"/>
      <w:pPr>
        <w:ind w:left="360" w:hanging="360"/>
      </w:pPr>
      <w:rPr>
        <w:rFonts w:ascii="Lato" w:hAnsi="Lato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0571DD0"/>
    <w:multiLevelType w:val="hybridMultilevel"/>
    <w:tmpl w:val="EF3C9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77CB3"/>
    <w:multiLevelType w:val="hybridMultilevel"/>
    <w:tmpl w:val="64BE3F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8269F"/>
    <w:multiLevelType w:val="hybridMultilevel"/>
    <w:tmpl w:val="ABD80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BF25585"/>
    <w:multiLevelType w:val="hybridMultilevel"/>
    <w:tmpl w:val="0F6C03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7A66CD"/>
    <w:multiLevelType w:val="hybridMultilevel"/>
    <w:tmpl w:val="1E1A0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0F5B6D"/>
    <w:multiLevelType w:val="hybridMultilevel"/>
    <w:tmpl w:val="450C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720D41"/>
    <w:multiLevelType w:val="hybridMultilevel"/>
    <w:tmpl w:val="60DA07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56C4D"/>
    <w:multiLevelType w:val="hybridMultilevel"/>
    <w:tmpl w:val="36EA3866"/>
    <w:lvl w:ilvl="0" w:tplc="0CEC1B5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09E1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E7A0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E9AF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BA8A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CDB9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A30D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2730C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6BDA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78361A7"/>
    <w:multiLevelType w:val="hybridMultilevel"/>
    <w:tmpl w:val="29AC1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7" w15:restartNumberingAfterBreak="0">
    <w:nsid w:val="6EEF098B"/>
    <w:multiLevelType w:val="hybridMultilevel"/>
    <w:tmpl w:val="AE00BF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E01182">
      <w:numFmt w:val="bullet"/>
      <w:lvlText w:val="–"/>
      <w:lvlJc w:val="left"/>
      <w:pPr>
        <w:ind w:left="1440" w:hanging="360"/>
      </w:pPr>
      <w:rPr>
        <w:rFonts w:ascii="Lato" w:eastAsia="Calibri" w:hAnsi="Lato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7327869"/>
    <w:multiLevelType w:val="hybridMultilevel"/>
    <w:tmpl w:val="596CF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AF1143"/>
    <w:multiLevelType w:val="hybridMultilevel"/>
    <w:tmpl w:val="CB425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2"/>
  </w:num>
  <w:num w:numId="4">
    <w:abstractNumId w:val="32"/>
  </w:num>
  <w:num w:numId="5">
    <w:abstractNumId w:val="19"/>
  </w:num>
  <w:num w:numId="6">
    <w:abstractNumId w:val="9"/>
  </w:num>
  <w:num w:numId="7">
    <w:abstractNumId w:val="35"/>
  </w:num>
  <w:num w:numId="8">
    <w:abstractNumId w:val="18"/>
  </w:num>
  <w:num w:numId="9">
    <w:abstractNumId w:val="29"/>
  </w:num>
  <w:num w:numId="10">
    <w:abstractNumId w:val="47"/>
  </w:num>
  <w:num w:numId="11">
    <w:abstractNumId w:val="2"/>
  </w:num>
  <w:num w:numId="12">
    <w:abstractNumId w:val="42"/>
  </w:num>
  <w:num w:numId="13">
    <w:abstractNumId w:val="12"/>
  </w:num>
  <w:num w:numId="14">
    <w:abstractNumId w:val="25"/>
  </w:num>
  <w:num w:numId="15">
    <w:abstractNumId w:val="43"/>
  </w:num>
  <w:num w:numId="16">
    <w:abstractNumId w:val="23"/>
  </w:num>
  <w:num w:numId="17">
    <w:abstractNumId w:val="44"/>
  </w:num>
  <w:num w:numId="18">
    <w:abstractNumId w:val="30"/>
  </w:num>
  <w:num w:numId="19">
    <w:abstractNumId w:val="51"/>
  </w:num>
  <w:num w:numId="20">
    <w:abstractNumId w:val="50"/>
  </w:num>
  <w:num w:numId="21">
    <w:abstractNumId w:val="41"/>
  </w:num>
  <w:num w:numId="22">
    <w:abstractNumId w:val="15"/>
  </w:num>
  <w:num w:numId="23">
    <w:abstractNumId w:val="28"/>
  </w:num>
  <w:num w:numId="24">
    <w:abstractNumId w:val="22"/>
  </w:num>
  <w:num w:numId="25">
    <w:abstractNumId w:val="33"/>
  </w:num>
  <w:num w:numId="26">
    <w:abstractNumId w:val="0"/>
  </w:num>
  <w:num w:numId="2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B"/>
    <w:rsid w:val="00001DDF"/>
    <w:rsid w:val="0000322D"/>
    <w:rsid w:val="00007670"/>
    <w:rsid w:val="00010665"/>
    <w:rsid w:val="0002393A"/>
    <w:rsid w:val="00027DB8"/>
    <w:rsid w:val="00031A96"/>
    <w:rsid w:val="00036658"/>
    <w:rsid w:val="00036DB5"/>
    <w:rsid w:val="0004064A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D9A"/>
    <w:rsid w:val="0006635A"/>
    <w:rsid w:val="00070D81"/>
    <w:rsid w:val="000720BE"/>
    <w:rsid w:val="0007259C"/>
    <w:rsid w:val="00073C1D"/>
    <w:rsid w:val="000758FD"/>
    <w:rsid w:val="000801B3"/>
    <w:rsid w:val="00080202"/>
    <w:rsid w:val="00080DCD"/>
    <w:rsid w:val="00080E22"/>
    <w:rsid w:val="00082055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32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E30"/>
    <w:rsid w:val="00132658"/>
    <w:rsid w:val="0013767A"/>
    <w:rsid w:val="00150DC0"/>
    <w:rsid w:val="0015394D"/>
    <w:rsid w:val="00156CD4"/>
    <w:rsid w:val="0016153B"/>
    <w:rsid w:val="00162207"/>
    <w:rsid w:val="00162859"/>
    <w:rsid w:val="00164A3E"/>
    <w:rsid w:val="00166FF6"/>
    <w:rsid w:val="00176123"/>
    <w:rsid w:val="001762CC"/>
    <w:rsid w:val="00181620"/>
    <w:rsid w:val="00187130"/>
    <w:rsid w:val="001957AD"/>
    <w:rsid w:val="00196F8E"/>
    <w:rsid w:val="001A2B7F"/>
    <w:rsid w:val="001A3AFD"/>
    <w:rsid w:val="001A496C"/>
    <w:rsid w:val="001A576A"/>
    <w:rsid w:val="001A59C2"/>
    <w:rsid w:val="001B07AB"/>
    <w:rsid w:val="001B28DA"/>
    <w:rsid w:val="001B2B6C"/>
    <w:rsid w:val="001B393F"/>
    <w:rsid w:val="001C6C76"/>
    <w:rsid w:val="001D01C4"/>
    <w:rsid w:val="001D4F99"/>
    <w:rsid w:val="001D52B0"/>
    <w:rsid w:val="001D5A18"/>
    <w:rsid w:val="001D7CA4"/>
    <w:rsid w:val="001E057F"/>
    <w:rsid w:val="001E14EB"/>
    <w:rsid w:val="001F0ECC"/>
    <w:rsid w:val="001F59E6"/>
    <w:rsid w:val="0020035D"/>
    <w:rsid w:val="00203F1C"/>
    <w:rsid w:val="00206936"/>
    <w:rsid w:val="00206C6F"/>
    <w:rsid w:val="00206FBD"/>
    <w:rsid w:val="00207746"/>
    <w:rsid w:val="00230031"/>
    <w:rsid w:val="00235456"/>
    <w:rsid w:val="00235C01"/>
    <w:rsid w:val="0023626F"/>
    <w:rsid w:val="00237DF0"/>
    <w:rsid w:val="00247343"/>
    <w:rsid w:val="00265C56"/>
    <w:rsid w:val="002716CD"/>
    <w:rsid w:val="00274D4B"/>
    <w:rsid w:val="002806F5"/>
    <w:rsid w:val="00281577"/>
    <w:rsid w:val="00282D70"/>
    <w:rsid w:val="00287D73"/>
    <w:rsid w:val="002926BC"/>
    <w:rsid w:val="00293A72"/>
    <w:rsid w:val="00294B4F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550B"/>
    <w:rsid w:val="002D6524"/>
    <w:rsid w:val="002D7D05"/>
    <w:rsid w:val="002E20C8"/>
    <w:rsid w:val="002E4290"/>
    <w:rsid w:val="002E66A6"/>
    <w:rsid w:val="002F0DB1"/>
    <w:rsid w:val="002F2885"/>
    <w:rsid w:val="002F418B"/>
    <w:rsid w:val="002F45A1"/>
    <w:rsid w:val="0030203D"/>
    <w:rsid w:val="003037F9"/>
    <w:rsid w:val="0030583E"/>
    <w:rsid w:val="0030594D"/>
    <w:rsid w:val="00307FE1"/>
    <w:rsid w:val="00311EBB"/>
    <w:rsid w:val="003164BA"/>
    <w:rsid w:val="0032053B"/>
    <w:rsid w:val="003258E6"/>
    <w:rsid w:val="00342283"/>
    <w:rsid w:val="00343A87"/>
    <w:rsid w:val="00344A36"/>
    <w:rsid w:val="003456F4"/>
    <w:rsid w:val="00347FB6"/>
    <w:rsid w:val="003504FD"/>
    <w:rsid w:val="00350881"/>
    <w:rsid w:val="003578D0"/>
    <w:rsid w:val="00357D55"/>
    <w:rsid w:val="00363513"/>
    <w:rsid w:val="003657E5"/>
    <w:rsid w:val="0036589C"/>
    <w:rsid w:val="00371312"/>
    <w:rsid w:val="00371DC7"/>
    <w:rsid w:val="00372F2A"/>
    <w:rsid w:val="003775FB"/>
    <w:rsid w:val="00377B21"/>
    <w:rsid w:val="00380BDF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D7DAB"/>
    <w:rsid w:val="003E041E"/>
    <w:rsid w:val="003E15D8"/>
    <w:rsid w:val="003E2445"/>
    <w:rsid w:val="003E3BB2"/>
    <w:rsid w:val="003F3DAE"/>
    <w:rsid w:val="003F5B58"/>
    <w:rsid w:val="00401DD1"/>
    <w:rsid w:val="0040222A"/>
    <w:rsid w:val="004047BC"/>
    <w:rsid w:val="004100F7"/>
    <w:rsid w:val="00414CB3"/>
    <w:rsid w:val="0041563D"/>
    <w:rsid w:val="00426E25"/>
    <w:rsid w:val="00427584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0E3A"/>
    <w:rsid w:val="0047105A"/>
    <w:rsid w:val="00473C98"/>
    <w:rsid w:val="00474965"/>
    <w:rsid w:val="00481858"/>
    <w:rsid w:val="00482DF8"/>
    <w:rsid w:val="004852D3"/>
    <w:rsid w:val="004864DE"/>
    <w:rsid w:val="00486A7A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0958"/>
    <w:rsid w:val="005249F5"/>
    <w:rsid w:val="005260F7"/>
    <w:rsid w:val="00543BD1"/>
    <w:rsid w:val="00556113"/>
    <w:rsid w:val="00564C12"/>
    <w:rsid w:val="005654B8"/>
    <w:rsid w:val="00570D94"/>
    <w:rsid w:val="00575698"/>
    <w:rsid w:val="005762CC"/>
    <w:rsid w:val="00582D3D"/>
    <w:rsid w:val="00584088"/>
    <w:rsid w:val="00590040"/>
    <w:rsid w:val="00591631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49B1"/>
    <w:rsid w:val="005E662D"/>
    <w:rsid w:val="005F0B17"/>
    <w:rsid w:val="005F6602"/>
    <w:rsid w:val="005F77C7"/>
    <w:rsid w:val="00604A98"/>
    <w:rsid w:val="00620675"/>
    <w:rsid w:val="00622910"/>
    <w:rsid w:val="006254B6"/>
    <w:rsid w:val="00627FC8"/>
    <w:rsid w:val="006355C6"/>
    <w:rsid w:val="00636D35"/>
    <w:rsid w:val="006433C3"/>
    <w:rsid w:val="00650F5B"/>
    <w:rsid w:val="00653A79"/>
    <w:rsid w:val="006670D7"/>
    <w:rsid w:val="006719EA"/>
    <w:rsid w:val="00671F13"/>
    <w:rsid w:val="0067400A"/>
    <w:rsid w:val="006814E6"/>
    <w:rsid w:val="006847AD"/>
    <w:rsid w:val="0069114B"/>
    <w:rsid w:val="006944C1"/>
    <w:rsid w:val="006A1DD3"/>
    <w:rsid w:val="006A756A"/>
    <w:rsid w:val="006B39DD"/>
    <w:rsid w:val="006C0EC2"/>
    <w:rsid w:val="006D66F7"/>
    <w:rsid w:val="006F10D9"/>
    <w:rsid w:val="00702185"/>
    <w:rsid w:val="00705C9D"/>
    <w:rsid w:val="00705F13"/>
    <w:rsid w:val="0070624C"/>
    <w:rsid w:val="00710ADA"/>
    <w:rsid w:val="00714F1D"/>
    <w:rsid w:val="00715225"/>
    <w:rsid w:val="0071700C"/>
    <w:rsid w:val="00720662"/>
    <w:rsid w:val="00720CC6"/>
    <w:rsid w:val="00722DDB"/>
    <w:rsid w:val="00723646"/>
    <w:rsid w:val="00724728"/>
    <w:rsid w:val="00724F98"/>
    <w:rsid w:val="00730B9B"/>
    <w:rsid w:val="0073182E"/>
    <w:rsid w:val="007332FF"/>
    <w:rsid w:val="007408F5"/>
    <w:rsid w:val="00741EAE"/>
    <w:rsid w:val="00755248"/>
    <w:rsid w:val="0075742B"/>
    <w:rsid w:val="0076190B"/>
    <w:rsid w:val="00761B26"/>
    <w:rsid w:val="0076355D"/>
    <w:rsid w:val="00763A2D"/>
    <w:rsid w:val="007676A4"/>
    <w:rsid w:val="00767D86"/>
    <w:rsid w:val="00777795"/>
    <w:rsid w:val="00782CBF"/>
    <w:rsid w:val="00783A57"/>
    <w:rsid w:val="00784C92"/>
    <w:rsid w:val="007859CD"/>
    <w:rsid w:val="00785C24"/>
    <w:rsid w:val="007907E4"/>
    <w:rsid w:val="00793D7D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44EA"/>
    <w:rsid w:val="0080766E"/>
    <w:rsid w:val="00811169"/>
    <w:rsid w:val="00813F70"/>
    <w:rsid w:val="00815297"/>
    <w:rsid w:val="008170DB"/>
    <w:rsid w:val="00817BA1"/>
    <w:rsid w:val="00823022"/>
    <w:rsid w:val="0082634E"/>
    <w:rsid w:val="008313C4"/>
    <w:rsid w:val="00832E30"/>
    <w:rsid w:val="00835434"/>
    <w:rsid w:val="008358C0"/>
    <w:rsid w:val="008427D6"/>
    <w:rsid w:val="00842838"/>
    <w:rsid w:val="00854EC1"/>
    <w:rsid w:val="0085797F"/>
    <w:rsid w:val="00861DC3"/>
    <w:rsid w:val="008645C7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1007"/>
    <w:rsid w:val="008B234B"/>
    <w:rsid w:val="008B529E"/>
    <w:rsid w:val="008C17FB"/>
    <w:rsid w:val="008C70BB"/>
    <w:rsid w:val="008D1B00"/>
    <w:rsid w:val="008D57B8"/>
    <w:rsid w:val="008E03FC"/>
    <w:rsid w:val="008E510B"/>
    <w:rsid w:val="00902B13"/>
    <w:rsid w:val="00910C84"/>
    <w:rsid w:val="00911941"/>
    <w:rsid w:val="0092024D"/>
    <w:rsid w:val="00925146"/>
    <w:rsid w:val="00925F0F"/>
    <w:rsid w:val="00925FE1"/>
    <w:rsid w:val="00932F6B"/>
    <w:rsid w:val="009444F0"/>
    <w:rsid w:val="009460BF"/>
    <w:rsid w:val="009468BC"/>
    <w:rsid w:val="00947FAE"/>
    <w:rsid w:val="00952A1F"/>
    <w:rsid w:val="009616DF"/>
    <w:rsid w:val="0096542F"/>
    <w:rsid w:val="00967FA7"/>
    <w:rsid w:val="00971645"/>
    <w:rsid w:val="00973AA5"/>
    <w:rsid w:val="00977919"/>
    <w:rsid w:val="00983000"/>
    <w:rsid w:val="00984CBC"/>
    <w:rsid w:val="009870FA"/>
    <w:rsid w:val="00987133"/>
    <w:rsid w:val="009921C3"/>
    <w:rsid w:val="0099551D"/>
    <w:rsid w:val="009A41EC"/>
    <w:rsid w:val="009A5897"/>
    <w:rsid w:val="009A5F24"/>
    <w:rsid w:val="009A6EB1"/>
    <w:rsid w:val="009B0B3E"/>
    <w:rsid w:val="009B1913"/>
    <w:rsid w:val="009B6657"/>
    <w:rsid w:val="009B6966"/>
    <w:rsid w:val="009B7AB4"/>
    <w:rsid w:val="009D0EB5"/>
    <w:rsid w:val="009D14F9"/>
    <w:rsid w:val="009D2B74"/>
    <w:rsid w:val="009D553D"/>
    <w:rsid w:val="009D63FF"/>
    <w:rsid w:val="009E175D"/>
    <w:rsid w:val="009E3CC2"/>
    <w:rsid w:val="009E77A2"/>
    <w:rsid w:val="009F06BD"/>
    <w:rsid w:val="009F2A4D"/>
    <w:rsid w:val="009F35D5"/>
    <w:rsid w:val="00A00828"/>
    <w:rsid w:val="00A03290"/>
    <w:rsid w:val="00A035DA"/>
    <w:rsid w:val="00A0387E"/>
    <w:rsid w:val="00A05BFD"/>
    <w:rsid w:val="00A07490"/>
    <w:rsid w:val="00A10655"/>
    <w:rsid w:val="00A12B64"/>
    <w:rsid w:val="00A22C38"/>
    <w:rsid w:val="00A25193"/>
    <w:rsid w:val="00A26E80"/>
    <w:rsid w:val="00A2732A"/>
    <w:rsid w:val="00A31AE8"/>
    <w:rsid w:val="00A3739D"/>
    <w:rsid w:val="00A37DDA"/>
    <w:rsid w:val="00A43927"/>
    <w:rsid w:val="00A45005"/>
    <w:rsid w:val="00A51E52"/>
    <w:rsid w:val="00A567EE"/>
    <w:rsid w:val="00A70DD8"/>
    <w:rsid w:val="00A76790"/>
    <w:rsid w:val="00A85D0C"/>
    <w:rsid w:val="00A925EC"/>
    <w:rsid w:val="00A929AA"/>
    <w:rsid w:val="00A92B6B"/>
    <w:rsid w:val="00AA541E"/>
    <w:rsid w:val="00AC203F"/>
    <w:rsid w:val="00AD0DA4"/>
    <w:rsid w:val="00AD1FAF"/>
    <w:rsid w:val="00AD4169"/>
    <w:rsid w:val="00AE25C6"/>
    <w:rsid w:val="00AE306C"/>
    <w:rsid w:val="00AF28C1"/>
    <w:rsid w:val="00B02EF1"/>
    <w:rsid w:val="00B04A0A"/>
    <w:rsid w:val="00B0606C"/>
    <w:rsid w:val="00B07C97"/>
    <w:rsid w:val="00B11C67"/>
    <w:rsid w:val="00B14257"/>
    <w:rsid w:val="00B15754"/>
    <w:rsid w:val="00B16002"/>
    <w:rsid w:val="00B2046E"/>
    <w:rsid w:val="00B20E8B"/>
    <w:rsid w:val="00B22D64"/>
    <w:rsid w:val="00B257E1"/>
    <w:rsid w:val="00B2599A"/>
    <w:rsid w:val="00B27AC4"/>
    <w:rsid w:val="00B343CC"/>
    <w:rsid w:val="00B362B3"/>
    <w:rsid w:val="00B41416"/>
    <w:rsid w:val="00B5084A"/>
    <w:rsid w:val="00B57546"/>
    <w:rsid w:val="00B606A1"/>
    <w:rsid w:val="00B614F7"/>
    <w:rsid w:val="00B61B26"/>
    <w:rsid w:val="00B65E6B"/>
    <w:rsid w:val="00B675B2"/>
    <w:rsid w:val="00B81261"/>
    <w:rsid w:val="00B8223E"/>
    <w:rsid w:val="00B82EF5"/>
    <w:rsid w:val="00B832AE"/>
    <w:rsid w:val="00B86678"/>
    <w:rsid w:val="00B92F9B"/>
    <w:rsid w:val="00B93CE7"/>
    <w:rsid w:val="00B941B3"/>
    <w:rsid w:val="00B96513"/>
    <w:rsid w:val="00BA1D47"/>
    <w:rsid w:val="00BA2EE8"/>
    <w:rsid w:val="00BA6275"/>
    <w:rsid w:val="00BA66F0"/>
    <w:rsid w:val="00BB2239"/>
    <w:rsid w:val="00BB2AE7"/>
    <w:rsid w:val="00BB6464"/>
    <w:rsid w:val="00BB721E"/>
    <w:rsid w:val="00BC1BB8"/>
    <w:rsid w:val="00BD7FE1"/>
    <w:rsid w:val="00BE37CA"/>
    <w:rsid w:val="00BE6144"/>
    <w:rsid w:val="00BE635A"/>
    <w:rsid w:val="00BF17E9"/>
    <w:rsid w:val="00BF2ABB"/>
    <w:rsid w:val="00BF5099"/>
    <w:rsid w:val="00BF738E"/>
    <w:rsid w:val="00C04ABE"/>
    <w:rsid w:val="00C10B5E"/>
    <w:rsid w:val="00C10DB6"/>
    <w:rsid w:val="00C10F10"/>
    <w:rsid w:val="00C15D4D"/>
    <w:rsid w:val="00C175DC"/>
    <w:rsid w:val="00C26AA3"/>
    <w:rsid w:val="00C30171"/>
    <w:rsid w:val="00C309D8"/>
    <w:rsid w:val="00C31EB6"/>
    <w:rsid w:val="00C434D6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356"/>
    <w:rsid w:val="00C86609"/>
    <w:rsid w:val="00C92B4C"/>
    <w:rsid w:val="00C954F6"/>
    <w:rsid w:val="00CA36A0"/>
    <w:rsid w:val="00CA6BC5"/>
    <w:rsid w:val="00CB092F"/>
    <w:rsid w:val="00CC571B"/>
    <w:rsid w:val="00CC61CD"/>
    <w:rsid w:val="00CC6C02"/>
    <w:rsid w:val="00CC737B"/>
    <w:rsid w:val="00CD005B"/>
    <w:rsid w:val="00CD25CE"/>
    <w:rsid w:val="00CD5011"/>
    <w:rsid w:val="00CE5474"/>
    <w:rsid w:val="00CE640F"/>
    <w:rsid w:val="00CE76BC"/>
    <w:rsid w:val="00CF540E"/>
    <w:rsid w:val="00D02F07"/>
    <w:rsid w:val="00D1179C"/>
    <w:rsid w:val="00D15D88"/>
    <w:rsid w:val="00D1734B"/>
    <w:rsid w:val="00D27D49"/>
    <w:rsid w:val="00D27EBE"/>
    <w:rsid w:val="00D339D1"/>
    <w:rsid w:val="00D36A49"/>
    <w:rsid w:val="00D47DC7"/>
    <w:rsid w:val="00D47E89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1B7B"/>
    <w:rsid w:val="00DA38D6"/>
    <w:rsid w:val="00DA5285"/>
    <w:rsid w:val="00DA5E48"/>
    <w:rsid w:val="00DB191D"/>
    <w:rsid w:val="00DB4F91"/>
    <w:rsid w:val="00DB6D0A"/>
    <w:rsid w:val="00DC06BE"/>
    <w:rsid w:val="00DC09A0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35D9"/>
    <w:rsid w:val="00E34D7C"/>
    <w:rsid w:val="00E3723D"/>
    <w:rsid w:val="00E44C89"/>
    <w:rsid w:val="00E457A6"/>
    <w:rsid w:val="00E54F9E"/>
    <w:rsid w:val="00E61BA2"/>
    <w:rsid w:val="00E61E05"/>
    <w:rsid w:val="00E63864"/>
    <w:rsid w:val="00E6403F"/>
    <w:rsid w:val="00E656C6"/>
    <w:rsid w:val="00E75451"/>
    <w:rsid w:val="00E75EA9"/>
    <w:rsid w:val="00E76AD6"/>
    <w:rsid w:val="00E770C4"/>
    <w:rsid w:val="00E84C5A"/>
    <w:rsid w:val="00E861DB"/>
    <w:rsid w:val="00E86C49"/>
    <w:rsid w:val="00E908F1"/>
    <w:rsid w:val="00E93406"/>
    <w:rsid w:val="00E956C5"/>
    <w:rsid w:val="00E95C39"/>
    <w:rsid w:val="00EA031D"/>
    <w:rsid w:val="00EA2C39"/>
    <w:rsid w:val="00EB0A3C"/>
    <w:rsid w:val="00EB0A96"/>
    <w:rsid w:val="00EB77F9"/>
    <w:rsid w:val="00EC5769"/>
    <w:rsid w:val="00EC7D00"/>
    <w:rsid w:val="00ED0304"/>
    <w:rsid w:val="00ED30BF"/>
    <w:rsid w:val="00ED4FF7"/>
    <w:rsid w:val="00ED5B7B"/>
    <w:rsid w:val="00EE38FA"/>
    <w:rsid w:val="00EE3E2C"/>
    <w:rsid w:val="00EE5D23"/>
    <w:rsid w:val="00EE750D"/>
    <w:rsid w:val="00EF21FD"/>
    <w:rsid w:val="00EF3CA4"/>
    <w:rsid w:val="00EF49A8"/>
    <w:rsid w:val="00EF7859"/>
    <w:rsid w:val="00F014DA"/>
    <w:rsid w:val="00F02591"/>
    <w:rsid w:val="00F124F5"/>
    <w:rsid w:val="00F22FB2"/>
    <w:rsid w:val="00F30AE1"/>
    <w:rsid w:val="00F46523"/>
    <w:rsid w:val="00F5696E"/>
    <w:rsid w:val="00F60EFF"/>
    <w:rsid w:val="00F67D2D"/>
    <w:rsid w:val="00F776E8"/>
    <w:rsid w:val="00F77BFF"/>
    <w:rsid w:val="00F858F2"/>
    <w:rsid w:val="00F860CC"/>
    <w:rsid w:val="00F87F5D"/>
    <w:rsid w:val="00F94398"/>
    <w:rsid w:val="00FB2B56"/>
    <w:rsid w:val="00FB55D5"/>
    <w:rsid w:val="00FB591F"/>
    <w:rsid w:val="00FC12BF"/>
    <w:rsid w:val="00FC2C60"/>
    <w:rsid w:val="00FC359C"/>
    <w:rsid w:val="00FD3E6F"/>
    <w:rsid w:val="00FD51B9"/>
    <w:rsid w:val="00FD5849"/>
    <w:rsid w:val="00FD7AB9"/>
    <w:rsid w:val="00FE0195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A8D4D"/>
  <w15:docId w15:val="{37D3DEEB-B018-45C1-A1BF-9FBF35A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3C1D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195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C6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C6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2020-08-01T00:00:00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FD289B-5A05-4A36-B836-AF8EA9C4EDC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3673AC-FF50-4100-BF72-EEAD3A5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land suitability assessment – example</vt:lpstr>
    </vt:vector>
  </TitlesOfParts>
  <Company>Infrastructure, Planning and Logistics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land suitability assessment – example</dc:title>
  <dc:creator>Northern Territory Government</dc:creator>
  <cp:lastModifiedBy>Nicola Kalmar</cp:lastModifiedBy>
  <cp:revision>4</cp:revision>
  <cp:lastPrinted>2019-07-29T01:45:00Z</cp:lastPrinted>
  <dcterms:created xsi:type="dcterms:W3CDTF">2020-09-10T23:43:00Z</dcterms:created>
  <dcterms:modified xsi:type="dcterms:W3CDTF">2020-09-10T23:43:00Z</dcterms:modified>
</cp:coreProperties>
</file>