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0084" w:rsidRDefault="00066107" w:rsidP="00FE78A4">
      <w:pPr>
        <w:pStyle w:val="Title"/>
      </w:pPr>
      <w:sdt>
        <w:sdtPr>
          <w:alias w:val="Title"/>
          <w:tag w:val="Title"/>
          <w:id w:val="-509987125"/>
          <w:lock w:val="sdtLocked"/>
          <w:placeholder>
            <w:docPart w:val="7D967CD4253F40B4B9BA00B898C51DD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E2348">
            <w:t>Territory Workforce Program</w:t>
          </w:r>
        </w:sdtContent>
      </w:sdt>
    </w:p>
    <w:p w:rsidR="00BE2348" w:rsidRPr="00BE2348" w:rsidRDefault="00FE78A4" w:rsidP="00FE78A4">
      <w:pPr>
        <w:pStyle w:val="Subtitle0"/>
        <w:sectPr w:rsidR="00BE2348" w:rsidRPr="00BE2348"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Funding Guidelines</w:t>
      </w:r>
    </w:p>
    <w:sdt>
      <w:sdtPr>
        <w:rPr>
          <w:rFonts w:ascii="Lato" w:eastAsia="Calibri" w:hAnsi="Lato" w:cs="Times New Roman"/>
          <w:b/>
          <w:bCs w:val="0"/>
          <w:color w:val="auto"/>
          <w:sz w:val="22"/>
          <w:szCs w:val="22"/>
        </w:rPr>
        <w:id w:val="-88318220"/>
        <w:docPartObj>
          <w:docPartGallery w:val="Table of Contents"/>
          <w:docPartUnique/>
        </w:docPartObj>
      </w:sdtPr>
      <w:sdtEndPr>
        <w:rPr>
          <w:rFonts w:asciiTheme="majorHAnsi" w:eastAsiaTheme="majorEastAsia" w:hAnsiTheme="majorHAnsi" w:cstheme="majorBidi"/>
          <w:b w:val="0"/>
          <w:bCs/>
          <w:noProof/>
          <w:color w:val="1F1F5F" w:themeColor="text1"/>
          <w:sz w:val="36"/>
          <w:szCs w:val="28"/>
        </w:rPr>
      </w:sdtEndPr>
      <w:sdtContent>
        <w:sdt>
          <w:sdtPr>
            <w:rPr>
              <w:rFonts w:ascii="Lato" w:eastAsia="Calibri" w:hAnsi="Lato" w:cs="Times New Roman"/>
              <w:b/>
              <w:bCs w:val="0"/>
              <w:color w:val="auto"/>
              <w:sz w:val="22"/>
              <w:szCs w:val="22"/>
            </w:rPr>
            <w:id w:val="-1768603790"/>
            <w:docPartObj>
              <w:docPartGallery w:val="Table of Contents"/>
              <w:docPartUnique/>
            </w:docPartObj>
          </w:sdtPr>
          <w:sdtEndPr>
            <w:rPr>
              <w:b w:val="0"/>
              <w:noProof/>
            </w:rPr>
          </w:sdtEndPr>
          <w:sdtContent>
            <w:p w:rsidR="001D02B6" w:rsidRPr="006D3B70" w:rsidRDefault="001D02B6" w:rsidP="001D02B6">
              <w:pPr>
                <w:pStyle w:val="TOCHeading"/>
              </w:pPr>
              <w:r w:rsidRPr="006D3B70">
                <w:t>Contents</w:t>
              </w:r>
            </w:p>
            <w:p w:rsidR="00336000" w:rsidRDefault="001D02B6">
              <w:pPr>
                <w:pStyle w:val="TOC1"/>
                <w:rPr>
                  <w:rFonts w:asciiTheme="minorHAnsi" w:eastAsiaTheme="minorEastAsia" w:hAnsiTheme="minorHAnsi" w:cstheme="minorBidi"/>
                  <w:b w:val="0"/>
                  <w:noProof/>
                  <w:lang w:eastAsia="en-AU"/>
                </w:rPr>
              </w:pPr>
              <w:r w:rsidRPr="006D3B70">
                <w:rPr>
                  <w:rFonts w:eastAsiaTheme="minorEastAsia" w:cs="Arial"/>
                  <w:lang w:eastAsia="en-AU"/>
                </w:rPr>
                <w:fldChar w:fldCharType="begin"/>
              </w:r>
              <w:r w:rsidRPr="006D3B70">
                <w:instrText xml:space="preserve"> TOC \o "1-9" \h \z \u </w:instrText>
              </w:r>
              <w:r w:rsidRPr="006D3B70">
                <w:rPr>
                  <w:rFonts w:eastAsiaTheme="minorEastAsia" w:cs="Arial"/>
                  <w:lang w:eastAsia="en-AU"/>
                </w:rPr>
                <w:fldChar w:fldCharType="separate"/>
              </w:r>
              <w:hyperlink w:anchor="_Toc117063278" w:history="1">
                <w:r w:rsidR="00336000" w:rsidRPr="00814DEF">
                  <w:rPr>
                    <w:rStyle w:val="Hyperlink"/>
                    <w:noProof/>
                    <w:lang w:eastAsia="en-AU"/>
                  </w:rPr>
                  <w:t>1. Objectives and purposes</w:t>
                </w:r>
                <w:r w:rsidR="00336000">
                  <w:rPr>
                    <w:noProof/>
                    <w:webHidden/>
                  </w:rPr>
                  <w:tab/>
                </w:r>
                <w:r w:rsidR="00336000">
                  <w:rPr>
                    <w:noProof/>
                    <w:webHidden/>
                  </w:rPr>
                  <w:fldChar w:fldCharType="begin"/>
                </w:r>
                <w:r w:rsidR="00336000">
                  <w:rPr>
                    <w:noProof/>
                    <w:webHidden/>
                  </w:rPr>
                  <w:instrText xml:space="preserve"> PAGEREF _Toc117063278 \h </w:instrText>
                </w:r>
                <w:r w:rsidR="00336000">
                  <w:rPr>
                    <w:noProof/>
                    <w:webHidden/>
                  </w:rPr>
                </w:r>
                <w:r w:rsidR="00336000">
                  <w:rPr>
                    <w:noProof/>
                    <w:webHidden/>
                  </w:rPr>
                  <w:fldChar w:fldCharType="separate"/>
                </w:r>
                <w:r w:rsidR="002113FA">
                  <w:rPr>
                    <w:noProof/>
                    <w:webHidden/>
                  </w:rPr>
                  <w:t>3</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79" w:history="1">
                <w:r w:rsidR="00336000" w:rsidRPr="00814DEF">
                  <w:rPr>
                    <w:rStyle w:val="Hyperlink"/>
                    <w:noProof/>
                    <w:lang w:eastAsia="en-AU"/>
                  </w:rPr>
                  <w:t>2. Who can apply?</w:t>
                </w:r>
                <w:r w:rsidR="00336000">
                  <w:rPr>
                    <w:noProof/>
                    <w:webHidden/>
                  </w:rPr>
                  <w:tab/>
                </w:r>
                <w:r w:rsidR="00336000">
                  <w:rPr>
                    <w:noProof/>
                    <w:webHidden/>
                  </w:rPr>
                  <w:fldChar w:fldCharType="begin"/>
                </w:r>
                <w:r w:rsidR="00336000">
                  <w:rPr>
                    <w:noProof/>
                    <w:webHidden/>
                  </w:rPr>
                  <w:instrText xml:space="preserve"> PAGEREF _Toc117063279 \h </w:instrText>
                </w:r>
                <w:r w:rsidR="00336000">
                  <w:rPr>
                    <w:noProof/>
                    <w:webHidden/>
                  </w:rPr>
                </w:r>
                <w:r w:rsidR="00336000">
                  <w:rPr>
                    <w:noProof/>
                    <w:webHidden/>
                  </w:rPr>
                  <w:fldChar w:fldCharType="separate"/>
                </w:r>
                <w:r w:rsidR="002113FA">
                  <w:rPr>
                    <w:noProof/>
                    <w:webHidden/>
                  </w:rPr>
                  <w:t>3</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0" w:history="1">
                <w:r w:rsidR="00336000" w:rsidRPr="00814DEF">
                  <w:rPr>
                    <w:rStyle w:val="Hyperlink"/>
                    <w:noProof/>
                    <w:lang w:eastAsia="en-AU"/>
                  </w:rPr>
                  <w:t>3. What can be funded?</w:t>
                </w:r>
                <w:r w:rsidR="00336000">
                  <w:rPr>
                    <w:noProof/>
                    <w:webHidden/>
                  </w:rPr>
                  <w:tab/>
                </w:r>
                <w:r w:rsidR="00336000">
                  <w:rPr>
                    <w:noProof/>
                    <w:webHidden/>
                  </w:rPr>
                  <w:fldChar w:fldCharType="begin"/>
                </w:r>
                <w:r w:rsidR="00336000">
                  <w:rPr>
                    <w:noProof/>
                    <w:webHidden/>
                  </w:rPr>
                  <w:instrText xml:space="preserve"> PAGEREF _Toc117063280 \h </w:instrText>
                </w:r>
                <w:r w:rsidR="00336000">
                  <w:rPr>
                    <w:noProof/>
                    <w:webHidden/>
                  </w:rPr>
                </w:r>
                <w:r w:rsidR="00336000">
                  <w:rPr>
                    <w:noProof/>
                    <w:webHidden/>
                  </w:rPr>
                  <w:fldChar w:fldCharType="separate"/>
                </w:r>
                <w:r w:rsidR="002113FA">
                  <w:rPr>
                    <w:noProof/>
                    <w:webHidden/>
                  </w:rPr>
                  <w:t>4</w:t>
                </w:r>
                <w:r w:rsidR="00336000">
                  <w:rPr>
                    <w:noProof/>
                    <w:webHidden/>
                  </w:rPr>
                  <w:fldChar w:fldCharType="end"/>
                </w:r>
              </w:hyperlink>
            </w:p>
            <w:p w:rsidR="00336000" w:rsidRDefault="00066107">
              <w:pPr>
                <w:pStyle w:val="TOC2"/>
                <w:rPr>
                  <w:rFonts w:asciiTheme="minorHAnsi" w:eastAsiaTheme="minorEastAsia" w:hAnsiTheme="minorHAnsi" w:cstheme="minorBidi"/>
                  <w:noProof/>
                  <w:lang w:eastAsia="en-AU"/>
                </w:rPr>
              </w:pPr>
              <w:hyperlink w:anchor="_Toc117063281" w:history="1">
                <w:r w:rsidR="00336000" w:rsidRPr="00814DEF">
                  <w:rPr>
                    <w:rStyle w:val="Hyperlink"/>
                    <w:noProof/>
                    <w:lang w:eastAsia="en-AU"/>
                  </w:rPr>
                  <w:t>3.1. How is accredited component costed:</w:t>
                </w:r>
                <w:r w:rsidR="00336000">
                  <w:rPr>
                    <w:noProof/>
                    <w:webHidden/>
                  </w:rPr>
                  <w:tab/>
                </w:r>
                <w:r w:rsidR="00336000">
                  <w:rPr>
                    <w:noProof/>
                    <w:webHidden/>
                  </w:rPr>
                  <w:fldChar w:fldCharType="begin"/>
                </w:r>
                <w:r w:rsidR="00336000">
                  <w:rPr>
                    <w:noProof/>
                    <w:webHidden/>
                  </w:rPr>
                  <w:instrText xml:space="preserve"> PAGEREF _Toc117063281 \h </w:instrText>
                </w:r>
                <w:r w:rsidR="00336000">
                  <w:rPr>
                    <w:noProof/>
                    <w:webHidden/>
                  </w:rPr>
                </w:r>
                <w:r w:rsidR="00336000">
                  <w:rPr>
                    <w:noProof/>
                    <w:webHidden/>
                  </w:rPr>
                  <w:fldChar w:fldCharType="separate"/>
                </w:r>
                <w:r w:rsidR="002113FA">
                  <w:rPr>
                    <w:noProof/>
                    <w:webHidden/>
                  </w:rPr>
                  <w:t>5</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2" w:history="1">
                <w:r w:rsidR="00336000" w:rsidRPr="00814DEF">
                  <w:rPr>
                    <w:rStyle w:val="Hyperlink"/>
                    <w:noProof/>
                    <w:lang w:eastAsia="en-AU"/>
                  </w:rPr>
                  <w:t>4. What cannot be funded?</w:t>
                </w:r>
                <w:r w:rsidR="00336000">
                  <w:rPr>
                    <w:noProof/>
                    <w:webHidden/>
                  </w:rPr>
                  <w:tab/>
                </w:r>
                <w:r w:rsidR="00336000">
                  <w:rPr>
                    <w:noProof/>
                    <w:webHidden/>
                  </w:rPr>
                  <w:fldChar w:fldCharType="begin"/>
                </w:r>
                <w:r w:rsidR="00336000">
                  <w:rPr>
                    <w:noProof/>
                    <w:webHidden/>
                  </w:rPr>
                  <w:instrText xml:space="preserve"> PAGEREF _Toc117063282 \h </w:instrText>
                </w:r>
                <w:r w:rsidR="00336000">
                  <w:rPr>
                    <w:noProof/>
                    <w:webHidden/>
                  </w:rPr>
                </w:r>
                <w:r w:rsidR="00336000">
                  <w:rPr>
                    <w:noProof/>
                    <w:webHidden/>
                  </w:rPr>
                  <w:fldChar w:fldCharType="separate"/>
                </w:r>
                <w:r w:rsidR="002113FA">
                  <w:rPr>
                    <w:noProof/>
                    <w:webHidden/>
                  </w:rPr>
                  <w:t>5</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3" w:history="1">
                <w:r w:rsidR="00336000" w:rsidRPr="00814DEF">
                  <w:rPr>
                    <w:rStyle w:val="Hyperlink"/>
                    <w:noProof/>
                    <w:lang w:eastAsia="en-AU"/>
                  </w:rPr>
                  <w:t>5. How to apply?</w:t>
                </w:r>
                <w:r w:rsidR="00336000">
                  <w:rPr>
                    <w:noProof/>
                    <w:webHidden/>
                  </w:rPr>
                  <w:tab/>
                </w:r>
                <w:r w:rsidR="00336000">
                  <w:rPr>
                    <w:noProof/>
                    <w:webHidden/>
                  </w:rPr>
                  <w:fldChar w:fldCharType="begin"/>
                </w:r>
                <w:r w:rsidR="00336000">
                  <w:rPr>
                    <w:noProof/>
                    <w:webHidden/>
                  </w:rPr>
                  <w:instrText xml:space="preserve"> PAGEREF _Toc117063283 \h </w:instrText>
                </w:r>
                <w:r w:rsidR="00336000">
                  <w:rPr>
                    <w:noProof/>
                    <w:webHidden/>
                  </w:rPr>
                </w:r>
                <w:r w:rsidR="00336000">
                  <w:rPr>
                    <w:noProof/>
                    <w:webHidden/>
                  </w:rPr>
                  <w:fldChar w:fldCharType="separate"/>
                </w:r>
                <w:r w:rsidR="002113FA">
                  <w:rPr>
                    <w:noProof/>
                    <w:webHidden/>
                  </w:rPr>
                  <w:t>5</w:t>
                </w:r>
                <w:r w:rsidR="00336000">
                  <w:rPr>
                    <w:noProof/>
                    <w:webHidden/>
                  </w:rPr>
                  <w:fldChar w:fldCharType="end"/>
                </w:r>
              </w:hyperlink>
            </w:p>
            <w:p w:rsidR="00336000" w:rsidRDefault="00066107">
              <w:pPr>
                <w:pStyle w:val="TOC2"/>
                <w:rPr>
                  <w:rFonts w:asciiTheme="minorHAnsi" w:eastAsiaTheme="minorEastAsia" w:hAnsiTheme="minorHAnsi" w:cstheme="minorBidi"/>
                  <w:noProof/>
                  <w:lang w:eastAsia="en-AU"/>
                </w:rPr>
              </w:pPr>
              <w:hyperlink w:anchor="_Toc117063284" w:history="1">
                <w:r w:rsidR="00336000" w:rsidRPr="00814DEF">
                  <w:rPr>
                    <w:rStyle w:val="Hyperlink"/>
                    <w:noProof/>
                    <w:lang w:eastAsia="en-AU"/>
                  </w:rPr>
                  <w:t>5.1. Additional application requirements</w:t>
                </w:r>
                <w:r w:rsidR="00336000">
                  <w:rPr>
                    <w:noProof/>
                    <w:webHidden/>
                  </w:rPr>
                  <w:tab/>
                </w:r>
                <w:r w:rsidR="00336000">
                  <w:rPr>
                    <w:noProof/>
                    <w:webHidden/>
                  </w:rPr>
                  <w:fldChar w:fldCharType="begin"/>
                </w:r>
                <w:r w:rsidR="00336000">
                  <w:rPr>
                    <w:noProof/>
                    <w:webHidden/>
                  </w:rPr>
                  <w:instrText xml:space="preserve"> PAGEREF _Toc117063284 \h </w:instrText>
                </w:r>
                <w:r w:rsidR="00336000">
                  <w:rPr>
                    <w:noProof/>
                    <w:webHidden/>
                  </w:rPr>
                </w:r>
                <w:r w:rsidR="00336000">
                  <w:rPr>
                    <w:noProof/>
                    <w:webHidden/>
                  </w:rPr>
                  <w:fldChar w:fldCharType="separate"/>
                </w:r>
                <w:r w:rsidR="002113FA">
                  <w:rPr>
                    <w:noProof/>
                    <w:webHidden/>
                  </w:rPr>
                  <w:t>6</w:t>
                </w:r>
                <w:r w:rsidR="00336000">
                  <w:rPr>
                    <w:noProof/>
                    <w:webHidden/>
                  </w:rPr>
                  <w:fldChar w:fldCharType="end"/>
                </w:r>
              </w:hyperlink>
            </w:p>
            <w:p w:rsidR="00336000" w:rsidRDefault="00066107">
              <w:pPr>
                <w:pStyle w:val="TOC2"/>
                <w:rPr>
                  <w:rFonts w:asciiTheme="minorHAnsi" w:eastAsiaTheme="minorEastAsia" w:hAnsiTheme="minorHAnsi" w:cstheme="minorBidi"/>
                  <w:noProof/>
                  <w:lang w:eastAsia="en-AU"/>
                </w:rPr>
              </w:pPr>
              <w:hyperlink w:anchor="_Toc117063285" w:history="1">
                <w:r w:rsidR="00336000" w:rsidRPr="00814DEF">
                  <w:rPr>
                    <w:rStyle w:val="Hyperlink"/>
                    <w:noProof/>
                    <w:lang w:eastAsia="en-AU"/>
                  </w:rPr>
                  <w:t>5.2. Eligible activities</w:t>
                </w:r>
                <w:r w:rsidR="00336000">
                  <w:rPr>
                    <w:noProof/>
                    <w:webHidden/>
                  </w:rPr>
                  <w:tab/>
                </w:r>
                <w:r w:rsidR="00336000">
                  <w:rPr>
                    <w:noProof/>
                    <w:webHidden/>
                  </w:rPr>
                  <w:fldChar w:fldCharType="begin"/>
                </w:r>
                <w:r w:rsidR="00336000">
                  <w:rPr>
                    <w:noProof/>
                    <w:webHidden/>
                  </w:rPr>
                  <w:instrText xml:space="preserve"> PAGEREF _Toc117063285 \h </w:instrText>
                </w:r>
                <w:r w:rsidR="00336000">
                  <w:rPr>
                    <w:noProof/>
                    <w:webHidden/>
                  </w:rPr>
                </w:r>
                <w:r w:rsidR="00336000">
                  <w:rPr>
                    <w:noProof/>
                    <w:webHidden/>
                  </w:rPr>
                  <w:fldChar w:fldCharType="separate"/>
                </w:r>
                <w:r w:rsidR="002113FA">
                  <w:rPr>
                    <w:noProof/>
                    <w:webHidden/>
                  </w:rPr>
                  <w:t>6</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6" w:history="1">
                <w:r w:rsidR="00336000" w:rsidRPr="00814DEF">
                  <w:rPr>
                    <w:rStyle w:val="Hyperlink"/>
                    <w:noProof/>
                    <w:lang w:eastAsia="en-AU"/>
                  </w:rPr>
                  <w:t>6. Assessment of applications</w:t>
                </w:r>
                <w:r w:rsidR="00336000">
                  <w:rPr>
                    <w:noProof/>
                    <w:webHidden/>
                  </w:rPr>
                  <w:tab/>
                </w:r>
                <w:r w:rsidR="00336000">
                  <w:rPr>
                    <w:noProof/>
                    <w:webHidden/>
                  </w:rPr>
                  <w:fldChar w:fldCharType="begin"/>
                </w:r>
                <w:r w:rsidR="00336000">
                  <w:rPr>
                    <w:noProof/>
                    <w:webHidden/>
                  </w:rPr>
                  <w:instrText xml:space="preserve"> PAGEREF _Toc117063286 \h </w:instrText>
                </w:r>
                <w:r w:rsidR="00336000">
                  <w:rPr>
                    <w:noProof/>
                    <w:webHidden/>
                  </w:rPr>
                </w:r>
                <w:r w:rsidR="00336000">
                  <w:rPr>
                    <w:noProof/>
                    <w:webHidden/>
                  </w:rPr>
                  <w:fldChar w:fldCharType="separate"/>
                </w:r>
                <w:r w:rsidR="002113FA">
                  <w:rPr>
                    <w:noProof/>
                    <w:webHidden/>
                  </w:rPr>
                  <w:t>6</w:t>
                </w:r>
                <w:r w:rsidR="00336000">
                  <w:rPr>
                    <w:noProof/>
                    <w:webHidden/>
                  </w:rPr>
                  <w:fldChar w:fldCharType="end"/>
                </w:r>
              </w:hyperlink>
            </w:p>
            <w:p w:rsidR="00336000" w:rsidRDefault="00066107">
              <w:pPr>
                <w:pStyle w:val="TOC2"/>
                <w:rPr>
                  <w:rFonts w:asciiTheme="minorHAnsi" w:eastAsiaTheme="minorEastAsia" w:hAnsiTheme="minorHAnsi" w:cstheme="minorBidi"/>
                  <w:noProof/>
                  <w:lang w:eastAsia="en-AU"/>
                </w:rPr>
              </w:pPr>
              <w:hyperlink w:anchor="_Toc117063287" w:history="1">
                <w:r w:rsidR="00336000" w:rsidRPr="00814DEF">
                  <w:rPr>
                    <w:rStyle w:val="Hyperlink"/>
                    <w:noProof/>
                    <w:lang w:eastAsia="en-AU"/>
                  </w:rPr>
                  <w:t>6.1. Viability</w:t>
                </w:r>
                <w:r w:rsidR="00336000">
                  <w:rPr>
                    <w:noProof/>
                    <w:webHidden/>
                  </w:rPr>
                  <w:tab/>
                </w:r>
                <w:r w:rsidR="00336000">
                  <w:rPr>
                    <w:noProof/>
                    <w:webHidden/>
                  </w:rPr>
                  <w:fldChar w:fldCharType="begin"/>
                </w:r>
                <w:r w:rsidR="00336000">
                  <w:rPr>
                    <w:noProof/>
                    <w:webHidden/>
                  </w:rPr>
                  <w:instrText xml:space="preserve"> PAGEREF _Toc117063287 \h </w:instrText>
                </w:r>
                <w:r w:rsidR="00336000">
                  <w:rPr>
                    <w:noProof/>
                    <w:webHidden/>
                  </w:rPr>
                </w:r>
                <w:r w:rsidR="00336000">
                  <w:rPr>
                    <w:noProof/>
                    <w:webHidden/>
                  </w:rPr>
                  <w:fldChar w:fldCharType="separate"/>
                </w:r>
                <w:r w:rsidR="002113FA">
                  <w:rPr>
                    <w:noProof/>
                    <w:webHidden/>
                  </w:rPr>
                  <w:t>7</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8" w:history="1">
                <w:r w:rsidR="00336000" w:rsidRPr="00814DEF">
                  <w:rPr>
                    <w:rStyle w:val="Hyperlink"/>
                    <w:noProof/>
                    <w:lang w:eastAsia="en-AU"/>
                  </w:rPr>
                  <w:t>7. Grant agreements</w:t>
                </w:r>
                <w:r w:rsidR="00336000">
                  <w:rPr>
                    <w:noProof/>
                    <w:webHidden/>
                  </w:rPr>
                  <w:tab/>
                </w:r>
                <w:r w:rsidR="00336000">
                  <w:rPr>
                    <w:noProof/>
                    <w:webHidden/>
                  </w:rPr>
                  <w:fldChar w:fldCharType="begin"/>
                </w:r>
                <w:r w:rsidR="00336000">
                  <w:rPr>
                    <w:noProof/>
                    <w:webHidden/>
                  </w:rPr>
                  <w:instrText xml:space="preserve"> PAGEREF _Toc117063288 \h </w:instrText>
                </w:r>
                <w:r w:rsidR="00336000">
                  <w:rPr>
                    <w:noProof/>
                    <w:webHidden/>
                  </w:rPr>
                </w:r>
                <w:r w:rsidR="00336000">
                  <w:rPr>
                    <w:noProof/>
                    <w:webHidden/>
                  </w:rPr>
                  <w:fldChar w:fldCharType="separate"/>
                </w:r>
                <w:r w:rsidR="002113FA">
                  <w:rPr>
                    <w:noProof/>
                    <w:webHidden/>
                  </w:rPr>
                  <w:t>7</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89" w:history="1">
                <w:r w:rsidR="00336000" w:rsidRPr="00814DEF">
                  <w:rPr>
                    <w:rStyle w:val="Hyperlink"/>
                    <w:noProof/>
                    <w:lang w:eastAsia="en-AU"/>
                  </w:rPr>
                  <w:t>8. Evaluation</w:t>
                </w:r>
                <w:r w:rsidR="00336000">
                  <w:rPr>
                    <w:noProof/>
                    <w:webHidden/>
                  </w:rPr>
                  <w:tab/>
                </w:r>
                <w:r w:rsidR="00336000">
                  <w:rPr>
                    <w:noProof/>
                    <w:webHidden/>
                  </w:rPr>
                  <w:fldChar w:fldCharType="begin"/>
                </w:r>
                <w:r w:rsidR="00336000">
                  <w:rPr>
                    <w:noProof/>
                    <w:webHidden/>
                  </w:rPr>
                  <w:instrText xml:space="preserve"> PAGEREF _Toc117063289 \h </w:instrText>
                </w:r>
                <w:r w:rsidR="00336000">
                  <w:rPr>
                    <w:noProof/>
                    <w:webHidden/>
                  </w:rPr>
                </w:r>
                <w:r w:rsidR="00336000">
                  <w:rPr>
                    <w:noProof/>
                    <w:webHidden/>
                  </w:rPr>
                  <w:fldChar w:fldCharType="separate"/>
                </w:r>
                <w:r w:rsidR="002113FA">
                  <w:rPr>
                    <w:noProof/>
                    <w:webHidden/>
                  </w:rPr>
                  <w:t>7</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90" w:history="1">
                <w:r w:rsidR="00336000" w:rsidRPr="00814DEF">
                  <w:rPr>
                    <w:rStyle w:val="Hyperlink"/>
                    <w:noProof/>
                    <w:lang w:eastAsia="en-AU"/>
                  </w:rPr>
                  <w:t>9. Publication, promotion and intellectual property</w:t>
                </w:r>
                <w:r w:rsidR="00336000">
                  <w:rPr>
                    <w:noProof/>
                    <w:webHidden/>
                  </w:rPr>
                  <w:tab/>
                </w:r>
                <w:r w:rsidR="00336000">
                  <w:rPr>
                    <w:noProof/>
                    <w:webHidden/>
                  </w:rPr>
                  <w:fldChar w:fldCharType="begin"/>
                </w:r>
                <w:r w:rsidR="00336000">
                  <w:rPr>
                    <w:noProof/>
                    <w:webHidden/>
                  </w:rPr>
                  <w:instrText xml:space="preserve"> PAGEREF _Toc117063290 \h </w:instrText>
                </w:r>
                <w:r w:rsidR="00336000">
                  <w:rPr>
                    <w:noProof/>
                    <w:webHidden/>
                  </w:rPr>
                </w:r>
                <w:r w:rsidR="00336000">
                  <w:rPr>
                    <w:noProof/>
                    <w:webHidden/>
                  </w:rPr>
                  <w:fldChar w:fldCharType="separate"/>
                </w:r>
                <w:r w:rsidR="002113FA">
                  <w:rPr>
                    <w:noProof/>
                    <w:webHidden/>
                  </w:rPr>
                  <w:t>8</w:t>
                </w:r>
                <w:r w:rsidR="00336000">
                  <w:rPr>
                    <w:noProof/>
                    <w:webHidden/>
                  </w:rPr>
                  <w:fldChar w:fldCharType="end"/>
                </w:r>
              </w:hyperlink>
            </w:p>
            <w:p w:rsidR="00336000" w:rsidRDefault="00066107">
              <w:pPr>
                <w:pStyle w:val="TOC1"/>
                <w:rPr>
                  <w:rFonts w:asciiTheme="minorHAnsi" w:eastAsiaTheme="minorEastAsia" w:hAnsiTheme="minorHAnsi" w:cstheme="minorBidi"/>
                  <w:b w:val="0"/>
                  <w:noProof/>
                  <w:lang w:eastAsia="en-AU"/>
                </w:rPr>
              </w:pPr>
              <w:hyperlink w:anchor="_Toc117063291" w:history="1">
                <w:r w:rsidR="00336000" w:rsidRPr="00814DEF">
                  <w:rPr>
                    <w:rStyle w:val="Hyperlink"/>
                    <w:noProof/>
                    <w:lang w:eastAsia="en-AU"/>
                  </w:rPr>
                  <w:t>10. Privacy and confidentiality</w:t>
                </w:r>
                <w:r w:rsidR="00336000">
                  <w:rPr>
                    <w:noProof/>
                    <w:webHidden/>
                  </w:rPr>
                  <w:tab/>
                </w:r>
                <w:r w:rsidR="00336000">
                  <w:rPr>
                    <w:noProof/>
                    <w:webHidden/>
                  </w:rPr>
                  <w:fldChar w:fldCharType="begin"/>
                </w:r>
                <w:r w:rsidR="00336000">
                  <w:rPr>
                    <w:noProof/>
                    <w:webHidden/>
                  </w:rPr>
                  <w:instrText xml:space="preserve"> PAGEREF _Toc117063291 \h </w:instrText>
                </w:r>
                <w:r w:rsidR="00336000">
                  <w:rPr>
                    <w:noProof/>
                    <w:webHidden/>
                  </w:rPr>
                </w:r>
                <w:r w:rsidR="00336000">
                  <w:rPr>
                    <w:noProof/>
                    <w:webHidden/>
                  </w:rPr>
                  <w:fldChar w:fldCharType="separate"/>
                </w:r>
                <w:r w:rsidR="002113FA">
                  <w:rPr>
                    <w:noProof/>
                    <w:webHidden/>
                  </w:rPr>
                  <w:t>8</w:t>
                </w:r>
                <w:r w:rsidR="00336000">
                  <w:rPr>
                    <w:noProof/>
                    <w:webHidden/>
                  </w:rPr>
                  <w:fldChar w:fldCharType="end"/>
                </w:r>
              </w:hyperlink>
            </w:p>
            <w:p w:rsidR="001D02B6" w:rsidRDefault="001D02B6" w:rsidP="001D02B6">
              <w:pPr>
                <w:rPr>
                  <w:noProof/>
                </w:rPr>
              </w:pPr>
              <w:r w:rsidRPr="006D3B70">
                <w:rPr>
                  <w:b/>
                  <w:bCs/>
                  <w:noProof/>
                </w:rPr>
                <w:fldChar w:fldCharType="end"/>
              </w:r>
            </w:p>
          </w:sdtContent>
        </w:sdt>
        <w:p w:rsidR="004E7885" w:rsidRPr="004E7885" w:rsidRDefault="00066107" w:rsidP="001D02B6">
          <w:pPr>
            <w:pStyle w:val="TOCHeading"/>
            <w:tabs>
              <w:tab w:val="left" w:pos="8601"/>
            </w:tabs>
            <w:rPr>
              <w:rFonts w:eastAsiaTheme="minorEastAsia" w:cs="Arial"/>
              <w:b/>
              <w:lang w:eastAsia="en-AU"/>
            </w:rPr>
          </w:pP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1D02B6" w:rsidRDefault="001D02B6" w:rsidP="001D02B6">
      <w:r>
        <w:lastRenderedPageBreak/>
        <w:t>The Territory Workforce Program (TWP) is funded by the Northern Territory Government to support workforce initiatives in the Territory.</w:t>
      </w:r>
    </w:p>
    <w:p w:rsidR="00EB3D43" w:rsidRDefault="001D02B6" w:rsidP="00E45536">
      <w:pPr>
        <w:pStyle w:val="Heading1"/>
        <w:rPr>
          <w:noProof/>
          <w:lang w:eastAsia="en-AU"/>
        </w:rPr>
      </w:pPr>
      <w:bookmarkStart w:id="1" w:name="_Toc117063278"/>
      <w:r>
        <w:rPr>
          <w:noProof/>
          <w:lang w:eastAsia="en-AU"/>
        </w:rPr>
        <w:t>Objectives and purposes</w:t>
      </w:r>
      <w:bookmarkEnd w:id="1"/>
    </w:p>
    <w:p w:rsidR="004E0FD7" w:rsidRDefault="001D02B6" w:rsidP="004E0FD7">
      <w:r>
        <w:t>The purpose of TWP is to assist organisations to develop industry driven workforce initiatives to maximise job opportunities for Territorians and build a skilled workforce for business and industry, now and into the future.</w:t>
      </w:r>
    </w:p>
    <w:p w:rsidR="00DC4CB0" w:rsidRDefault="00DC4CB0" w:rsidP="004E0FD7">
      <w:r>
        <w:t>The program aims to facilitate workforce development and training initiatives that lead to employment and/or support targeted skilling of Territorians to increase participation in the Territory economy.</w:t>
      </w:r>
    </w:p>
    <w:p w:rsidR="00DC4CB0" w:rsidRDefault="00DC4CB0" w:rsidP="004E0FD7">
      <w:r>
        <w:t>The objective is to fund projects that benefit the broader Territory Community and:</w:t>
      </w:r>
    </w:p>
    <w:p w:rsidR="00DC4CB0" w:rsidRDefault="00DC4CB0" w:rsidP="00E732F1">
      <w:pPr>
        <w:pStyle w:val="ListParagraph"/>
        <w:numPr>
          <w:ilvl w:val="0"/>
          <w:numId w:val="10"/>
        </w:numPr>
      </w:pPr>
      <w:r>
        <w:t>Skill the Territory workforce</w:t>
      </w:r>
    </w:p>
    <w:p w:rsidR="00DC4CB0" w:rsidRDefault="00DC4CB0" w:rsidP="00E732F1">
      <w:pPr>
        <w:pStyle w:val="ListParagraph"/>
        <w:numPr>
          <w:ilvl w:val="0"/>
          <w:numId w:val="10"/>
        </w:numPr>
      </w:pPr>
      <w:r>
        <w:t>Improve the productivity of Territory business and industry, and</w:t>
      </w:r>
    </w:p>
    <w:p w:rsidR="00DC4CB0" w:rsidRDefault="00DC4CB0" w:rsidP="00E732F1">
      <w:pPr>
        <w:pStyle w:val="ListParagraph"/>
        <w:numPr>
          <w:ilvl w:val="0"/>
          <w:numId w:val="10"/>
        </w:numPr>
      </w:pPr>
      <w:r>
        <w:t>Help develop Northern Australia.</w:t>
      </w:r>
    </w:p>
    <w:p w:rsidR="00DC4CB0" w:rsidRDefault="00DC4CB0" w:rsidP="00DC4CB0">
      <w:r>
        <w:t>The program has three streams:</w:t>
      </w:r>
    </w:p>
    <w:p w:rsidR="00DC4CB0" w:rsidRDefault="00DC4CB0" w:rsidP="00DC4CB0">
      <w:r w:rsidRPr="00DC4CB0">
        <w:rPr>
          <w:b/>
        </w:rPr>
        <w:t>Stream 1 – Workforce Development (Skilling Australia Fund):</w:t>
      </w:r>
      <w:r>
        <w:t xml:space="preserve"> the objective of this stream is to support innovative projects that will increase the commencement and completion of apprenticeships, pre-apprenticeships, higher apprenticeships and other employment related training to the needs of Territory businesses and industry sectors.</w:t>
      </w:r>
    </w:p>
    <w:p w:rsidR="000B280D" w:rsidRDefault="00DC4CB0" w:rsidP="00852724">
      <w:r w:rsidRPr="00DC4CB0">
        <w:rPr>
          <w:b/>
        </w:rPr>
        <w:t>Stream 2 – Workforce Development (excluding apprenticeships and traineeships):</w:t>
      </w:r>
      <w:r>
        <w:rPr>
          <w:b/>
        </w:rPr>
        <w:t xml:space="preserve"> </w:t>
      </w:r>
      <w:r>
        <w:t>the objective of this stream is to increase participation in the Territory economy through workforce development initiatives (including like apprenticeships) that lead to employment and/or support targeted upskilling of Territorians.</w:t>
      </w:r>
    </w:p>
    <w:p w:rsidR="00DC4CB0" w:rsidRPr="00DC4CB0" w:rsidRDefault="00DC4CB0" w:rsidP="00852724">
      <w:r w:rsidRPr="00DC4CB0">
        <w:rPr>
          <w:b/>
        </w:rPr>
        <w:t>Stream 3 – Industry workforce strategies:</w:t>
      </w:r>
      <w:r>
        <w:t xml:space="preserve"> the objective of this stream is to support industry projects with an innovative and/or collaborative approach that focuses on workforce development strategies and implementation plans to meet sector demands, reduce skilling gaps and to improve the productivity of Territory businesses and industry sectors. Projects in this stream may form as a pre-requisite leading to another Stream 1 or 2 project.</w:t>
      </w:r>
    </w:p>
    <w:p w:rsidR="00E4581A" w:rsidRDefault="00E4581A" w:rsidP="00E4581A">
      <w:pPr>
        <w:pStyle w:val="Heading1"/>
        <w:rPr>
          <w:noProof/>
          <w:lang w:eastAsia="en-AU"/>
        </w:rPr>
      </w:pPr>
      <w:bookmarkStart w:id="2" w:name="_Toc117063279"/>
      <w:r>
        <w:rPr>
          <w:noProof/>
          <w:lang w:eastAsia="en-AU"/>
        </w:rPr>
        <w:t>Who can apply?</w:t>
      </w:r>
      <w:bookmarkEnd w:id="2"/>
    </w:p>
    <w:p w:rsidR="00E4581A" w:rsidRDefault="00E4581A" w:rsidP="00E4581A">
      <w:pPr>
        <w:rPr>
          <w:lang w:eastAsia="en-AU"/>
        </w:rPr>
      </w:pPr>
      <w:r>
        <w:rPr>
          <w:lang w:eastAsia="en-AU"/>
        </w:rPr>
        <w:t>Industry Associations, businesses and other organisations operating in the Territory, with a significant permanent presence in the Territory and employing Territory residents, are eligible to apply as lead organisations.</w:t>
      </w:r>
    </w:p>
    <w:p w:rsidR="00E4581A" w:rsidRDefault="00E4581A" w:rsidP="00E4581A">
      <w:pPr>
        <w:rPr>
          <w:lang w:eastAsia="en-AU"/>
        </w:rPr>
      </w:pPr>
      <w:r>
        <w:rPr>
          <w:lang w:eastAsia="en-AU"/>
        </w:rPr>
        <w:t>NT Government agencies may be eligible under special circumstance, as determined by the Department.</w:t>
      </w:r>
    </w:p>
    <w:p w:rsidR="00E4581A" w:rsidRDefault="00E4581A" w:rsidP="00E4581A">
      <w:pPr>
        <w:rPr>
          <w:lang w:eastAsia="en-AU"/>
        </w:rPr>
      </w:pPr>
      <w:r>
        <w:rPr>
          <w:lang w:eastAsia="en-AU"/>
        </w:rPr>
        <w:t xml:space="preserve">Grants are not available to registered training organisations and schools as </w:t>
      </w:r>
      <w:r w:rsidR="005011E9">
        <w:rPr>
          <w:lang w:eastAsia="en-AU"/>
        </w:rPr>
        <w:t>L</w:t>
      </w:r>
      <w:r>
        <w:rPr>
          <w:lang w:eastAsia="en-AU"/>
        </w:rPr>
        <w:t xml:space="preserve">ead </w:t>
      </w:r>
      <w:r w:rsidR="005011E9">
        <w:rPr>
          <w:lang w:eastAsia="en-AU"/>
        </w:rPr>
        <w:t>O</w:t>
      </w:r>
      <w:r>
        <w:rPr>
          <w:lang w:eastAsia="en-AU"/>
        </w:rPr>
        <w:t xml:space="preserve">rganisations. However, these entities may partner with </w:t>
      </w:r>
      <w:r w:rsidR="005011E9">
        <w:rPr>
          <w:lang w:eastAsia="en-AU"/>
        </w:rPr>
        <w:t>L</w:t>
      </w:r>
      <w:r>
        <w:rPr>
          <w:lang w:eastAsia="en-AU"/>
        </w:rPr>
        <w:t xml:space="preserve">ead </w:t>
      </w:r>
      <w:r w:rsidR="005011E9">
        <w:rPr>
          <w:lang w:eastAsia="en-AU"/>
        </w:rPr>
        <w:t>O</w:t>
      </w:r>
      <w:r>
        <w:rPr>
          <w:lang w:eastAsia="en-AU"/>
        </w:rPr>
        <w:t>rganisations.</w:t>
      </w:r>
    </w:p>
    <w:p w:rsidR="00E4581A" w:rsidRDefault="00E4581A" w:rsidP="00E4581A">
      <w:pPr>
        <w:rPr>
          <w:lang w:eastAsia="en-AU"/>
        </w:rPr>
      </w:pPr>
      <w:r>
        <w:rPr>
          <w:lang w:eastAsia="en-AU"/>
        </w:rPr>
        <w:t>Joint applications are acceptable, provided a lead applicant, who is the main driver of the project and is eligible to apply, is identified. A formal arrangement with all parties of a joint application must be in place before applications are considered.</w:t>
      </w:r>
    </w:p>
    <w:p w:rsidR="00E4581A" w:rsidRDefault="00E4581A" w:rsidP="00E4581A">
      <w:pPr>
        <w:rPr>
          <w:lang w:eastAsia="en-AU"/>
        </w:rPr>
      </w:pPr>
      <w:r>
        <w:rPr>
          <w:lang w:eastAsia="en-AU"/>
        </w:rPr>
        <w:t>Applications from entities that are considered insolvent will not be considered.</w:t>
      </w:r>
    </w:p>
    <w:p w:rsidR="00A563B6" w:rsidRDefault="00A563B6" w:rsidP="00E4581A">
      <w:pPr>
        <w:rPr>
          <w:lang w:eastAsia="en-AU"/>
        </w:rPr>
      </w:pPr>
    </w:p>
    <w:p w:rsidR="00A563B6" w:rsidRDefault="00A563B6" w:rsidP="00A563B6">
      <w:pPr>
        <w:pStyle w:val="Heading1"/>
        <w:rPr>
          <w:noProof/>
          <w:lang w:eastAsia="en-AU"/>
        </w:rPr>
      </w:pPr>
      <w:bookmarkStart w:id="3" w:name="_Toc117063280"/>
      <w:r>
        <w:rPr>
          <w:noProof/>
          <w:lang w:eastAsia="en-AU"/>
        </w:rPr>
        <w:lastRenderedPageBreak/>
        <w:t>What can be funded?</w:t>
      </w:r>
      <w:bookmarkEnd w:id="3"/>
    </w:p>
    <w:p w:rsidR="00A563B6" w:rsidRDefault="00E01E79" w:rsidP="00E4581A">
      <w:pPr>
        <w:rPr>
          <w:lang w:eastAsia="en-AU"/>
        </w:rPr>
      </w:pPr>
      <w:r>
        <w:rPr>
          <w:lang w:eastAsia="en-AU"/>
        </w:rPr>
        <w:t>Workforce development projects (Stream 1 and 2) and Industry workforce strategies (Stream 3) including relevant implementation plans or models or practice.</w:t>
      </w:r>
    </w:p>
    <w:p w:rsidR="00E01E79" w:rsidRDefault="00E01E79" w:rsidP="00E4581A">
      <w:pPr>
        <w:rPr>
          <w:lang w:eastAsia="en-AU"/>
        </w:rPr>
      </w:pPr>
      <w:r>
        <w:rPr>
          <w:lang w:eastAsia="en-AU"/>
        </w:rPr>
        <w:t>Workforce development projects must aim to achieve a minimum of 70% employment outcome. Industry workforce strategies must provide links to employment and support economic growth.</w:t>
      </w:r>
    </w:p>
    <w:p w:rsidR="00E01E79" w:rsidRDefault="00E01E79" w:rsidP="00E4581A">
      <w:pPr>
        <w:rPr>
          <w:lang w:eastAsia="en-AU"/>
        </w:rPr>
      </w:pPr>
      <w:r>
        <w:rPr>
          <w:lang w:eastAsia="en-AU"/>
        </w:rPr>
        <w:t>Funds will be directed to projects or initiatives that contribute to the following outcomes.</w:t>
      </w:r>
    </w:p>
    <w:p w:rsidR="00E01E79" w:rsidRDefault="00E01E79" w:rsidP="00E732F1">
      <w:pPr>
        <w:pStyle w:val="ListParagraph"/>
        <w:numPr>
          <w:ilvl w:val="0"/>
          <w:numId w:val="11"/>
        </w:numPr>
        <w:rPr>
          <w:lang w:eastAsia="en-AU"/>
        </w:rPr>
      </w:pPr>
      <w:r>
        <w:rPr>
          <w:lang w:eastAsia="en-AU"/>
        </w:rPr>
        <w:t>Increased employment</w:t>
      </w:r>
    </w:p>
    <w:p w:rsidR="00E01E79" w:rsidRDefault="00E01E79" w:rsidP="00E732F1">
      <w:pPr>
        <w:pStyle w:val="ListParagraph"/>
        <w:numPr>
          <w:ilvl w:val="0"/>
          <w:numId w:val="11"/>
        </w:numPr>
        <w:rPr>
          <w:lang w:eastAsia="en-AU"/>
        </w:rPr>
      </w:pPr>
      <w:r>
        <w:rPr>
          <w:lang w:eastAsia="en-AU"/>
        </w:rPr>
        <w:t>Increase apprenticeship and traineeship commencements, retention, completion. Includes:</w:t>
      </w:r>
    </w:p>
    <w:p w:rsidR="00E01E79" w:rsidRDefault="00E01E79" w:rsidP="00E732F1">
      <w:pPr>
        <w:pStyle w:val="ListParagraph"/>
        <w:numPr>
          <w:ilvl w:val="1"/>
          <w:numId w:val="11"/>
        </w:numPr>
      </w:pPr>
      <w:r w:rsidRPr="00253FAA">
        <w:t>higher apprenticeships</w:t>
      </w:r>
    </w:p>
    <w:p w:rsidR="00E01E79" w:rsidRDefault="00E01E79" w:rsidP="00E732F1">
      <w:pPr>
        <w:pStyle w:val="ListParagraph"/>
        <w:numPr>
          <w:ilvl w:val="1"/>
          <w:numId w:val="11"/>
        </w:numPr>
      </w:pPr>
      <w:r w:rsidRPr="00253FAA">
        <w:t>pre-apprenticeships/traineeships</w:t>
      </w:r>
      <w:r>
        <w:t xml:space="preserve">, </w:t>
      </w:r>
      <w:r w:rsidRPr="00253FAA">
        <w:t>and</w:t>
      </w:r>
    </w:p>
    <w:p w:rsidR="00E01E79" w:rsidRDefault="00E01E79" w:rsidP="00E732F1">
      <w:pPr>
        <w:pStyle w:val="ListParagraph"/>
        <w:numPr>
          <w:ilvl w:val="1"/>
          <w:numId w:val="11"/>
        </w:numPr>
      </w:pPr>
      <w:r w:rsidRPr="00253FAA">
        <w:t>like apprenticeships/traineeships</w:t>
      </w:r>
    </w:p>
    <w:p w:rsidR="00E01E79" w:rsidRDefault="00E01E79" w:rsidP="00E732F1">
      <w:pPr>
        <w:pStyle w:val="ListParagraph"/>
        <w:numPr>
          <w:ilvl w:val="0"/>
          <w:numId w:val="12"/>
        </w:numPr>
      </w:pPr>
      <w:r>
        <w:t>increase in training commencements, retention, completion</w:t>
      </w:r>
    </w:p>
    <w:p w:rsidR="00E01E79" w:rsidRDefault="00E01E79" w:rsidP="00E732F1">
      <w:pPr>
        <w:pStyle w:val="ListParagraph"/>
        <w:numPr>
          <w:ilvl w:val="0"/>
          <w:numId w:val="12"/>
        </w:numPr>
      </w:pPr>
      <w:r>
        <w:t>delivery of services that link skilling Territorians to employment, including wrap-around services, foundation skills and mentoring</w:t>
      </w:r>
    </w:p>
    <w:p w:rsidR="00E01E79" w:rsidRDefault="00E01E79" w:rsidP="00E732F1">
      <w:pPr>
        <w:pStyle w:val="ListParagraph"/>
        <w:numPr>
          <w:ilvl w:val="0"/>
          <w:numId w:val="12"/>
        </w:numPr>
      </w:pPr>
      <w:r>
        <w:t>facilitate training that leads to greater local employment and employment opportunities</w:t>
      </w:r>
    </w:p>
    <w:p w:rsidR="00E01E79" w:rsidRDefault="00E01E79" w:rsidP="00E732F1">
      <w:pPr>
        <w:pStyle w:val="ListParagraph"/>
        <w:numPr>
          <w:ilvl w:val="0"/>
          <w:numId w:val="12"/>
        </w:numPr>
      </w:pPr>
      <w:r>
        <w:t>boost investment in training, retraining and skilling Territorians to enable their sustained employment in growth sectors</w:t>
      </w:r>
    </w:p>
    <w:p w:rsidR="00E01E79" w:rsidRDefault="00E01E79" w:rsidP="00E732F1">
      <w:pPr>
        <w:pStyle w:val="ListParagraph"/>
        <w:numPr>
          <w:ilvl w:val="0"/>
          <w:numId w:val="12"/>
        </w:numPr>
      </w:pPr>
      <w:r>
        <w:t xml:space="preserve">support major projects and or regional development </w:t>
      </w:r>
    </w:p>
    <w:p w:rsidR="00E01E79" w:rsidRDefault="00E01E79" w:rsidP="00E732F1">
      <w:pPr>
        <w:pStyle w:val="ListParagraph"/>
        <w:numPr>
          <w:ilvl w:val="0"/>
          <w:numId w:val="12"/>
        </w:numPr>
      </w:pPr>
      <w:r>
        <w:t>supports economic development and participation</w:t>
      </w:r>
    </w:p>
    <w:p w:rsidR="00E01E79" w:rsidRDefault="00E01E79" w:rsidP="00E732F1">
      <w:pPr>
        <w:pStyle w:val="ListParagraph"/>
        <w:numPr>
          <w:ilvl w:val="0"/>
          <w:numId w:val="12"/>
        </w:numPr>
      </w:pPr>
      <w:r>
        <w:t>introduce workforce development strategies and action plans or models of practice</w:t>
      </w:r>
      <w:r w:rsidR="005A08B6">
        <w:t xml:space="preserve"> to support local industries, and</w:t>
      </w:r>
    </w:p>
    <w:p w:rsidR="005A08B6" w:rsidRDefault="00723AA9" w:rsidP="00E732F1">
      <w:pPr>
        <w:pStyle w:val="ListParagraph"/>
        <w:numPr>
          <w:ilvl w:val="0"/>
          <w:numId w:val="12"/>
        </w:numPr>
      </w:pPr>
      <w:r>
        <w:t>Implement</w:t>
      </w:r>
      <w:r w:rsidR="005A08B6">
        <w:t xml:space="preserve"> cross sector workforce development strategies led by Industry.</w:t>
      </w:r>
    </w:p>
    <w:p w:rsidR="005A08B6" w:rsidRDefault="005A08B6" w:rsidP="005A08B6">
      <w:pPr>
        <w:rPr>
          <w:b/>
        </w:rPr>
      </w:pPr>
      <w:r w:rsidRPr="005A08B6">
        <w:rPr>
          <w:b/>
        </w:rPr>
        <w:t>Definitions:</w:t>
      </w:r>
    </w:p>
    <w:p w:rsidR="005A08B6" w:rsidRPr="005A08B6" w:rsidRDefault="005A08B6" w:rsidP="00E732F1">
      <w:pPr>
        <w:pStyle w:val="ListParagraph"/>
        <w:numPr>
          <w:ilvl w:val="0"/>
          <w:numId w:val="13"/>
        </w:numPr>
        <w:rPr>
          <w:b/>
        </w:rPr>
      </w:pPr>
      <w:r>
        <w:rPr>
          <w:b/>
        </w:rPr>
        <w:t xml:space="preserve">Higher apprenticeships </w:t>
      </w:r>
      <w:r>
        <w:t>combine a program of structured on-the-job training with formal study leading to the award of a Diploma or Advanced Diploma.</w:t>
      </w:r>
    </w:p>
    <w:p w:rsidR="005A08B6" w:rsidRPr="005A08B6" w:rsidRDefault="005A08B6" w:rsidP="00E732F1">
      <w:pPr>
        <w:pStyle w:val="ListParagraph"/>
        <w:numPr>
          <w:ilvl w:val="0"/>
          <w:numId w:val="13"/>
        </w:numPr>
        <w:rPr>
          <w:b/>
        </w:rPr>
      </w:pPr>
      <w:r>
        <w:rPr>
          <w:b/>
        </w:rPr>
        <w:t xml:space="preserve">Pre-apprenticeships/traineeships </w:t>
      </w:r>
      <w:r>
        <w:t>are programs of training that prepare individuals for successful entry into an apprenticeship or traineeship and the workplace through a short training program which may combine general and industry specific competencies. They can include a range of elements such as work ready skills, experience that employer’s need and national accredited training to support the student gain employment, particularly in an apprenticeship or traineeship on completion.</w:t>
      </w:r>
    </w:p>
    <w:p w:rsidR="005A08B6" w:rsidRPr="005A08B6" w:rsidRDefault="005A08B6" w:rsidP="00E732F1">
      <w:pPr>
        <w:pStyle w:val="ListParagraph"/>
        <w:numPr>
          <w:ilvl w:val="0"/>
          <w:numId w:val="13"/>
        </w:numPr>
        <w:rPr>
          <w:b/>
        </w:rPr>
      </w:pPr>
      <w:r>
        <w:rPr>
          <w:b/>
        </w:rPr>
        <w:t xml:space="preserve">Like apprenticeships/traineeships, </w:t>
      </w:r>
      <w:r>
        <w:t>training that shares similar characteristics to an apprenticeship or traineeship, provided that training is at Certificate III or Certificate IV level.</w:t>
      </w:r>
    </w:p>
    <w:p w:rsidR="005A08B6" w:rsidRPr="005A08B6" w:rsidRDefault="005A08B6" w:rsidP="00E732F1">
      <w:pPr>
        <w:pStyle w:val="ListParagraph"/>
        <w:numPr>
          <w:ilvl w:val="0"/>
          <w:numId w:val="13"/>
        </w:numPr>
        <w:rPr>
          <w:b/>
        </w:rPr>
      </w:pPr>
      <w:r>
        <w:rPr>
          <w:b/>
        </w:rPr>
        <w:t xml:space="preserve">Mentoring </w:t>
      </w:r>
      <w:r>
        <w:t>provides on the job guidance and support in both personal and career growth. Mentoring, for the purpose of TWP, must provide intensive and structured one on one support to an apprentice or trainee that is supplementary to service provisions of Australian Apprenticeship Support Network.</w:t>
      </w:r>
    </w:p>
    <w:p w:rsidR="00E01E79" w:rsidRDefault="00E01E79" w:rsidP="00E01E79">
      <w:pPr>
        <w:pStyle w:val="ListParagraph"/>
        <w:ind w:left="720"/>
        <w:rPr>
          <w:lang w:eastAsia="en-AU"/>
        </w:rPr>
      </w:pPr>
    </w:p>
    <w:p w:rsidR="00E8137A" w:rsidRDefault="00E8137A" w:rsidP="00A43428">
      <w:pPr>
        <w:pStyle w:val="Heading2"/>
        <w:rPr>
          <w:lang w:eastAsia="en-AU"/>
        </w:rPr>
      </w:pPr>
      <w:bookmarkStart w:id="4" w:name="_Toc117063281"/>
      <w:r w:rsidRPr="00E8137A">
        <w:rPr>
          <w:lang w:eastAsia="en-AU"/>
        </w:rPr>
        <w:lastRenderedPageBreak/>
        <w:t xml:space="preserve">How </w:t>
      </w:r>
      <w:r w:rsidR="00FC5D03">
        <w:rPr>
          <w:lang w:eastAsia="en-AU"/>
        </w:rPr>
        <w:t>is</w:t>
      </w:r>
      <w:r w:rsidRPr="00E8137A">
        <w:rPr>
          <w:lang w:eastAsia="en-AU"/>
        </w:rPr>
        <w:t xml:space="preserve"> accr</w:t>
      </w:r>
      <w:r w:rsidR="00FC5D03">
        <w:rPr>
          <w:lang w:eastAsia="en-AU"/>
        </w:rPr>
        <w:t>edited component</w:t>
      </w:r>
      <w:r w:rsidRPr="00E8137A">
        <w:rPr>
          <w:lang w:eastAsia="en-AU"/>
        </w:rPr>
        <w:t xml:space="preserve"> costed</w:t>
      </w:r>
      <w:bookmarkEnd w:id="4"/>
    </w:p>
    <w:p w:rsidR="00E8137A" w:rsidRDefault="00E8137A" w:rsidP="0069359E">
      <w:pPr>
        <w:pStyle w:val="ListParagraph"/>
        <w:rPr>
          <w:lang w:eastAsia="en-AU"/>
        </w:rPr>
      </w:pPr>
      <w:r>
        <w:rPr>
          <w:lang w:eastAsia="en-AU"/>
        </w:rPr>
        <w:t>Where the training component is accredited training costing must be calculated using the current calendar year’s Annual Hours of Curriculum (AHC) rates set by the Department of Industry, Tourism and Trade. The calculation shall be the number of nominal hours of training for each participant multiplied by the relevant industry rate.</w:t>
      </w:r>
    </w:p>
    <w:p w:rsidR="00052DE6" w:rsidRDefault="00DA10CC" w:rsidP="0069359E">
      <w:pPr>
        <w:pStyle w:val="ListParagraph"/>
        <w:rPr>
          <w:lang w:eastAsia="en-AU"/>
        </w:rPr>
      </w:pPr>
      <w:r>
        <w:rPr>
          <w:lang w:eastAsia="en-AU"/>
        </w:rPr>
        <w:t xml:space="preserve">Each industry area has a different rate of funding per hour. Additional funding is available for training delivery in regional and remote communities. The Department of </w:t>
      </w:r>
      <w:r w:rsidR="0043264F">
        <w:rPr>
          <w:lang w:eastAsia="en-AU"/>
        </w:rPr>
        <w:t>Industry, Tourism and Trade</w:t>
      </w:r>
      <w:r w:rsidR="00052DE6">
        <w:rPr>
          <w:lang w:eastAsia="en-AU"/>
        </w:rPr>
        <w:t xml:space="preserve"> uses the Victorian Purchase Guides (VPG) for the allocation of Nominal Hours. The VPG can be accessed on the Victoria Government’s </w:t>
      </w:r>
      <w:hyperlink r:id="rId17" w:history="1">
        <w:r w:rsidR="00052DE6" w:rsidRPr="00052DE6">
          <w:rPr>
            <w:rStyle w:val="Hyperlink"/>
            <w:lang w:eastAsia="en-AU"/>
          </w:rPr>
          <w:t>Victorian purchasing guide’s page</w:t>
        </w:r>
      </w:hyperlink>
      <w:r w:rsidR="00052DE6">
        <w:rPr>
          <w:lang w:eastAsia="en-AU"/>
        </w:rPr>
        <w:t>.</w:t>
      </w:r>
      <w:r w:rsidR="007A7DC4">
        <w:rPr>
          <w:rStyle w:val="FootnoteReference"/>
          <w:lang w:eastAsia="en-AU"/>
        </w:rPr>
        <w:footnoteReference w:id="2"/>
      </w:r>
    </w:p>
    <w:p w:rsidR="00052DE6" w:rsidRDefault="00052DE6" w:rsidP="00052DE6">
      <w:pPr>
        <w:pStyle w:val="Heading1"/>
        <w:rPr>
          <w:noProof/>
          <w:lang w:eastAsia="en-AU"/>
        </w:rPr>
      </w:pPr>
      <w:bookmarkStart w:id="5" w:name="_Toc117063282"/>
      <w:r>
        <w:rPr>
          <w:noProof/>
          <w:lang w:eastAsia="en-AU"/>
        </w:rPr>
        <w:t>What can</w:t>
      </w:r>
      <w:r w:rsidR="00D34435">
        <w:rPr>
          <w:noProof/>
          <w:lang w:eastAsia="en-AU"/>
        </w:rPr>
        <w:t>not</w:t>
      </w:r>
      <w:r>
        <w:rPr>
          <w:noProof/>
          <w:lang w:eastAsia="en-AU"/>
        </w:rPr>
        <w:t xml:space="preserve"> be funded?</w:t>
      </w:r>
      <w:bookmarkEnd w:id="5"/>
    </w:p>
    <w:p w:rsidR="00052DE6" w:rsidRDefault="00052DE6" w:rsidP="00052DE6">
      <w:pPr>
        <w:rPr>
          <w:lang w:eastAsia="en-AU"/>
        </w:rPr>
      </w:pPr>
      <w:r>
        <w:rPr>
          <w:lang w:eastAsia="en-AU"/>
        </w:rPr>
        <w:t>Program funds cannot be used:</w:t>
      </w:r>
    </w:p>
    <w:p w:rsidR="00052DE6" w:rsidRDefault="00052DE6" w:rsidP="00E732F1">
      <w:pPr>
        <w:pStyle w:val="ListParagraph"/>
        <w:numPr>
          <w:ilvl w:val="0"/>
          <w:numId w:val="14"/>
        </w:numPr>
        <w:rPr>
          <w:lang w:eastAsia="en-AU"/>
        </w:rPr>
      </w:pPr>
      <w:r>
        <w:rPr>
          <w:lang w:eastAsia="en-AU"/>
        </w:rPr>
        <w:t>to duplicate existing initiatives funded by the Australian or NT Governments</w:t>
      </w:r>
    </w:p>
    <w:p w:rsidR="00052DE6" w:rsidRDefault="00052DE6" w:rsidP="00E732F1">
      <w:pPr>
        <w:pStyle w:val="ListParagraph"/>
        <w:numPr>
          <w:ilvl w:val="0"/>
          <w:numId w:val="14"/>
        </w:numPr>
        <w:rPr>
          <w:lang w:eastAsia="en-AU"/>
        </w:rPr>
      </w:pPr>
      <w:r>
        <w:rPr>
          <w:lang w:eastAsia="en-AU"/>
        </w:rPr>
        <w:t>where funding is available under other Department of Industry, Tourism and Trade programs</w:t>
      </w:r>
    </w:p>
    <w:p w:rsidR="00052DE6" w:rsidRDefault="00052DE6" w:rsidP="00E732F1">
      <w:pPr>
        <w:pStyle w:val="ListParagraph"/>
        <w:numPr>
          <w:ilvl w:val="0"/>
          <w:numId w:val="14"/>
        </w:numPr>
        <w:rPr>
          <w:lang w:eastAsia="en-AU"/>
        </w:rPr>
      </w:pPr>
      <w:r>
        <w:rPr>
          <w:lang w:eastAsia="en-AU"/>
        </w:rPr>
        <w:t>for capital expenditure</w:t>
      </w:r>
    </w:p>
    <w:p w:rsidR="00052DE6" w:rsidRDefault="00052DE6" w:rsidP="00E732F1">
      <w:pPr>
        <w:pStyle w:val="ListParagraph"/>
        <w:numPr>
          <w:ilvl w:val="0"/>
          <w:numId w:val="14"/>
        </w:numPr>
        <w:rPr>
          <w:lang w:eastAsia="en-AU"/>
        </w:rPr>
      </w:pPr>
      <w:r>
        <w:rPr>
          <w:lang w:eastAsia="en-AU"/>
        </w:rPr>
        <w:t>to support projects that provide commercial advantage, including during an open tendering process</w:t>
      </w:r>
    </w:p>
    <w:p w:rsidR="00052DE6" w:rsidRDefault="00052DE6" w:rsidP="00E732F1">
      <w:pPr>
        <w:pStyle w:val="ListParagraph"/>
        <w:numPr>
          <w:ilvl w:val="0"/>
          <w:numId w:val="14"/>
        </w:numPr>
        <w:rPr>
          <w:lang w:eastAsia="en-AU"/>
        </w:rPr>
      </w:pPr>
      <w:r>
        <w:rPr>
          <w:lang w:eastAsia="en-AU"/>
        </w:rPr>
        <w:t>for projects that only benefit a single business or organisation</w:t>
      </w:r>
    </w:p>
    <w:p w:rsidR="00052DE6" w:rsidRDefault="00052DE6" w:rsidP="00E732F1">
      <w:pPr>
        <w:pStyle w:val="ListParagraph"/>
        <w:numPr>
          <w:ilvl w:val="0"/>
          <w:numId w:val="14"/>
        </w:numPr>
        <w:rPr>
          <w:lang w:eastAsia="en-AU"/>
        </w:rPr>
      </w:pPr>
      <w:r>
        <w:rPr>
          <w:lang w:eastAsia="en-AU"/>
        </w:rPr>
        <w:t>for individuals, and</w:t>
      </w:r>
    </w:p>
    <w:p w:rsidR="00052DE6" w:rsidRDefault="00052DE6" w:rsidP="00E732F1">
      <w:pPr>
        <w:pStyle w:val="ListParagraph"/>
        <w:numPr>
          <w:ilvl w:val="0"/>
          <w:numId w:val="14"/>
        </w:numPr>
        <w:rPr>
          <w:lang w:eastAsia="en-AU"/>
        </w:rPr>
      </w:pPr>
      <w:r>
        <w:rPr>
          <w:lang w:eastAsia="en-AU"/>
        </w:rPr>
        <w:t>solely for wages.</w:t>
      </w:r>
    </w:p>
    <w:p w:rsidR="00854BA0" w:rsidRDefault="00854BA0" w:rsidP="00854BA0">
      <w:pPr>
        <w:pStyle w:val="Heading1"/>
        <w:rPr>
          <w:noProof/>
          <w:lang w:eastAsia="en-AU"/>
        </w:rPr>
      </w:pPr>
      <w:bookmarkStart w:id="6" w:name="_Toc117063283"/>
      <w:r>
        <w:rPr>
          <w:noProof/>
          <w:lang w:eastAsia="en-AU"/>
        </w:rPr>
        <w:t>How to apply?</w:t>
      </w:r>
      <w:bookmarkEnd w:id="6"/>
    </w:p>
    <w:p w:rsidR="00052DE6" w:rsidRDefault="00854BA0" w:rsidP="00A43428">
      <w:pPr>
        <w:rPr>
          <w:lang w:eastAsia="en-AU"/>
        </w:rPr>
      </w:pPr>
      <w:r>
        <w:rPr>
          <w:lang w:eastAsia="en-AU"/>
        </w:rPr>
        <w:t>As TWP is generally demand driven</w:t>
      </w:r>
      <w:r w:rsidR="00A43428">
        <w:rPr>
          <w:lang w:eastAsia="en-AU"/>
        </w:rPr>
        <w:t xml:space="preserve"> (non-competitive) applications will be accepted annually until all available funds are expended. Where a need is identified competitive rounds may be released.</w:t>
      </w:r>
    </w:p>
    <w:p w:rsidR="00A43428" w:rsidRDefault="00A43428" w:rsidP="00A43428">
      <w:pPr>
        <w:rPr>
          <w:lang w:eastAsia="en-AU"/>
        </w:rPr>
      </w:pPr>
      <w:r>
        <w:rPr>
          <w:lang w:eastAsia="en-AU"/>
        </w:rPr>
        <w:t xml:space="preserve">Applications must be submitted in the form of a business case and implementation plan identifying the need for the project or initiative and must meet the objectives stated in section 1 </w:t>
      </w:r>
      <w:r w:rsidR="00EC341C">
        <w:rPr>
          <w:lang w:eastAsia="en-AU"/>
        </w:rPr>
        <w:t xml:space="preserve">above </w:t>
      </w:r>
      <w:r>
        <w:rPr>
          <w:lang w:eastAsia="en-AU"/>
        </w:rPr>
        <w:t>and address outcomes as listed in section 3.</w:t>
      </w:r>
    </w:p>
    <w:p w:rsidR="00A43428" w:rsidRDefault="00A43428" w:rsidP="00A43428">
      <w:pPr>
        <w:rPr>
          <w:lang w:eastAsia="en-AU"/>
        </w:rPr>
      </w:pPr>
      <w:r>
        <w:rPr>
          <w:lang w:eastAsia="en-AU"/>
        </w:rPr>
        <w:t>Applications should be submitted by email</w:t>
      </w:r>
      <w:r w:rsidR="00AD13EB" w:rsidRPr="00AD13EB">
        <w:t xml:space="preserve"> </w:t>
      </w:r>
      <w:r w:rsidR="00AD13EB">
        <w:t>to trainingoperations@nt.gov.au</w:t>
      </w:r>
      <w:r w:rsidR="00AD13EB" w:rsidRPr="00245002">
        <w:t>.</w:t>
      </w:r>
    </w:p>
    <w:p w:rsidR="00A43428" w:rsidRDefault="00A43428" w:rsidP="00A43428">
      <w:pPr>
        <w:rPr>
          <w:lang w:eastAsia="en-AU"/>
        </w:rPr>
      </w:pPr>
      <w:r>
        <w:rPr>
          <w:lang w:eastAsia="en-AU"/>
        </w:rPr>
        <w:t>Applications will be treated as confidential.</w:t>
      </w:r>
    </w:p>
    <w:p w:rsidR="00A43428" w:rsidRDefault="00A43428" w:rsidP="00A43428">
      <w:pPr>
        <w:rPr>
          <w:lang w:eastAsia="en-AU"/>
        </w:rPr>
      </w:pPr>
      <w:r>
        <w:rPr>
          <w:lang w:eastAsia="en-AU"/>
        </w:rPr>
        <w:t>As part of the assessment, the department may consult with and provide material from the application to other government agencies or bodies, other organisations and/or relevant individuals, in order to substantiate any claims or statements made in the application, or to otherwise assist in the assessment of the application. If this occurs, the department will endeavour to ensure that the parties who are consulted observe appropriate confidentiality.</w:t>
      </w:r>
    </w:p>
    <w:p w:rsidR="00CF7B0D" w:rsidRDefault="00CF7B0D" w:rsidP="00A43428">
      <w:pPr>
        <w:rPr>
          <w:lang w:eastAsia="en-AU"/>
        </w:rPr>
      </w:pPr>
    </w:p>
    <w:p w:rsidR="00981DD2" w:rsidRDefault="00981DD2" w:rsidP="00A43428">
      <w:pPr>
        <w:rPr>
          <w:lang w:eastAsia="en-AU"/>
        </w:rPr>
      </w:pPr>
    </w:p>
    <w:p w:rsidR="00A43428" w:rsidRDefault="00A43428" w:rsidP="00A43428">
      <w:pPr>
        <w:pStyle w:val="Heading2"/>
        <w:rPr>
          <w:lang w:eastAsia="en-AU"/>
        </w:rPr>
      </w:pPr>
      <w:bookmarkStart w:id="7" w:name="_Toc117063284"/>
      <w:r>
        <w:rPr>
          <w:lang w:eastAsia="en-AU"/>
        </w:rPr>
        <w:lastRenderedPageBreak/>
        <w:t>Additional application requirements</w:t>
      </w:r>
      <w:bookmarkEnd w:id="7"/>
    </w:p>
    <w:p w:rsidR="00A43428" w:rsidRDefault="00A43428" w:rsidP="00A43428">
      <w:pPr>
        <w:rPr>
          <w:lang w:eastAsia="en-AU"/>
        </w:rPr>
      </w:pPr>
      <w:r>
        <w:rPr>
          <w:lang w:eastAsia="en-AU"/>
        </w:rPr>
        <w:t>Applications must demonstrate:</w:t>
      </w:r>
    </w:p>
    <w:p w:rsidR="00A43428" w:rsidRDefault="007E580C" w:rsidP="00E732F1">
      <w:pPr>
        <w:pStyle w:val="ListParagraph"/>
        <w:numPr>
          <w:ilvl w:val="0"/>
          <w:numId w:val="15"/>
        </w:numPr>
        <w:rPr>
          <w:lang w:eastAsia="en-AU"/>
        </w:rPr>
      </w:pPr>
      <w:r>
        <w:rPr>
          <w:lang w:eastAsia="en-AU"/>
        </w:rPr>
        <w:t>l</w:t>
      </w:r>
      <w:r w:rsidR="00A43428">
        <w:rPr>
          <w:lang w:eastAsia="en-AU"/>
        </w:rPr>
        <w:t>inks to employment for industry workforce strategies and 70% employment outcomes for workforce development projects</w:t>
      </w:r>
    </w:p>
    <w:p w:rsidR="00A43428" w:rsidRDefault="007E580C" w:rsidP="00E732F1">
      <w:pPr>
        <w:pStyle w:val="ListParagraph"/>
        <w:numPr>
          <w:ilvl w:val="0"/>
          <w:numId w:val="15"/>
        </w:numPr>
        <w:rPr>
          <w:lang w:eastAsia="en-AU"/>
        </w:rPr>
      </w:pPr>
      <w:r>
        <w:rPr>
          <w:lang w:eastAsia="en-AU"/>
        </w:rPr>
        <w:t>e</w:t>
      </w:r>
      <w:r w:rsidR="00A43428">
        <w:rPr>
          <w:lang w:eastAsia="en-AU"/>
        </w:rPr>
        <w:t>xpected employment outcomes, including upskilling and transitioning to new jobs</w:t>
      </w:r>
    </w:p>
    <w:p w:rsidR="00507D43" w:rsidRDefault="007E580C" w:rsidP="00E732F1">
      <w:pPr>
        <w:pStyle w:val="ListParagraph"/>
        <w:numPr>
          <w:ilvl w:val="0"/>
          <w:numId w:val="15"/>
        </w:numPr>
        <w:rPr>
          <w:lang w:eastAsia="en-AU"/>
        </w:rPr>
      </w:pPr>
      <w:r>
        <w:rPr>
          <w:lang w:eastAsia="en-AU"/>
        </w:rPr>
        <w:t>i</w:t>
      </w:r>
      <w:r w:rsidR="00507D43">
        <w:rPr>
          <w:lang w:eastAsia="en-AU"/>
        </w:rPr>
        <w:t>nnovative approaches to workforce development</w:t>
      </w:r>
    </w:p>
    <w:p w:rsidR="00507D43" w:rsidRDefault="007E580C" w:rsidP="00E732F1">
      <w:pPr>
        <w:pStyle w:val="ListParagraph"/>
        <w:numPr>
          <w:ilvl w:val="0"/>
          <w:numId w:val="15"/>
        </w:numPr>
        <w:rPr>
          <w:lang w:eastAsia="en-AU"/>
        </w:rPr>
      </w:pPr>
      <w:r>
        <w:rPr>
          <w:lang w:eastAsia="en-AU"/>
        </w:rPr>
        <w:t>p</w:t>
      </w:r>
      <w:r w:rsidR="00507D43">
        <w:rPr>
          <w:lang w:eastAsia="en-AU"/>
        </w:rPr>
        <w:t>roposals which include nationally recognised training components, unless otherwise agreed prior to application being submitted</w:t>
      </w:r>
    </w:p>
    <w:p w:rsidR="00507D43" w:rsidRDefault="007E580C" w:rsidP="00E732F1">
      <w:pPr>
        <w:pStyle w:val="ListParagraph"/>
        <w:numPr>
          <w:ilvl w:val="0"/>
          <w:numId w:val="15"/>
        </w:numPr>
        <w:rPr>
          <w:lang w:eastAsia="en-AU"/>
        </w:rPr>
      </w:pPr>
      <w:r>
        <w:rPr>
          <w:lang w:eastAsia="en-AU"/>
        </w:rPr>
        <w:t>e</w:t>
      </w:r>
      <w:r w:rsidR="00507D43">
        <w:rPr>
          <w:lang w:eastAsia="en-AU"/>
        </w:rPr>
        <w:t>vidence that the proposal is project ready, and</w:t>
      </w:r>
    </w:p>
    <w:p w:rsidR="00507D43" w:rsidRDefault="007E580C" w:rsidP="00E732F1">
      <w:pPr>
        <w:pStyle w:val="ListParagraph"/>
        <w:numPr>
          <w:ilvl w:val="0"/>
          <w:numId w:val="15"/>
        </w:numPr>
        <w:rPr>
          <w:lang w:eastAsia="en-AU"/>
        </w:rPr>
      </w:pPr>
      <w:r>
        <w:rPr>
          <w:lang w:eastAsia="en-AU"/>
        </w:rPr>
        <w:t>e</w:t>
      </w:r>
      <w:r w:rsidR="00507D43">
        <w:rPr>
          <w:lang w:eastAsia="en-AU"/>
        </w:rPr>
        <w:t>vidence of market testing and market readiness.</w:t>
      </w:r>
    </w:p>
    <w:p w:rsidR="00507D43" w:rsidRDefault="00507D43" w:rsidP="00507D43">
      <w:pPr>
        <w:rPr>
          <w:lang w:eastAsia="en-AU"/>
        </w:rPr>
      </w:pPr>
      <w:r>
        <w:rPr>
          <w:lang w:eastAsia="en-AU"/>
        </w:rPr>
        <w:t>Applications which provide co-contribution models will be favourably considered.</w:t>
      </w:r>
    </w:p>
    <w:p w:rsidR="00507D43" w:rsidRDefault="00507D43" w:rsidP="00507D43">
      <w:pPr>
        <w:rPr>
          <w:rStyle w:val="Hyperlink"/>
        </w:rPr>
      </w:pPr>
      <w:r>
        <w:rPr>
          <w:lang w:eastAsia="en-AU"/>
        </w:rPr>
        <w:t xml:space="preserve">The NT Government actively supports local business through </w:t>
      </w:r>
      <w:r w:rsidR="007E580C">
        <w:rPr>
          <w:lang w:eastAsia="en-AU"/>
        </w:rPr>
        <w:t xml:space="preserve">procuring its goods and services in accordance with the Buy Local Plan. Government grant recipients are strongly encouraged to adopt similar principles where procuring their own goods and services. For more information visit </w:t>
      </w:r>
      <w:hyperlink r:id="rId18" w:history="1">
        <w:r w:rsidR="007E580C" w:rsidRPr="00594C16">
          <w:rPr>
            <w:rStyle w:val="Hyperlink"/>
          </w:rPr>
          <w:t>Buy Local NT</w:t>
        </w:r>
      </w:hyperlink>
      <w:r w:rsidR="00594C16">
        <w:t>.</w:t>
      </w:r>
      <w:r w:rsidR="00594C16">
        <w:rPr>
          <w:rStyle w:val="FootnoteReference"/>
          <w:color w:val="0563C1" w:themeColor="hyperlink"/>
          <w:u w:val="single"/>
        </w:rPr>
        <w:footnoteReference w:id="3"/>
      </w:r>
    </w:p>
    <w:p w:rsidR="007E580C" w:rsidRDefault="007E580C" w:rsidP="007E580C">
      <w:pPr>
        <w:pStyle w:val="Heading2"/>
        <w:rPr>
          <w:lang w:eastAsia="en-AU"/>
        </w:rPr>
      </w:pPr>
      <w:bookmarkStart w:id="8" w:name="_Toc117063285"/>
      <w:r>
        <w:rPr>
          <w:lang w:eastAsia="en-AU"/>
        </w:rPr>
        <w:t>Eligible activities</w:t>
      </w:r>
      <w:bookmarkEnd w:id="8"/>
    </w:p>
    <w:p w:rsidR="007E580C" w:rsidRDefault="007E580C" w:rsidP="007E580C">
      <w:pPr>
        <w:rPr>
          <w:lang w:eastAsia="en-AU"/>
        </w:rPr>
      </w:pPr>
      <w:r>
        <w:rPr>
          <w:lang w:eastAsia="en-AU"/>
        </w:rPr>
        <w:t>Eligible activities must directly relate to employment and can include, but are not limited to:</w:t>
      </w:r>
    </w:p>
    <w:p w:rsidR="007E580C" w:rsidRDefault="007E580C" w:rsidP="00E732F1">
      <w:pPr>
        <w:pStyle w:val="ListParagraph"/>
        <w:numPr>
          <w:ilvl w:val="0"/>
          <w:numId w:val="16"/>
        </w:numPr>
        <w:rPr>
          <w:lang w:eastAsia="en-AU"/>
        </w:rPr>
      </w:pPr>
      <w:r>
        <w:rPr>
          <w:lang w:eastAsia="en-AU"/>
        </w:rPr>
        <w:t>services, practices and systems; pre-employment or pre-apprenticeship; foundation skills and mentoring support</w:t>
      </w:r>
    </w:p>
    <w:p w:rsidR="007E580C" w:rsidRDefault="007E580C" w:rsidP="00E732F1">
      <w:pPr>
        <w:pStyle w:val="ListParagraph"/>
        <w:numPr>
          <w:ilvl w:val="0"/>
          <w:numId w:val="16"/>
        </w:numPr>
        <w:rPr>
          <w:lang w:eastAsia="en-AU"/>
        </w:rPr>
      </w:pPr>
      <w:r>
        <w:rPr>
          <w:lang w:eastAsia="en-AU"/>
        </w:rPr>
        <w:t>apprentice and trainee projects that meet market demand</w:t>
      </w:r>
    </w:p>
    <w:p w:rsidR="007E580C" w:rsidRDefault="007E580C" w:rsidP="00E732F1">
      <w:pPr>
        <w:pStyle w:val="ListParagraph"/>
        <w:numPr>
          <w:ilvl w:val="0"/>
          <w:numId w:val="16"/>
        </w:numPr>
        <w:rPr>
          <w:lang w:eastAsia="en-AU"/>
        </w:rPr>
      </w:pPr>
      <w:r>
        <w:rPr>
          <w:lang w:eastAsia="en-AU"/>
        </w:rPr>
        <w:t xml:space="preserve">nationally recognise training, including skills sets and units of competency </w:t>
      </w:r>
    </w:p>
    <w:p w:rsidR="007E580C" w:rsidRDefault="007E580C" w:rsidP="00E732F1">
      <w:pPr>
        <w:pStyle w:val="ListParagraph"/>
        <w:numPr>
          <w:ilvl w:val="0"/>
          <w:numId w:val="16"/>
        </w:numPr>
        <w:rPr>
          <w:lang w:eastAsia="en-AU"/>
        </w:rPr>
      </w:pPr>
      <w:r>
        <w:rPr>
          <w:lang w:eastAsia="en-AU"/>
        </w:rPr>
        <w:t>internal staff training that directly supports the achievement of project outcomes</w:t>
      </w:r>
    </w:p>
    <w:p w:rsidR="007E580C" w:rsidRDefault="007E580C" w:rsidP="00E732F1">
      <w:pPr>
        <w:pStyle w:val="ListParagraph"/>
        <w:numPr>
          <w:ilvl w:val="0"/>
          <w:numId w:val="16"/>
        </w:numPr>
        <w:rPr>
          <w:lang w:eastAsia="en-AU"/>
        </w:rPr>
      </w:pPr>
      <w:r>
        <w:rPr>
          <w:lang w:eastAsia="en-AU"/>
        </w:rPr>
        <w:t>incidental costs related to procuring training</w:t>
      </w:r>
    </w:p>
    <w:p w:rsidR="007E580C" w:rsidRDefault="007E580C" w:rsidP="00E732F1">
      <w:pPr>
        <w:pStyle w:val="ListParagraph"/>
        <w:numPr>
          <w:ilvl w:val="0"/>
          <w:numId w:val="16"/>
        </w:numPr>
        <w:rPr>
          <w:lang w:eastAsia="en-AU"/>
        </w:rPr>
      </w:pPr>
      <w:r>
        <w:rPr>
          <w:lang w:eastAsia="en-AU"/>
        </w:rPr>
        <w:t>administration fee, and</w:t>
      </w:r>
    </w:p>
    <w:p w:rsidR="007E580C" w:rsidRDefault="007E580C" w:rsidP="00E732F1">
      <w:pPr>
        <w:pStyle w:val="ListParagraph"/>
        <w:numPr>
          <w:ilvl w:val="0"/>
          <w:numId w:val="16"/>
        </w:numPr>
        <w:rPr>
          <w:lang w:eastAsia="en-AU"/>
        </w:rPr>
      </w:pPr>
      <w:r>
        <w:rPr>
          <w:lang w:eastAsia="en-AU"/>
        </w:rPr>
        <w:t>the Department can vary the eligible activities at any time.</w:t>
      </w:r>
    </w:p>
    <w:p w:rsidR="007E580C" w:rsidRDefault="007E580C" w:rsidP="007E580C">
      <w:pPr>
        <w:pStyle w:val="Heading1"/>
        <w:rPr>
          <w:lang w:eastAsia="en-AU"/>
        </w:rPr>
      </w:pPr>
      <w:bookmarkStart w:id="9" w:name="_Toc117063286"/>
      <w:r>
        <w:rPr>
          <w:lang w:eastAsia="en-AU"/>
        </w:rPr>
        <w:t>Assessment of applications</w:t>
      </w:r>
      <w:bookmarkEnd w:id="9"/>
    </w:p>
    <w:p w:rsidR="007E580C" w:rsidRDefault="007E580C" w:rsidP="007E580C">
      <w:pPr>
        <w:rPr>
          <w:lang w:eastAsia="en-AU"/>
        </w:rPr>
      </w:pPr>
      <w:r>
        <w:rPr>
          <w:lang w:eastAsia="en-AU"/>
        </w:rPr>
        <w:t>Applications will be assessed against the objectives stated in section 1 above, outcomes as listed in section 3 and additional requirements as provided in section 5.1; and on the appropriateness of the budget submitted.</w:t>
      </w:r>
    </w:p>
    <w:p w:rsidR="007E580C" w:rsidRDefault="007E580C" w:rsidP="007E580C">
      <w:pPr>
        <w:rPr>
          <w:lang w:eastAsia="en-AU"/>
        </w:rPr>
      </w:pPr>
      <w:r>
        <w:rPr>
          <w:lang w:eastAsia="en-AU"/>
        </w:rPr>
        <w:t>Applications will also be considered on the basis of:</w:t>
      </w:r>
    </w:p>
    <w:p w:rsidR="007E580C" w:rsidRDefault="007E580C" w:rsidP="00E732F1">
      <w:pPr>
        <w:pStyle w:val="ListParagraph"/>
        <w:numPr>
          <w:ilvl w:val="0"/>
          <w:numId w:val="17"/>
        </w:numPr>
        <w:rPr>
          <w:lang w:eastAsia="en-AU"/>
        </w:rPr>
      </w:pPr>
      <w:r>
        <w:rPr>
          <w:lang w:eastAsia="en-AU"/>
        </w:rPr>
        <w:t>value for money</w:t>
      </w:r>
    </w:p>
    <w:p w:rsidR="007E580C" w:rsidRDefault="007E580C" w:rsidP="00E732F1">
      <w:pPr>
        <w:pStyle w:val="ListParagraph"/>
        <w:numPr>
          <w:ilvl w:val="0"/>
          <w:numId w:val="17"/>
        </w:numPr>
        <w:rPr>
          <w:lang w:eastAsia="en-AU"/>
        </w:rPr>
      </w:pPr>
      <w:r>
        <w:rPr>
          <w:lang w:eastAsia="en-AU"/>
        </w:rPr>
        <w:t>project viability</w:t>
      </w:r>
    </w:p>
    <w:p w:rsidR="007E580C" w:rsidRDefault="007E580C" w:rsidP="00E732F1">
      <w:pPr>
        <w:pStyle w:val="ListParagraph"/>
        <w:numPr>
          <w:ilvl w:val="0"/>
          <w:numId w:val="17"/>
        </w:numPr>
        <w:rPr>
          <w:lang w:eastAsia="en-AU"/>
        </w:rPr>
      </w:pPr>
      <w:r>
        <w:rPr>
          <w:lang w:eastAsia="en-AU"/>
        </w:rPr>
        <w:t>relative merit</w:t>
      </w:r>
    </w:p>
    <w:p w:rsidR="007E580C" w:rsidRDefault="007E580C" w:rsidP="00E732F1">
      <w:pPr>
        <w:pStyle w:val="ListParagraph"/>
        <w:numPr>
          <w:ilvl w:val="0"/>
          <w:numId w:val="17"/>
        </w:numPr>
        <w:rPr>
          <w:lang w:eastAsia="en-AU"/>
        </w:rPr>
      </w:pPr>
      <w:r>
        <w:rPr>
          <w:lang w:eastAsia="en-AU"/>
        </w:rPr>
        <w:lastRenderedPageBreak/>
        <w:t xml:space="preserve">geographic coverage </w:t>
      </w:r>
    </w:p>
    <w:p w:rsidR="007E580C" w:rsidRDefault="007E580C" w:rsidP="007E580C">
      <w:pPr>
        <w:pStyle w:val="Heading2"/>
        <w:rPr>
          <w:lang w:eastAsia="en-AU"/>
        </w:rPr>
      </w:pPr>
      <w:bookmarkStart w:id="10" w:name="_Toc117063287"/>
      <w:r>
        <w:rPr>
          <w:lang w:eastAsia="en-AU"/>
        </w:rPr>
        <w:t>Viability</w:t>
      </w:r>
      <w:bookmarkEnd w:id="10"/>
    </w:p>
    <w:p w:rsidR="007E580C" w:rsidRDefault="007E580C" w:rsidP="007E580C">
      <w:pPr>
        <w:rPr>
          <w:lang w:eastAsia="en-AU"/>
        </w:rPr>
      </w:pPr>
      <w:r>
        <w:rPr>
          <w:lang w:eastAsia="en-AU"/>
        </w:rPr>
        <w:t>Applicants must be about to demonstrate that:</w:t>
      </w:r>
    </w:p>
    <w:p w:rsidR="007E580C" w:rsidRDefault="007E580C" w:rsidP="00E732F1">
      <w:pPr>
        <w:pStyle w:val="ListParagraph"/>
        <w:numPr>
          <w:ilvl w:val="0"/>
          <w:numId w:val="18"/>
        </w:numPr>
        <w:rPr>
          <w:lang w:eastAsia="en-AU"/>
        </w:rPr>
      </w:pPr>
      <w:r>
        <w:rPr>
          <w:lang w:eastAsia="en-AU"/>
        </w:rPr>
        <w:t>They have the ability and expertise to manage and deliver their proposal and all its elements; and</w:t>
      </w:r>
    </w:p>
    <w:p w:rsidR="007E580C" w:rsidRDefault="007E580C" w:rsidP="00E732F1">
      <w:pPr>
        <w:pStyle w:val="ListParagraph"/>
        <w:numPr>
          <w:ilvl w:val="0"/>
          <w:numId w:val="18"/>
        </w:numPr>
        <w:rPr>
          <w:lang w:eastAsia="en-AU"/>
        </w:rPr>
      </w:pPr>
      <w:r>
        <w:rPr>
          <w:lang w:eastAsia="en-AU"/>
        </w:rPr>
        <w:t>The proposal is viable and, if untested, that they can manage any risk.</w:t>
      </w:r>
    </w:p>
    <w:p w:rsidR="007E580C" w:rsidRDefault="007E580C" w:rsidP="007E580C">
      <w:pPr>
        <w:rPr>
          <w:lang w:eastAsia="en-AU"/>
        </w:rPr>
      </w:pPr>
      <w:r>
        <w:rPr>
          <w:lang w:eastAsia="en-AU"/>
        </w:rPr>
        <w:t>The Department will conduct business checks and other due diligence as part of the application assessment.</w:t>
      </w:r>
    </w:p>
    <w:p w:rsidR="007E580C" w:rsidRDefault="007E580C" w:rsidP="007E580C">
      <w:pPr>
        <w:rPr>
          <w:lang w:eastAsia="en-AU"/>
        </w:rPr>
      </w:pPr>
      <w:r>
        <w:rPr>
          <w:lang w:eastAsia="en-AU"/>
        </w:rPr>
        <w:t>In the case of partnership projects, advice may be sought from appropriate organisations to assist in ascertaining the viability and relevance of the proposed project and / or contribute to its development.</w:t>
      </w:r>
    </w:p>
    <w:p w:rsidR="007E580C" w:rsidRDefault="007E580C" w:rsidP="007E580C">
      <w:pPr>
        <w:pStyle w:val="Heading1"/>
        <w:rPr>
          <w:lang w:eastAsia="en-AU"/>
        </w:rPr>
      </w:pPr>
      <w:bookmarkStart w:id="11" w:name="_Toc117063288"/>
      <w:r>
        <w:rPr>
          <w:lang w:eastAsia="en-AU"/>
        </w:rPr>
        <w:t>Grant agreements</w:t>
      </w:r>
      <w:bookmarkEnd w:id="11"/>
    </w:p>
    <w:p w:rsidR="007E580C" w:rsidRDefault="007E580C" w:rsidP="007E580C">
      <w:pPr>
        <w:rPr>
          <w:lang w:eastAsia="en-AU"/>
        </w:rPr>
      </w:pPr>
      <w:r>
        <w:rPr>
          <w:lang w:eastAsia="en-AU"/>
        </w:rPr>
        <w:t>Successful applicants will have 30 days in which to accept or decline a grant offer.</w:t>
      </w:r>
    </w:p>
    <w:p w:rsidR="007E580C" w:rsidRDefault="007E580C" w:rsidP="007E580C">
      <w:pPr>
        <w:rPr>
          <w:lang w:eastAsia="en-AU"/>
        </w:rPr>
      </w:pPr>
      <w:r>
        <w:rPr>
          <w:lang w:eastAsia="en-AU"/>
        </w:rPr>
        <w:t>The Department of Industry, Tourism and Trade, on behalf of the NT Government, will establish funding agreements with successful applicants. Establishment of an agreement is contingent on the applicant demonstrating that they have satisfactory project management arrangements in places. The Department may ask the organisation to provide evidence to support projects costs.</w:t>
      </w:r>
    </w:p>
    <w:p w:rsidR="007E580C" w:rsidRDefault="00F2173B" w:rsidP="007E580C">
      <w:pPr>
        <w:rPr>
          <w:lang w:eastAsia="en-AU"/>
        </w:rPr>
      </w:pPr>
      <w:r>
        <w:rPr>
          <w:lang w:eastAsia="en-AU"/>
        </w:rPr>
        <w:t>Grant agreements will include a schedule of payments and agreed key performance indicators that are linked to progress payments.</w:t>
      </w:r>
    </w:p>
    <w:p w:rsidR="00F2173B" w:rsidRDefault="00F2173B" w:rsidP="007E580C">
      <w:pPr>
        <w:rPr>
          <w:lang w:eastAsia="en-AU"/>
        </w:rPr>
      </w:pPr>
      <w:r>
        <w:rPr>
          <w:lang w:eastAsia="en-AU"/>
        </w:rPr>
        <w:t>Grant recipients will be required to provide outcomes reports as set out in the funding agreement, which will include outcomes reports at six (6) and 12 months after completion of project, unless otherwise agree. Grant recipients will also be required to acquit the grant.</w:t>
      </w:r>
    </w:p>
    <w:p w:rsidR="00F2173B" w:rsidRDefault="00F2173B" w:rsidP="007E580C">
      <w:pPr>
        <w:rPr>
          <w:lang w:eastAsia="en-AU"/>
        </w:rPr>
      </w:pPr>
      <w:r>
        <w:rPr>
          <w:lang w:eastAsia="en-AU"/>
        </w:rPr>
        <w:t xml:space="preserve">A grant recipient must keep in force a policy of insurance for the public risk including personal injury, death and property damage arising out or in conjunction with, or in relation to the project for a minimum of </w:t>
      </w:r>
      <w:r w:rsidR="00981DD2">
        <w:rPr>
          <w:lang w:eastAsia="en-AU"/>
        </w:rPr>
        <w:t xml:space="preserve">   </w:t>
      </w:r>
      <w:r>
        <w:rPr>
          <w:lang w:eastAsia="en-AU"/>
        </w:rPr>
        <w:t>$10 000 000 (ten million dollars) in relation to any single event.</w:t>
      </w:r>
    </w:p>
    <w:p w:rsidR="00F2173B" w:rsidRDefault="00F2173B" w:rsidP="00F2173B">
      <w:pPr>
        <w:pStyle w:val="Heading1"/>
        <w:rPr>
          <w:lang w:eastAsia="en-AU"/>
        </w:rPr>
      </w:pPr>
      <w:bookmarkStart w:id="12" w:name="_Toc117063289"/>
      <w:r>
        <w:rPr>
          <w:lang w:eastAsia="en-AU"/>
        </w:rPr>
        <w:t>Evaluation</w:t>
      </w:r>
      <w:bookmarkEnd w:id="12"/>
    </w:p>
    <w:p w:rsidR="00F2173B" w:rsidRDefault="00F2173B" w:rsidP="00F2173B">
      <w:pPr>
        <w:rPr>
          <w:lang w:eastAsia="en-AU"/>
        </w:rPr>
      </w:pPr>
      <w:r>
        <w:rPr>
          <w:lang w:eastAsia="en-AU"/>
        </w:rPr>
        <w:t>Individual projects will be evaluated as per the agreement, which may include some or all of the following:</w:t>
      </w:r>
    </w:p>
    <w:p w:rsidR="00F2173B" w:rsidRDefault="00F2173B" w:rsidP="00E732F1">
      <w:pPr>
        <w:pStyle w:val="ListParagraph"/>
        <w:numPr>
          <w:ilvl w:val="0"/>
          <w:numId w:val="19"/>
        </w:numPr>
        <w:rPr>
          <w:lang w:eastAsia="en-AU"/>
        </w:rPr>
      </w:pPr>
      <w:r>
        <w:rPr>
          <w:lang w:eastAsia="en-AU"/>
        </w:rPr>
        <w:t>project deliverables</w:t>
      </w:r>
    </w:p>
    <w:p w:rsidR="00F2173B" w:rsidRDefault="00F2173B" w:rsidP="00E732F1">
      <w:pPr>
        <w:pStyle w:val="ListParagraph"/>
        <w:numPr>
          <w:ilvl w:val="0"/>
          <w:numId w:val="19"/>
        </w:numPr>
        <w:rPr>
          <w:lang w:eastAsia="en-AU"/>
        </w:rPr>
      </w:pPr>
      <w:r>
        <w:rPr>
          <w:lang w:eastAsia="en-AU"/>
        </w:rPr>
        <w:t>key performance indicators met</w:t>
      </w:r>
    </w:p>
    <w:p w:rsidR="00F2173B" w:rsidRDefault="00F2173B" w:rsidP="00E732F1">
      <w:pPr>
        <w:pStyle w:val="ListParagraph"/>
        <w:numPr>
          <w:ilvl w:val="0"/>
          <w:numId w:val="19"/>
        </w:numPr>
        <w:rPr>
          <w:lang w:eastAsia="en-AU"/>
        </w:rPr>
      </w:pPr>
      <w:r>
        <w:rPr>
          <w:lang w:eastAsia="en-AU"/>
        </w:rPr>
        <w:t>stated outcomes (section 3) addressed</w:t>
      </w:r>
    </w:p>
    <w:p w:rsidR="00F2173B" w:rsidRDefault="00F2173B" w:rsidP="00E732F1">
      <w:pPr>
        <w:pStyle w:val="ListParagraph"/>
        <w:numPr>
          <w:ilvl w:val="0"/>
          <w:numId w:val="19"/>
        </w:numPr>
        <w:rPr>
          <w:lang w:eastAsia="en-AU"/>
        </w:rPr>
      </w:pPr>
      <w:r>
        <w:rPr>
          <w:lang w:eastAsia="en-AU"/>
        </w:rPr>
        <w:t>employment progress or outcomes</w:t>
      </w:r>
    </w:p>
    <w:p w:rsidR="00F2173B" w:rsidRDefault="00F2173B" w:rsidP="00E732F1">
      <w:pPr>
        <w:pStyle w:val="ListParagraph"/>
        <w:numPr>
          <w:ilvl w:val="0"/>
          <w:numId w:val="19"/>
        </w:numPr>
        <w:rPr>
          <w:lang w:eastAsia="en-AU"/>
        </w:rPr>
      </w:pPr>
      <w:r>
        <w:rPr>
          <w:lang w:eastAsia="en-AU"/>
        </w:rPr>
        <w:t>training outcomes</w:t>
      </w:r>
    </w:p>
    <w:p w:rsidR="00F2173B" w:rsidRDefault="00F2173B" w:rsidP="00E732F1">
      <w:pPr>
        <w:pStyle w:val="ListParagraph"/>
        <w:numPr>
          <w:ilvl w:val="0"/>
          <w:numId w:val="19"/>
        </w:numPr>
        <w:rPr>
          <w:lang w:eastAsia="en-AU"/>
        </w:rPr>
      </w:pPr>
      <w:r>
        <w:rPr>
          <w:lang w:eastAsia="en-AU"/>
        </w:rPr>
        <w:t>project expenditure of grant funds, and</w:t>
      </w:r>
    </w:p>
    <w:p w:rsidR="00F2173B" w:rsidRDefault="00F2173B" w:rsidP="00E732F1">
      <w:pPr>
        <w:pStyle w:val="ListParagraph"/>
        <w:numPr>
          <w:ilvl w:val="0"/>
          <w:numId w:val="19"/>
        </w:numPr>
        <w:rPr>
          <w:lang w:eastAsia="en-AU"/>
        </w:rPr>
      </w:pPr>
      <w:r>
        <w:rPr>
          <w:lang w:eastAsia="en-AU"/>
        </w:rPr>
        <w:t>AVETMISS Reports.</w:t>
      </w:r>
    </w:p>
    <w:p w:rsidR="00F2173B" w:rsidRDefault="00F2173B" w:rsidP="00F2173B">
      <w:pPr>
        <w:rPr>
          <w:lang w:eastAsia="en-AU"/>
        </w:rPr>
      </w:pPr>
    </w:p>
    <w:p w:rsidR="00F2173B" w:rsidRDefault="00F2173B" w:rsidP="00F2173B">
      <w:pPr>
        <w:rPr>
          <w:lang w:eastAsia="en-AU"/>
        </w:rPr>
      </w:pPr>
    </w:p>
    <w:p w:rsidR="00F2173B" w:rsidRDefault="00F2173B" w:rsidP="00F2173B">
      <w:pPr>
        <w:pStyle w:val="Heading1"/>
        <w:rPr>
          <w:lang w:eastAsia="en-AU"/>
        </w:rPr>
      </w:pPr>
      <w:bookmarkStart w:id="13" w:name="_Toc117063290"/>
      <w:r>
        <w:rPr>
          <w:lang w:eastAsia="en-AU"/>
        </w:rPr>
        <w:lastRenderedPageBreak/>
        <w:t>Publication, promotion and intellectual property</w:t>
      </w:r>
      <w:bookmarkEnd w:id="13"/>
    </w:p>
    <w:p w:rsidR="00F2173B" w:rsidRDefault="00013FD7" w:rsidP="00F2173B">
      <w:pPr>
        <w:rPr>
          <w:lang w:eastAsia="en-AU"/>
        </w:rPr>
      </w:pPr>
      <w:r>
        <w:rPr>
          <w:lang w:eastAsia="en-AU"/>
        </w:rPr>
        <w:t>Grant payments will become a matter of public record.</w:t>
      </w:r>
    </w:p>
    <w:p w:rsidR="00013FD7" w:rsidRDefault="00013FD7" w:rsidP="00F2173B">
      <w:pPr>
        <w:rPr>
          <w:lang w:eastAsia="en-AU"/>
        </w:rPr>
      </w:pPr>
      <w:r>
        <w:rPr>
          <w:lang w:eastAsia="en-AU"/>
        </w:rPr>
        <w:t>The Department retains the right to publicise information, including the good practice models, case studies, data and resources developed as a result of grant funding. The privacy of individuals will be respected.</w:t>
      </w:r>
    </w:p>
    <w:p w:rsidR="00013FD7" w:rsidRDefault="00013FD7" w:rsidP="00F2173B">
      <w:pPr>
        <w:rPr>
          <w:lang w:eastAsia="en-AU"/>
        </w:rPr>
      </w:pPr>
      <w:r>
        <w:rPr>
          <w:lang w:eastAsia="en-AU"/>
        </w:rPr>
        <w:t>Where relevant, intellectual property developed using grant funds will be owned by the department and may be released for use by others. Grant recipients can continue to use m</w:t>
      </w:r>
      <w:r w:rsidR="00F3301F">
        <w:rPr>
          <w:lang w:eastAsia="en-AU"/>
        </w:rPr>
        <w:t>aterials developed through the grant.</w:t>
      </w:r>
    </w:p>
    <w:p w:rsidR="00F3301F" w:rsidRDefault="00F3301F" w:rsidP="00F2173B">
      <w:pPr>
        <w:rPr>
          <w:lang w:eastAsia="en-AU"/>
        </w:rPr>
      </w:pPr>
      <w:r>
        <w:rPr>
          <w:lang w:eastAsia="en-AU"/>
        </w:rPr>
        <w:t>For the purposes of transparency, information sharing and increasing knowledge details of successful applications will be published where appropriate. Details will include the following information:</w:t>
      </w:r>
    </w:p>
    <w:p w:rsidR="00F3301F" w:rsidRDefault="00F3301F" w:rsidP="00E732F1">
      <w:pPr>
        <w:pStyle w:val="ListParagraph"/>
        <w:numPr>
          <w:ilvl w:val="0"/>
          <w:numId w:val="20"/>
        </w:numPr>
        <w:rPr>
          <w:lang w:eastAsia="en-AU"/>
        </w:rPr>
      </w:pPr>
      <w:r>
        <w:rPr>
          <w:lang w:eastAsia="en-AU"/>
        </w:rPr>
        <w:t>project title</w:t>
      </w:r>
    </w:p>
    <w:p w:rsidR="00F3301F" w:rsidRDefault="00F3301F" w:rsidP="00E732F1">
      <w:pPr>
        <w:pStyle w:val="ListParagraph"/>
        <w:numPr>
          <w:ilvl w:val="0"/>
          <w:numId w:val="20"/>
        </w:numPr>
        <w:rPr>
          <w:lang w:eastAsia="en-AU"/>
        </w:rPr>
      </w:pPr>
      <w:r>
        <w:rPr>
          <w:lang w:eastAsia="en-AU"/>
        </w:rPr>
        <w:t xml:space="preserve">project objective </w:t>
      </w:r>
    </w:p>
    <w:p w:rsidR="00F3301F" w:rsidRDefault="00F3301F" w:rsidP="00E732F1">
      <w:pPr>
        <w:pStyle w:val="ListParagraph"/>
        <w:numPr>
          <w:ilvl w:val="0"/>
          <w:numId w:val="20"/>
        </w:numPr>
        <w:rPr>
          <w:lang w:eastAsia="en-AU"/>
        </w:rPr>
      </w:pPr>
      <w:r>
        <w:rPr>
          <w:lang w:eastAsia="en-AU"/>
        </w:rPr>
        <w:t>project description</w:t>
      </w:r>
    </w:p>
    <w:p w:rsidR="00F3301F" w:rsidRDefault="00F3301F" w:rsidP="00E732F1">
      <w:pPr>
        <w:pStyle w:val="ListParagraph"/>
        <w:numPr>
          <w:ilvl w:val="0"/>
          <w:numId w:val="20"/>
        </w:numPr>
        <w:rPr>
          <w:lang w:eastAsia="en-AU"/>
        </w:rPr>
      </w:pPr>
      <w:r>
        <w:rPr>
          <w:lang w:eastAsia="en-AU"/>
        </w:rPr>
        <w:t xml:space="preserve">duration, and </w:t>
      </w:r>
    </w:p>
    <w:p w:rsidR="00F3301F" w:rsidRDefault="00F3301F" w:rsidP="00E732F1">
      <w:pPr>
        <w:pStyle w:val="ListParagraph"/>
        <w:numPr>
          <w:ilvl w:val="0"/>
          <w:numId w:val="20"/>
        </w:numPr>
        <w:rPr>
          <w:lang w:eastAsia="en-AU"/>
        </w:rPr>
      </w:pPr>
      <w:r>
        <w:rPr>
          <w:lang w:eastAsia="en-AU"/>
        </w:rPr>
        <w:t>amount allocated</w:t>
      </w:r>
    </w:p>
    <w:p w:rsidR="00F3301F" w:rsidRDefault="00F3301F" w:rsidP="00F3301F">
      <w:pPr>
        <w:rPr>
          <w:lang w:eastAsia="en-AU"/>
        </w:rPr>
      </w:pPr>
      <w:r>
        <w:rPr>
          <w:lang w:eastAsia="en-AU"/>
        </w:rPr>
        <w:t>Where projects require the preparation of resources, such as case studies and good practice models, these may also be published.</w:t>
      </w:r>
    </w:p>
    <w:p w:rsidR="00F3301F" w:rsidRDefault="00F3301F" w:rsidP="00F3301F">
      <w:pPr>
        <w:pStyle w:val="Heading1"/>
        <w:rPr>
          <w:lang w:eastAsia="en-AU"/>
        </w:rPr>
      </w:pPr>
      <w:bookmarkStart w:id="14" w:name="_Toc117063291"/>
      <w:r>
        <w:rPr>
          <w:lang w:eastAsia="en-AU"/>
        </w:rPr>
        <w:t>Privacy and confidentiality</w:t>
      </w:r>
      <w:bookmarkEnd w:id="14"/>
    </w:p>
    <w:p w:rsidR="00F3301F" w:rsidRPr="00F3301F" w:rsidRDefault="00F3301F" w:rsidP="00F3301F">
      <w:pPr>
        <w:rPr>
          <w:lang w:eastAsia="en-AU"/>
        </w:rPr>
      </w:pPr>
      <w:r>
        <w:rPr>
          <w:lang w:eastAsia="en-AU"/>
        </w:rPr>
        <w:t xml:space="preserve">The use and disclosure of information provided for the Territory Workforce Program funding by applicants is regulated by the relevant provisions and penalties of the Public Service Regulations, the </w:t>
      </w:r>
      <w:r w:rsidRPr="00F3301F">
        <w:rPr>
          <w:i/>
          <w:lang w:eastAsia="en-AU"/>
        </w:rPr>
        <w:t>Privacy Act</w:t>
      </w:r>
      <w:r>
        <w:rPr>
          <w:lang w:eastAsia="en-AU"/>
        </w:rPr>
        <w:t xml:space="preserve"> 1988, the </w:t>
      </w:r>
      <w:r w:rsidRPr="00F3301F">
        <w:rPr>
          <w:i/>
          <w:lang w:eastAsia="en-AU"/>
        </w:rPr>
        <w:t>NT Information Act</w:t>
      </w:r>
      <w:r>
        <w:rPr>
          <w:i/>
          <w:lang w:eastAsia="en-AU"/>
        </w:rPr>
        <w:t xml:space="preserve">, </w:t>
      </w:r>
      <w:r>
        <w:rPr>
          <w:lang w:eastAsia="en-AU"/>
        </w:rPr>
        <w:t xml:space="preserve">the </w:t>
      </w:r>
      <w:r>
        <w:rPr>
          <w:i/>
          <w:lang w:eastAsia="en-AU"/>
        </w:rPr>
        <w:t xml:space="preserve">NT Crimes Act </w:t>
      </w:r>
      <w:r w:rsidRPr="00120E7C">
        <w:rPr>
          <w:lang w:eastAsia="en-AU"/>
        </w:rPr>
        <w:t>1914</w:t>
      </w:r>
      <w:r>
        <w:rPr>
          <w:i/>
          <w:lang w:eastAsia="en-AU"/>
        </w:rPr>
        <w:t xml:space="preserve"> </w:t>
      </w:r>
      <w:r>
        <w:rPr>
          <w:lang w:eastAsia="en-AU"/>
        </w:rPr>
        <w:t>and the Criminal Code and general law.</w:t>
      </w:r>
    </w:p>
    <w:sectPr w:rsidR="00F3301F" w:rsidRPr="00F3301F" w:rsidSect="00C95D30">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07" w:rsidRDefault="00066107">
      <w:r>
        <w:separator/>
      </w:r>
    </w:p>
  </w:endnote>
  <w:endnote w:type="continuationSeparator" w:id="0">
    <w:p w:rsidR="00066107" w:rsidRDefault="00066107">
      <w:r>
        <w:continuationSeparator/>
      </w:r>
    </w:p>
  </w:endnote>
  <w:endnote w:type="continuationNotice" w:id="1">
    <w:p w:rsidR="00066107" w:rsidRDefault="000661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2113FA">
              <w:rPr>
                <w:rStyle w:val="PageNumber"/>
                <w:noProof/>
              </w:rPr>
              <w:t>8</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A50829" w:rsidP="00A50829">
          <w:pPr>
            <w:spacing w:after="0"/>
            <w:rPr>
              <w:rStyle w:val="PageNumber"/>
              <w:b/>
            </w:rPr>
          </w:pPr>
          <w:r>
            <w:rPr>
              <w:rStyle w:val="PageNumber"/>
            </w:rPr>
            <w:t xml:space="preserve">Department of </w:t>
          </w:r>
          <w:r w:rsidR="00A563B6">
            <w:rPr>
              <w:rStyle w:val="PageNumber"/>
              <w:b/>
            </w:rPr>
            <w:t>Industry Tourism and Trade</w:t>
          </w:r>
        </w:p>
        <w:p w:rsidR="00A563B6" w:rsidRDefault="00066107" w:rsidP="00A563B6">
          <w:pPr>
            <w:spacing w:after="0"/>
            <w:rPr>
              <w:rStyle w:val="PageNumber"/>
            </w:rPr>
          </w:pPr>
          <w:sdt>
            <w:sdtPr>
              <w:rPr>
                <w:rStyle w:val="PageNumber"/>
              </w:rPr>
              <w:alias w:val="Date"/>
              <w:tag w:val=""/>
              <w:id w:val="1578473972"/>
              <w:placeholder>
                <w:docPart w:val="AE885DDF2525490C8521742056E13219"/>
              </w:placeholder>
              <w:dataBinding w:prefixMappings="xmlns:ns0='http://schemas.microsoft.com/office/2006/coverPageProps' " w:xpath="/ns0:CoverPageProperties[1]/ns0:PublishDate[1]" w:storeItemID="{55AF091B-3C7A-41E3-B477-F2FDAA23CFDA}"/>
              <w15:color w:val="000000"/>
              <w:date w:fullDate="2022-10-18T00:00:00Z">
                <w:dateFormat w:val="d MMMM yyyy"/>
                <w:lid w:val="en-AU"/>
                <w:storeMappedDataAs w:val="dateTime"/>
                <w:calendar w:val="gregorian"/>
              </w:date>
            </w:sdtPr>
            <w:sdtEndPr>
              <w:rPr>
                <w:rStyle w:val="PageNumber"/>
              </w:rPr>
            </w:sdtEndPr>
            <w:sdtContent>
              <w:r w:rsidR="00A86B82">
                <w:rPr>
                  <w:rStyle w:val="PageNumber"/>
                </w:rPr>
                <w:t>18 October 2022</w:t>
              </w:r>
            </w:sdtContent>
          </w:sdt>
          <w:r w:rsidR="00A50829" w:rsidRPr="00CE6614">
            <w:rPr>
              <w:rStyle w:val="PageNumber"/>
            </w:rPr>
            <w:t xml:space="preserve"> | Version </w:t>
          </w:r>
          <w:r w:rsidR="00A563B6">
            <w:rPr>
              <w:rStyle w:val="PageNumber"/>
            </w:rPr>
            <w:t>3.0</w:t>
          </w:r>
          <w:r w:rsidR="00A50829">
            <w:rPr>
              <w:rStyle w:val="PageNumber"/>
            </w:rPr>
            <w:t xml:space="preserve"> </w:t>
          </w:r>
        </w:p>
        <w:p w:rsidR="00A50829" w:rsidRPr="00AC4488" w:rsidRDefault="00A50829" w:rsidP="00A563B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C726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C726C">
            <w:rPr>
              <w:rStyle w:val="PageNumber"/>
              <w:noProof/>
            </w:rPr>
            <w:t>8</w:t>
          </w:r>
          <w:r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07" w:rsidRDefault="00066107">
      <w:r>
        <w:separator/>
      </w:r>
    </w:p>
  </w:footnote>
  <w:footnote w:type="continuationSeparator" w:id="0">
    <w:p w:rsidR="00066107" w:rsidRDefault="00066107">
      <w:r>
        <w:continuationSeparator/>
      </w:r>
    </w:p>
  </w:footnote>
  <w:footnote w:type="continuationNotice" w:id="1">
    <w:p w:rsidR="00066107" w:rsidRDefault="00066107">
      <w:pPr>
        <w:spacing w:after="0"/>
      </w:pPr>
    </w:p>
  </w:footnote>
  <w:footnote w:id="2">
    <w:p w:rsidR="007A7DC4" w:rsidRDefault="007A7DC4">
      <w:pPr>
        <w:pStyle w:val="FootnoteText"/>
      </w:pPr>
      <w:r>
        <w:rPr>
          <w:rStyle w:val="FootnoteReference"/>
        </w:rPr>
        <w:footnoteRef/>
      </w:r>
      <w:r>
        <w:t xml:space="preserve"> </w:t>
      </w:r>
      <w:r w:rsidRPr="003943E4">
        <w:t>https://www.education.vic.gov.au/training/providers/rto/Pages/purchasingguides.aspx</w:t>
      </w:r>
    </w:p>
  </w:footnote>
  <w:footnote w:id="3">
    <w:p w:rsidR="00594C16" w:rsidRDefault="00594C16">
      <w:pPr>
        <w:pStyle w:val="FootnoteText"/>
      </w:pPr>
      <w:r>
        <w:rPr>
          <w:rStyle w:val="FootnoteReference"/>
        </w:rPr>
        <w:footnoteRef/>
      </w:r>
      <w:r>
        <w:t xml:space="preserve"> </w:t>
      </w:r>
      <w:r w:rsidRPr="00594C16">
        <w:t>www.buylocal.nt.gov.au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066107" w:rsidP="005A5A44">
    <w:pPr>
      <w:pStyle w:val="Header"/>
    </w:pPr>
    <w:sdt>
      <w:sdtPr>
        <w:alias w:val="Title"/>
        <w:tag w:val=""/>
        <w:id w:val="-477918894"/>
        <w:placeholder>
          <w:docPart w:val="65C80FDC80A84443A702D0F6D396E57C"/>
        </w:placeholder>
        <w:dataBinding w:prefixMappings="xmlns:ns0='http://purl.org/dc/elements/1.1/' xmlns:ns1='http://schemas.openxmlformats.org/package/2006/metadata/core-properties' " w:xpath="/ns1:coreProperties[1]/ns0:title[1]" w:storeItemID="{6C3C8BC8-F283-45AE-878A-BAB7291924A1}"/>
        <w:text/>
      </w:sdtPr>
      <w:sdtEndPr/>
      <w:sdtContent>
        <w:r w:rsidR="00FE78A4">
          <w:t>Territory Workforce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10"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066107" w:rsidP="004E7885">
    <w:pPr>
      <w:pStyle w:val="Header"/>
    </w:pPr>
    <w:sdt>
      <w:sdtPr>
        <w:alias w:val="Title"/>
        <w:tag w:val="Title"/>
        <w:id w:val="94911156"/>
        <w:lock w:val="sdtLocked"/>
        <w:placeholder>
          <w:docPart w:val="65C80FDC80A84443A702D0F6D396E57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FE78A4">
          <w:t>Territory Workforce Program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562223BBEB3E43DEBFE6AB57113458D6"/>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FE78A4" w:rsidP="008E0345">
        <w:pPr>
          <w:pStyle w:val="Header"/>
          <w:rPr>
            <w:b/>
          </w:rPr>
        </w:pPr>
        <w:r>
          <w:t>Territory Workforce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4236A0"/>
    <w:multiLevelType w:val="hybridMultilevel"/>
    <w:tmpl w:val="87AA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6E55A77"/>
    <w:multiLevelType w:val="hybridMultilevel"/>
    <w:tmpl w:val="AF1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8E63CCB"/>
    <w:multiLevelType w:val="hybridMultilevel"/>
    <w:tmpl w:val="E12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0B140B5"/>
    <w:multiLevelType w:val="hybridMultilevel"/>
    <w:tmpl w:val="72546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C44E43"/>
    <w:multiLevelType w:val="hybridMultilevel"/>
    <w:tmpl w:val="2B0E4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196542"/>
    <w:multiLevelType w:val="hybridMultilevel"/>
    <w:tmpl w:val="C10A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8C1576"/>
    <w:multiLevelType w:val="hybridMultilevel"/>
    <w:tmpl w:val="F1A2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A119FD"/>
    <w:multiLevelType w:val="hybridMultilevel"/>
    <w:tmpl w:val="62E0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4EF01AB5"/>
    <w:multiLevelType w:val="hybridMultilevel"/>
    <w:tmpl w:val="7AE4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5DD333B2"/>
    <w:multiLevelType w:val="hybridMultilevel"/>
    <w:tmpl w:val="E7D2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21F65F4"/>
    <w:multiLevelType w:val="hybridMultilevel"/>
    <w:tmpl w:val="1E9A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6"/>
  </w:num>
  <w:num w:numId="4">
    <w:abstractNumId w:val="31"/>
  </w:num>
  <w:num w:numId="5">
    <w:abstractNumId w:val="18"/>
  </w:num>
  <w:num w:numId="6">
    <w:abstractNumId w:val="8"/>
  </w:num>
  <w:num w:numId="7">
    <w:abstractNumId w:val="35"/>
  </w:num>
  <w:num w:numId="8">
    <w:abstractNumId w:val="16"/>
  </w:num>
  <w:num w:numId="9">
    <w:abstractNumId w:val="24"/>
  </w:num>
  <w:num w:numId="10">
    <w:abstractNumId w:val="25"/>
  </w:num>
  <w:num w:numId="11">
    <w:abstractNumId w:val="21"/>
  </w:num>
  <w:num w:numId="12">
    <w:abstractNumId w:val="13"/>
  </w:num>
  <w:num w:numId="13">
    <w:abstractNumId w:val="4"/>
  </w:num>
  <w:num w:numId="14">
    <w:abstractNumId w:val="34"/>
  </w:num>
  <w:num w:numId="15">
    <w:abstractNumId w:val="17"/>
  </w:num>
  <w:num w:numId="16">
    <w:abstractNumId w:val="26"/>
  </w:num>
  <w:num w:numId="17">
    <w:abstractNumId w:val="41"/>
  </w:num>
  <w:num w:numId="18">
    <w:abstractNumId w:val="30"/>
  </w:num>
  <w:num w:numId="19">
    <w:abstractNumId w:val="43"/>
  </w:num>
  <w:num w:numId="20">
    <w:abstractNumId w:val="28"/>
  </w:num>
  <w:num w:numId="2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48"/>
    <w:rsid w:val="00001DDF"/>
    <w:rsid w:val="0000322D"/>
    <w:rsid w:val="00007670"/>
    <w:rsid w:val="00010665"/>
    <w:rsid w:val="00013FD7"/>
    <w:rsid w:val="000238B4"/>
    <w:rsid w:val="0002393A"/>
    <w:rsid w:val="00027DB8"/>
    <w:rsid w:val="000307A7"/>
    <w:rsid w:val="00031A96"/>
    <w:rsid w:val="00040BF3"/>
    <w:rsid w:val="0004562E"/>
    <w:rsid w:val="00046C59"/>
    <w:rsid w:val="00050358"/>
    <w:rsid w:val="00051362"/>
    <w:rsid w:val="00051F45"/>
    <w:rsid w:val="00052953"/>
    <w:rsid w:val="00052DE6"/>
    <w:rsid w:val="0005341A"/>
    <w:rsid w:val="00056DEF"/>
    <w:rsid w:val="00066107"/>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22F"/>
    <w:rsid w:val="000B6E48"/>
    <w:rsid w:val="000D1F29"/>
    <w:rsid w:val="000D633D"/>
    <w:rsid w:val="000D7D1A"/>
    <w:rsid w:val="000E0962"/>
    <w:rsid w:val="000E342B"/>
    <w:rsid w:val="000E38FB"/>
    <w:rsid w:val="000E5DD2"/>
    <w:rsid w:val="000F2958"/>
    <w:rsid w:val="000F4805"/>
    <w:rsid w:val="00104E7F"/>
    <w:rsid w:val="001137EC"/>
    <w:rsid w:val="001152F5"/>
    <w:rsid w:val="00117743"/>
    <w:rsid w:val="00117F5B"/>
    <w:rsid w:val="00120E7C"/>
    <w:rsid w:val="00132658"/>
    <w:rsid w:val="00147DED"/>
    <w:rsid w:val="00150DC0"/>
    <w:rsid w:val="00155C31"/>
    <w:rsid w:val="00156CD4"/>
    <w:rsid w:val="00161CC6"/>
    <w:rsid w:val="00164A3E"/>
    <w:rsid w:val="00166FF6"/>
    <w:rsid w:val="00172C77"/>
    <w:rsid w:val="00176123"/>
    <w:rsid w:val="00181620"/>
    <w:rsid w:val="001957AD"/>
    <w:rsid w:val="001A2B7F"/>
    <w:rsid w:val="001A3AFD"/>
    <w:rsid w:val="001A496C"/>
    <w:rsid w:val="001A6304"/>
    <w:rsid w:val="001B13CA"/>
    <w:rsid w:val="001B2B6C"/>
    <w:rsid w:val="001B2FB8"/>
    <w:rsid w:val="001D01C4"/>
    <w:rsid w:val="001D02B6"/>
    <w:rsid w:val="001D52B0"/>
    <w:rsid w:val="001D5A18"/>
    <w:rsid w:val="001D7CA4"/>
    <w:rsid w:val="001E057F"/>
    <w:rsid w:val="001E14EB"/>
    <w:rsid w:val="001E1D4D"/>
    <w:rsid w:val="001F59E6"/>
    <w:rsid w:val="00202014"/>
    <w:rsid w:val="00206936"/>
    <w:rsid w:val="00206C6F"/>
    <w:rsid w:val="00206FBD"/>
    <w:rsid w:val="00207746"/>
    <w:rsid w:val="002113FA"/>
    <w:rsid w:val="00221220"/>
    <w:rsid w:val="00230031"/>
    <w:rsid w:val="00235C01"/>
    <w:rsid w:val="00236878"/>
    <w:rsid w:val="00247343"/>
    <w:rsid w:val="00247538"/>
    <w:rsid w:val="00251FFF"/>
    <w:rsid w:val="00264C90"/>
    <w:rsid w:val="00265C56"/>
    <w:rsid w:val="002716CD"/>
    <w:rsid w:val="00272232"/>
    <w:rsid w:val="00274B64"/>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4868"/>
    <w:rsid w:val="002D7D05"/>
    <w:rsid w:val="002E20C8"/>
    <w:rsid w:val="002E4290"/>
    <w:rsid w:val="002E5B94"/>
    <w:rsid w:val="002E66A6"/>
    <w:rsid w:val="002F0DB1"/>
    <w:rsid w:val="002F2885"/>
    <w:rsid w:val="002F3CF1"/>
    <w:rsid w:val="002F45A1"/>
    <w:rsid w:val="003037F9"/>
    <w:rsid w:val="0030583E"/>
    <w:rsid w:val="00307FE1"/>
    <w:rsid w:val="00315A66"/>
    <w:rsid w:val="003164BA"/>
    <w:rsid w:val="003216EA"/>
    <w:rsid w:val="003223FE"/>
    <w:rsid w:val="003258E6"/>
    <w:rsid w:val="00336000"/>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77E90"/>
    <w:rsid w:val="00390CE3"/>
    <w:rsid w:val="0039328A"/>
    <w:rsid w:val="003940D2"/>
    <w:rsid w:val="00394876"/>
    <w:rsid w:val="00394AAF"/>
    <w:rsid w:val="00394CE5"/>
    <w:rsid w:val="003A5498"/>
    <w:rsid w:val="003A6341"/>
    <w:rsid w:val="003B173F"/>
    <w:rsid w:val="003B67FD"/>
    <w:rsid w:val="003B6A61"/>
    <w:rsid w:val="003D3850"/>
    <w:rsid w:val="003D42C0"/>
    <w:rsid w:val="003D5B29"/>
    <w:rsid w:val="003D7818"/>
    <w:rsid w:val="003E2445"/>
    <w:rsid w:val="003E3BB2"/>
    <w:rsid w:val="003F5B58"/>
    <w:rsid w:val="0040222A"/>
    <w:rsid w:val="00403756"/>
    <w:rsid w:val="004047BC"/>
    <w:rsid w:val="00406497"/>
    <w:rsid w:val="004100F7"/>
    <w:rsid w:val="00414CB3"/>
    <w:rsid w:val="0041563D"/>
    <w:rsid w:val="00417E19"/>
    <w:rsid w:val="00420CF5"/>
    <w:rsid w:val="00422874"/>
    <w:rsid w:val="00426E25"/>
    <w:rsid w:val="00427D9C"/>
    <w:rsid w:val="00427E7E"/>
    <w:rsid w:val="0043264F"/>
    <w:rsid w:val="004433AE"/>
    <w:rsid w:val="00443B6E"/>
    <w:rsid w:val="004521CB"/>
    <w:rsid w:val="0045420A"/>
    <w:rsid w:val="004554D4"/>
    <w:rsid w:val="00461744"/>
    <w:rsid w:val="00466185"/>
    <w:rsid w:val="004668A7"/>
    <w:rsid w:val="00466D96"/>
    <w:rsid w:val="00467747"/>
    <w:rsid w:val="00470235"/>
    <w:rsid w:val="00473488"/>
    <w:rsid w:val="00473C98"/>
    <w:rsid w:val="0047476F"/>
    <w:rsid w:val="00474965"/>
    <w:rsid w:val="00482DF8"/>
    <w:rsid w:val="004864DE"/>
    <w:rsid w:val="00494BE5"/>
    <w:rsid w:val="004A0EBA"/>
    <w:rsid w:val="004A2538"/>
    <w:rsid w:val="004B0C15"/>
    <w:rsid w:val="004B35EA"/>
    <w:rsid w:val="004B69E4"/>
    <w:rsid w:val="004B7373"/>
    <w:rsid w:val="004B7679"/>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11E9"/>
    <w:rsid w:val="00502FB3"/>
    <w:rsid w:val="00503DE9"/>
    <w:rsid w:val="0050530C"/>
    <w:rsid w:val="00505DEA"/>
    <w:rsid w:val="00507782"/>
    <w:rsid w:val="00507D43"/>
    <w:rsid w:val="00512A04"/>
    <w:rsid w:val="005249F5"/>
    <w:rsid w:val="005260F7"/>
    <w:rsid w:val="00543BD1"/>
    <w:rsid w:val="00546D7E"/>
    <w:rsid w:val="00556113"/>
    <w:rsid w:val="00564A48"/>
    <w:rsid w:val="00564C12"/>
    <w:rsid w:val="005654B8"/>
    <w:rsid w:val="0056718B"/>
    <w:rsid w:val="0057377F"/>
    <w:rsid w:val="005762CC"/>
    <w:rsid w:val="00582D3D"/>
    <w:rsid w:val="00583889"/>
    <w:rsid w:val="00594C16"/>
    <w:rsid w:val="00595386"/>
    <w:rsid w:val="005953B0"/>
    <w:rsid w:val="005A08B6"/>
    <w:rsid w:val="005A3621"/>
    <w:rsid w:val="005A4AC0"/>
    <w:rsid w:val="005A5A44"/>
    <w:rsid w:val="005A5FDF"/>
    <w:rsid w:val="005B0FB7"/>
    <w:rsid w:val="005B122A"/>
    <w:rsid w:val="005B3155"/>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56FB1"/>
    <w:rsid w:val="00660584"/>
    <w:rsid w:val="006670D7"/>
    <w:rsid w:val="00667797"/>
    <w:rsid w:val="006719EA"/>
    <w:rsid w:val="00671F13"/>
    <w:rsid w:val="0067400A"/>
    <w:rsid w:val="006747E0"/>
    <w:rsid w:val="00677109"/>
    <w:rsid w:val="006847AD"/>
    <w:rsid w:val="0069114B"/>
    <w:rsid w:val="0069359E"/>
    <w:rsid w:val="006A756A"/>
    <w:rsid w:val="006B6472"/>
    <w:rsid w:val="006C396A"/>
    <w:rsid w:val="006D1ADA"/>
    <w:rsid w:val="006D2D39"/>
    <w:rsid w:val="006D66F7"/>
    <w:rsid w:val="006E3B5D"/>
    <w:rsid w:val="00702D61"/>
    <w:rsid w:val="00705C9D"/>
    <w:rsid w:val="00705F13"/>
    <w:rsid w:val="00714F1D"/>
    <w:rsid w:val="00715225"/>
    <w:rsid w:val="00717C37"/>
    <w:rsid w:val="00720CC6"/>
    <w:rsid w:val="00722DDB"/>
    <w:rsid w:val="00723AA9"/>
    <w:rsid w:val="00724728"/>
    <w:rsid w:val="00724F98"/>
    <w:rsid w:val="00730B9B"/>
    <w:rsid w:val="0073182E"/>
    <w:rsid w:val="007332FF"/>
    <w:rsid w:val="007408F5"/>
    <w:rsid w:val="00741EAE"/>
    <w:rsid w:val="00745073"/>
    <w:rsid w:val="007551E1"/>
    <w:rsid w:val="00755248"/>
    <w:rsid w:val="007557E0"/>
    <w:rsid w:val="0076190B"/>
    <w:rsid w:val="0076355D"/>
    <w:rsid w:val="00763A2D"/>
    <w:rsid w:val="00767319"/>
    <w:rsid w:val="007761D8"/>
    <w:rsid w:val="00777795"/>
    <w:rsid w:val="00783A57"/>
    <w:rsid w:val="00784C92"/>
    <w:rsid w:val="007859CD"/>
    <w:rsid w:val="00786FA3"/>
    <w:rsid w:val="007907E4"/>
    <w:rsid w:val="00796461"/>
    <w:rsid w:val="00797696"/>
    <w:rsid w:val="007A6A4F"/>
    <w:rsid w:val="007A7DC4"/>
    <w:rsid w:val="007B03F5"/>
    <w:rsid w:val="007B48CC"/>
    <w:rsid w:val="007B59D3"/>
    <w:rsid w:val="007B5C09"/>
    <w:rsid w:val="007B5DA2"/>
    <w:rsid w:val="007C0966"/>
    <w:rsid w:val="007C19E7"/>
    <w:rsid w:val="007C5CFD"/>
    <w:rsid w:val="007C6D9F"/>
    <w:rsid w:val="007D4893"/>
    <w:rsid w:val="007D7697"/>
    <w:rsid w:val="007E580C"/>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2724"/>
    <w:rsid w:val="00854BA0"/>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204A"/>
    <w:rsid w:val="008B529E"/>
    <w:rsid w:val="008C17FB"/>
    <w:rsid w:val="008D1B00"/>
    <w:rsid w:val="008D57B8"/>
    <w:rsid w:val="008E0345"/>
    <w:rsid w:val="008E03FC"/>
    <w:rsid w:val="008E510B"/>
    <w:rsid w:val="00902B13"/>
    <w:rsid w:val="00911941"/>
    <w:rsid w:val="009138A0"/>
    <w:rsid w:val="00925F0F"/>
    <w:rsid w:val="00927873"/>
    <w:rsid w:val="00930C91"/>
    <w:rsid w:val="00932F6B"/>
    <w:rsid w:val="009436FF"/>
    <w:rsid w:val="009468BC"/>
    <w:rsid w:val="009616DF"/>
    <w:rsid w:val="00964B22"/>
    <w:rsid w:val="0096542F"/>
    <w:rsid w:val="00966B57"/>
    <w:rsid w:val="00967FA7"/>
    <w:rsid w:val="00971645"/>
    <w:rsid w:val="00977919"/>
    <w:rsid w:val="00981DD2"/>
    <w:rsid w:val="00983000"/>
    <w:rsid w:val="00984D9B"/>
    <w:rsid w:val="009863A2"/>
    <w:rsid w:val="009870FA"/>
    <w:rsid w:val="009921C3"/>
    <w:rsid w:val="0099551D"/>
    <w:rsid w:val="009A5897"/>
    <w:rsid w:val="009A5F24"/>
    <w:rsid w:val="009B0B3E"/>
    <w:rsid w:val="009B1913"/>
    <w:rsid w:val="009B5501"/>
    <w:rsid w:val="009B6657"/>
    <w:rsid w:val="009B7C35"/>
    <w:rsid w:val="009C21F1"/>
    <w:rsid w:val="009C6E23"/>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43428"/>
    <w:rsid w:val="00A50829"/>
    <w:rsid w:val="00A53EF0"/>
    <w:rsid w:val="00A563B6"/>
    <w:rsid w:val="00A86B82"/>
    <w:rsid w:val="00A925EC"/>
    <w:rsid w:val="00A929AA"/>
    <w:rsid w:val="00A92B6B"/>
    <w:rsid w:val="00A955A9"/>
    <w:rsid w:val="00AA4C49"/>
    <w:rsid w:val="00AA541E"/>
    <w:rsid w:val="00AD0DA4"/>
    <w:rsid w:val="00AD134E"/>
    <w:rsid w:val="00AD13EB"/>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2935"/>
    <w:rsid w:val="00B832AE"/>
    <w:rsid w:val="00B86678"/>
    <w:rsid w:val="00B92F9B"/>
    <w:rsid w:val="00B941B3"/>
    <w:rsid w:val="00B96513"/>
    <w:rsid w:val="00BA1D47"/>
    <w:rsid w:val="00BA66F0"/>
    <w:rsid w:val="00BB2239"/>
    <w:rsid w:val="00BB2AE7"/>
    <w:rsid w:val="00BB6464"/>
    <w:rsid w:val="00BB7CDE"/>
    <w:rsid w:val="00BC1BB8"/>
    <w:rsid w:val="00BD0F38"/>
    <w:rsid w:val="00BD7FE1"/>
    <w:rsid w:val="00BE2348"/>
    <w:rsid w:val="00BE37CA"/>
    <w:rsid w:val="00BE4B2A"/>
    <w:rsid w:val="00BE6144"/>
    <w:rsid w:val="00BE635A"/>
    <w:rsid w:val="00BF17E9"/>
    <w:rsid w:val="00BF2ABB"/>
    <w:rsid w:val="00BF5099"/>
    <w:rsid w:val="00C10F10"/>
    <w:rsid w:val="00C15D4D"/>
    <w:rsid w:val="00C164D0"/>
    <w:rsid w:val="00C175DC"/>
    <w:rsid w:val="00C30171"/>
    <w:rsid w:val="00C309D8"/>
    <w:rsid w:val="00C33998"/>
    <w:rsid w:val="00C405F5"/>
    <w:rsid w:val="00C43519"/>
    <w:rsid w:val="00C51537"/>
    <w:rsid w:val="00C52BC3"/>
    <w:rsid w:val="00C5584B"/>
    <w:rsid w:val="00C61AFA"/>
    <w:rsid w:val="00C61D64"/>
    <w:rsid w:val="00C62099"/>
    <w:rsid w:val="00C64EA3"/>
    <w:rsid w:val="00C72867"/>
    <w:rsid w:val="00C75E81"/>
    <w:rsid w:val="00C75F52"/>
    <w:rsid w:val="00C81F33"/>
    <w:rsid w:val="00C86609"/>
    <w:rsid w:val="00C92B4C"/>
    <w:rsid w:val="00C954F6"/>
    <w:rsid w:val="00C95D30"/>
    <w:rsid w:val="00CA6BC5"/>
    <w:rsid w:val="00CB3E57"/>
    <w:rsid w:val="00CC1CCA"/>
    <w:rsid w:val="00CC61CD"/>
    <w:rsid w:val="00CC6456"/>
    <w:rsid w:val="00CD18DF"/>
    <w:rsid w:val="00CD5011"/>
    <w:rsid w:val="00CE640F"/>
    <w:rsid w:val="00CE76BC"/>
    <w:rsid w:val="00CF540E"/>
    <w:rsid w:val="00CF7B0D"/>
    <w:rsid w:val="00D02F07"/>
    <w:rsid w:val="00D03092"/>
    <w:rsid w:val="00D06467"/>
    <w:rsid w:val="00D23346"/>
    <w:rsid w:val="00D27EBE"/>
    <w:rsid w:val="00D34435"/>
    <w:rsid w:val="00D36A49"/>
    <w:rsid w:val="00D517C6"/>
    <w:rsid w:val="00D5185A"/>
    <w:rsid w:val="00D62873"/>
    <w:rsid w:val="00D64806"/>
    <w:rsid w:val="00D71D84"/>
    <w:rsid w:val="00D72464"/>
    <w:rsid w:val="00D768EB"/>
    <w:rsid w:val="00D82D1E"/>
    <w:rsid w:val="00D832D9"/>
    <w:rsid w:val="00D90F00"/>
    <w:rsid w:val="00D94F6B"/>
    <w:rsid w:val="00D975C0"/>
    <w:rsid w:val="00DA10CC"/>
    <w:rsid w:val="00DA5285"/>
    <w:rsid w:val="00DB0084"/>
    <w:rsid w:val="00DB191D"/>
    <w:rsid w:val="00DB4F91"/>
    <w:rsid w:val="00DC1EF7"/>
    <w:rsid w:val="00DC1F0F"/>
    <w:rsid w:val="00DC3117"/>
    <w:rsid w:val="00DC4CB0"/>
    <w:rsid w:val="00DC5DD9"/>
    <w:rsid w:val="00DC6D2D"/>
    <w:rsid w:val="00DC726C"/>
    <w:rsid w:val="00DD64C2"/>
    <w:rsid w:val="00DE33B5"/>
    <w:rsid w:val="00DE5E18"/>
    <w:rsid w:val="00DE6E01"/>
    <w:rsid w:val="00DF0487"/>
    <w:rsid w:val="00DF5EA4"/>
    <w:rsid w:val="00E01E79"/>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4581A"/>
    <w:rsid w:val="00E53565"/>
    <w:rsid w:val="00E61BA2"/>
    <w:rsid w:val="00E63586"/>
    <w:rsid w:val="00E63864"/>
    <w:rsid w:val="00E6403F"/>
    <w:rsid w:val="00E64725"/>
    <w:rsid w:val="00E7151A"/>
    <w:rsid w:val="00E732F1"/>
    <w:rsid w:val="00E770C4"/>
    <w:rsid w:val="00E77ACA"/>
    <w:rsid w:val="00E8137A"/>
    <w:rsid w:val="00E8342C"/>
    <w:rsid w:val="00E84C5A"/>
    <w:rsid w:val="00E861DB"/>
    <w:rsid w:val="00E90FA2"/>
    <w:rsid w:val="00E93406"/>
    <w:rsid w:val="00E956C5"/>
    <w:rsid w:val="00E95C39"/>
    <w:rsid w:val="00EA2C39"/>
    <w:rsid w:val="00EA5117"/>
    <w:rsid w:val="00EB0A3C"/>
    <w:rsid w:val="00EB0A96"/>
    <w:rsid w:val="00EB3D43"/>
    <w:rsid w:val="00EB77F9"/>
    <w:rsid w:val="00EC341C"/>
    <w:rsid w:val="00EC4958"/>
    <w:rsid w:val="00EC5769"/>
    <w:rsid w:val="00EC7D00"/>
    <w:rsid w:val="00ED0304"/>
    <w:rsid w:val="00ED087C"/>
    <w:rsid w:val="00ED329F"/>
    <w:rsid w:val="00EE38FA"/>
    <w:rsid w:val="00EE3E2C"/>
    <w:rsid w:val="00EE466C"/>
    <w:rsid w:val="00EE5D23"/>
    <w:rsid w:val="00EE750D"/>
    <w:rsid w:val="00EF3CA4"/>
    <w:rsid w:val="00EF5E1F"/>
    <w:rsid w:val="00EF7859"/>
    <w:rsid w:val="00F0073A"/>
    <w:rsid w:val="00F014DA"/>
    <w:rsid w:val="00F02591"/>
    <w:rsid w:val="00F13212"/>
    <w:rsid w:val="00F14273"/>
    <w:rsid w:val="00F15D8F"/>
    <w:rsid w:val="00F2173B"/>
    <w:rsid w:val="00F3301F"/>
    <w:rsid w:val="00F479D5"/>
    <w:rsid w:val="00F51479"/>
    <w:rsid w:val="00F54FC6"/>
    <w:rsid w:val="00F5696E"/>
    <w:rsid w:val="00F60EFF"/>
    <w:rsid w:val="00F67D2D"/>
    <w:rsid w:val="00F70155"/>
    <w:rsid w:val="00F75A36"/>
    <w:rsid w:val="00F860CC"/>
    <w:rsid w:val="00F90858"/>
    <w:rsid w:val="00F9365F"/>
    <w:rsid w:val="00F94398"/>
    <w:rsid w:val="00FA228B"/>
    <w:rsid w:val="00FA4629"/>
    <w:rsid w:val="00FA64B4"/>
    <w:rsid w:val="00FA6B6D"/>
    <w:rsid w:val="00FB0A2D"/>
    <w:rsid w:val="00FB2B56"/>
    <w:rsid w:val="00FB4E3A"/>
    <w:rsid w:val="00FC12BF"/>
    <w:rsid w:val="00FC16A5"/>
    <w:rsid w:val="00FC1A7C"/>
    <w:rsid w:val="00FC2C60"/>
    <w:rsid w:val="00FC5D03"/>
    <w:rsid w:val="00FC64AB"/>
    <w:rsid w:val="00FD1950"/>
    <w:rsid w:val="00FD3E6F"/>
    <w:rsid w:val="00FD51B9"/>
    <w:rsid w:val="00FE2A39"/>
    <w:rsid w:val="00FE2EF6"/>
    <w:rsid w:val="00FE78A4"/>
    <w:rsid w:val="00FF39CF"/>
    <w:rsid w:val="00FF7159"/>
    <w:rsid w:val="00FF78A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65C81-9345-4369-9ABB-327E08E5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052DE6"/>
    <w:rPr>
      <w:color w:val="8C4799" w:themeColor="followedHyperlink"/>
      <w:u w:val="single"/>
    </w:rPr>
  </w:style>
  <w:style w:type="numbering" w:customStyle="1" w:styleId="NTGStandardNumList">
    <w:name w:val="NTG Standard Num List"/>
    <w:uiPriority w:val="99"/>
    <w:rsid w:val="00B8293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6516653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t.gov.au/industry/procurement/how-procurement-works/buy-local-pla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vic.gov.au/victorian-training-package-purchasing-guides?Redirect=1"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67CD4253F40B4B9BA00B898C51DD4"/>
        <w:category>
          <w:name w:val="General"/>
          <w:gallery w:val="placeholder"/>
        </w:category>
        <w:types>
          <w:type w:val="bbPlcHdr"/>
        </w:types>
        <w:behaviors>
          <w:behavior w:val="content"/>
        </w:behaviors>
        <w:guid w:val="{94FFA8BA-CCD1-4D23-888A-D463BD16C118}"/>
      </w:docPartPr>
      <w:docPartBody>
        <w:p w:rsidR="005A30C5" w:rsidRDefault="00607130">
          <w:pPr>
            <w:pStyle w:val="7D967CD4253F40B4B9BA00B898C51DD4"/>
          </w:pPr>
          <w:r>
            <w:t>&lt;Document title&gt;</w:t>
          </w:r>
        </w:p>
      </w:docPartBody>
    </w:docPart>
    <w:docPart>
      <w:docPartPr>
        <w:name w:val="65C80FDC80A84443A702D0F6D396E57C"/>
        <w:category>
          <w:name w:val="General"/>
          <w:gallery w:val="placeholder"/>
        </w:category>
        <w:types>
          <w:type w:val="bbPlcHdr"/>
        </w:types>
        <w:behaviors>
          <w:behavior w:val="content"/>
        </w:behaviors>
        <w:guid w:val="{75272DBF-DAEA-4021-BA5D-CA1A6D7A4EBA}"/>
      </w:docPartPr>
      <w:docPartBody>
        <w:p w:rsidR="005A30C5" w:rsidRDefault="00607130">
          <w:pPr>
            <w:pStyle w:val="65C80FDC80A84443A702D0F6D396E57C"/>
          </w:pPr>
          <w:r w:rsidRPr="004E7885">
            <w:rPr>
              <w:rStyle w:val="PlaceholderText"/>
            </w:rPr>
            <w:t>&lt;Document title&gt;</w:t>
          </w:r>
        </w:p>
      </w:docPartBody>
    </w:docPart>
    <w:docPart>
      <w:docPartPr>
        <w:name w:val="AE885DDF2525490C8521742056E13219"/>
        <w:category>
          <w:name w:val="General"/>
          <w:gallery w:val="placeholder"/>
        </w:category>
        <w:types>
          <w:type w:val="bbPlcHdr"/>
        </w:types>
        <w:behaviors>
          <w:behavior w:val="content"/>
        </w:behaviors>
        <w:guid w:val="{3756A5A3-51F7-47CC-9E8B-AA4C4C1B5E85}"/>
      </w:docPartPr>
      <w:docPartBody>
        <w:p w:rsidR="005A30C5" w:rsidRDefault="00607130">
          <w:pPr>
            <w:pStyle w:val="AE885DDF2525490C8521742056E13219"/>
          </w:pPr>
          <w:r w:rsidRPr="005076E2">
            <w:t>&lt;Date Month Year&gt;</w:t>
          </w:r>
        </w:p>
      </w:docPartBody>
    </w:docPart>
    <w:docPart>
      <w:docPartPr>
        <w:name w:val="562223BBEB3E43DEBFE6AB57113458D6"/>
        <w:category>
          <w:name w:val="General"/>
          <w:gallery w:val="placeholder"/>
        </w:category>
        <w:types>
          <w:type w:val="bbPlcHdr"/>
        </w:types>
        <w:behaviors>
          <w:behavior w:val="content"/>
        </w:behaviors>
        <w:guid w:val="{F06070D9-8006-4529-A1D2-174A1407B7CE}"/>
      </w:docPartPr>
      <w:docPartBody>
        <w:p w:rsidR="005A30C5" w:rsidRDefault="00607130">
          <w:pPr>
            <w:pStyle w:val="562223BBEB3E43DEBFE6AB57113458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16"/>
    <w:rsid w:val="000635C6"/>
    <w:rsid w:val="005A30C5"/>
    <w:rsid w:val="00607130"/>
    <w:rsid w:val="00652516"/>
    <w:rsid w:val="006E03D4"/>
    <w:rsid w:val="00AA3E07"/>
    <w:rsid w:val="00F21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67CD4253F40B4B9BA00B898C51DD4">
    <w:name w:val="7D967CD4253F40B4B9BA00B898C51DD4"/>
  </w:style>
  <w:style w:type="character" w:styleId="PlaceholderText">
    <w:name w:val="Placeholder Text"/>
    <w:basedOn w:val="DefaultParagraphFont"/>
    <w:uiPriority w:val="99"/>
    <w:semiHidden/>
    <w:rsid w:val="00652516"/>
    <w:rPr>
      <w:color w:val="808080"/>
    </w:rPr>
  </w:style>
  <w:style w:type="paragraph" w:customStyle="1" w:styleId="F60F194AC3854A948FC66F360BC6E9DC">
    <w:name w:val="F60F194AC3854A948FC66F360BC6E9DC"/>
  </w:style>
  <w:style w:type="paragraph" w:customStyle="1" w:styleId="65C80FDC80A84443A702D0F6D396E57C">
    <w:name w:val="65C80FDC80A84443A702D0F6D396E57C"/>
  </w:style>
  <w:style w:type="paragraph" w:customStyle="1" w:styleId="26816E8F3F594A7C983519F48B08BCDE">
    <w:name w:val="26816E8F3F594A7C983519F48B08BCDE"/>
  </w:style>
  <w:style w:type="paragraph" w:customStyle="1" w:styleId="AE885DDF2525490C8521742056E13219">
    <w:name w:val="AE885DDF2525490C8521742056E13219"/>
  </w:style>
  <w:style w:type="paragraph" w:customStyle="1" w:styleId="562223BBEB3E43DEBFE6AB57113458D6">
    <w:name w:val="562223BBEB3E43DEBFE6AB57113458D6"/>
  </w:style>
  <w:style w:type="paragraph" w:customStyle="1" w:styleId="BDE6CCFDB95F49B29D5CCBB206D488EE">
    <w:name w:val="BDE6CCFDB95F49B29D5CCBB206D488EE"/>
    <w:rsid w:val="00652516"/>
  </w:style>
  <w:style w:type="paragraph" w:customStyle="1" w:styleId="795DC5FB574541B0B694020B07BF1FE1">
    <w:name w:val="795DC5FB574541B0B694020B07BF1FE1"/>
    <w:rsid w:val="0065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A22FD-6525-4463-AF79-E877F54D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Territory Workforce Program</vt:lpstr>
    </vt:vector>
  </TitlesOfParts>
  <Company>&lt;NAME&gt;</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Workforce Program</dc:title>
  <dc:creator>Northern Territory Government</dc:creator>
  <cp:lastModifiedBy>Julie-Anne Felton</cp:lastModifiedBy>
  <cp:revision>3</cp:revision>
  <cp:lastPrinted>2022-10-18T23:48:00Z</cp:lastPrinted>
  <dcterms:created xsi:type="dcterms:W3CDTF">2022-10-19T00:53:00Z</dcterms:created>
  <dcterms:modified xsi:type="dcterms:W3CDTF">2022-10-19T01:28:00Z</dcterms:modified>
</cp:coreProperties>
</file>