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E5712F">
      <w:pPr>
        <w:pStyle w:val="Gazettenoanddate"/>
        <w:tabs>
          <w:tab w:val="left" w:pos="6096"/>
        </w:tabs>
      </w:pPr>
      <w:r>
        <w:t>No.</w:t>
      </w:r>
      <w:r w:rsidR="00282700">
        <w:t xml:space="preserve"> </w:t>
      </w:r>
      <w:r w:rsidR="00D66D67">
        <w:t>G</w:t>
      </w:r>
      <w:r w:rsidR="00733CFF">
        <w:t>39</w:t>
      </w:r>
      <w:r w:rsidR="004E2B3B">
        <w:tab/>
      </w:r>
      <w:r w:rsidR="00733CFF">
        <w:t>27</w:t>
      </w:r>
      <w:r w:rsidR="00F46327">
        <w:t xml:space="preserve"> September</w:t>
      </w:r>
      <w:r w:rsidR="00073AF0">
        <w:t xml:space="preserve">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0"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2F102F" w:rsidRPr="002955FD">
          <w:rPr>
            <w:rStyle w:val="Hyperlink"/>
          </w:rPr>
          <w:t>https://nt.gov.au/about-government/gazettes</w:t>
        </w:r>
      </w:hyperlink>
    </w:p>
    <w:p w:rsidR="00217476" w:rsidRPr="005C602B" w:rsidRDefault="00217476" w:rsidP="00217476">
      <w:pPr>
        <w:tabs>
          <w:tab w:val="left" w:pos="2127"/>
        </w:tabs>
        <w:jc w:val="center"/>
        <w:sectPr w:rsidR="00217476" w:rsidRPr="005C602B"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C12B8E" w:rsidRPr="00C12B8E" w:rsidRDefault="00C12B8E" w:rsidP="00787A97">
      <w:pPr>
        <w:pStyle w:val="Title"/>
        <w:spacing w:before="0"/>
        <w:ind w:right="-147"/>
        <w:rPr>
          <w:rFonts w:cs="Helvetica"/>
          <w:sz w:val="24"/>
          <w:szCs w:val="24"/>
        </w:rPr>
      </w:pPr>
      <w:r w:rsidRPr="00C12B8E">
        <w:rPr>
          <w:rFonts w:cs="Helvetica"/>
          <w:sz w:val="24"/>
          <w:szCs w:val="24"/>
        </w:rPr>
        <w:lastRenderedPageBreak/>
        <w:t>Notification of Subordinate Legislation</w:t>
      </w:r>
    </w:p>
    <w:p w:rsidR="00C12B8E" w:rsidRPr="00C12B8E" w:rsidRDefault="00C12B8E" w:rsidP="00C12B8E">
      <w:pPr>
        <w:pStyle w:val="Subtitle"/>
        <w:ind w:right="-3146"/>
        <w:rPr>
          <w:rFonts w:ascii="Helvetica" w:hAnsi="Helvetica" w:cs="Helvetica"/>
          <w:sz w:val="24"/>
          <w:szCs w:val="24"/>
        </w:rPr>
      </w:pPr>
    </w:p>
    <w:p w:rsidR="00C12B8E" w:rsidRPr="00C12B8E" w:rsidRDefault="00C12B8E" w:rsidP="00C12B8E">
      <w:pPr>
        <w:pStyle w:val="Subtitle"/>
        <w:spacing w:after="120"/>
        <w:ind w:right="-147"/>
        <w:jc w:val="left"/>
        <w:rPr>
          <w:rFonts w:ascii="Helvetica" w:hAnsi="Helvetica" w:cs="Helvetica"/>
          <w:i w:val="0"/>
          <w:sz w:val="24"/>
          <w:szCs w:val="24"/>
        </w:rPr>
      </w:pPr>
      <w:r w:rsidRPr="00C12B8E">
        <w:rPr>
          <w:rFonts w:ascii="Helvetica" w:hAnsi="Helvetica" w:cs="Helvetica"/>
          <w:i w:val="0"/>
          <w:sz w:val="24"/>
          <w:szCs w:val="24"/>
        </w:rPr>
        <w:t>Notice is given of the making of the following subordinate legislation, effective from the date specified: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tification of subordinate legislation"/>
        <w:tblDescription w:val="Consumer Affairs and Fair Trading (Fuel Retailers) Regulations"/>
      </w:tblPr>
      <w:tblGrid>
        <w:gridCol w:w="3730"/>
        <w:gridCol w:w="2615"/>
        <w:gridCol w:w="2552"/>
      </w:tblGrid>
      <w:tr w:rsidR="00C12B8E" w:rsidRPr="00C12B8E" w:rsidTr="00C12B8E">
        <w:tc>
          <w:tcPr>
            <w:tcW w:w="3730" w:type="dxa"/>
          </w:tcPr>
          <w:p w:rsidR="00C12B8E" w:rsidRPr="00C12B8E" w:rsidRDefault="00C12B8E" w:rsidP="00DD65C8">
            <w:pPr>
              <w:tabs>
                <w:tab w:val="left" w:pos="5103"/>
              </w:tabs>
              <w:spacing w:before="60"/>
              <w:ind w:right="539"/>
              <w:rPr>
                <w:rFonts w:cs="Helvetica"/>
                <w:b/>
                <w:color w:val="000000"/>
                <w:szCs w:val="24"/>
                <w:lang w:val="en-AU"/>
              </w:rPr>
            </w:pPr>
            <w:r w:rsidRPr="00C12B8E">
              <w:rPr>
                <w:rFonts w:cs="Helvetica"/>
                <w:b/>
                <w:szCs w:val="24"/>
              </w:rPr>
              <w:t>Subordinate Legislation</w:t>
            </w:r>
          </w:p>
        </w:tc>
        <w:tc>
          <w:tcPr>
            <w:tcW w:w="2615" w:type="dxa"/>
          </w:tcPr>
          <w:p w:rsidR="00C12B8E" w:rsidRPr="00C12B8E" w:rsidRDefault="00C12B8E" w:rsidP="00DD65C8">
            <w:pPr>
              <w:spacing w:before="60" w:after="60"/>
              <w:rPr>
                <w:rFonts w:cs="Helvetica"/>
                <w:b/>
                <w:szCs w:val="24"/>
              </w:rPr>
            </w:pPr>
            <w:r w:rsidRPr="00C12B8E">
              <w:rPr>
                <w:rFonts w:cs="Helvetica"/>
                <w:b/>
                <w:szCs w:val="24"/>
              </w:rPr>
              <w:t>Commence</w:t>
            </w:r>
            <w:bookmarkStart w:id="0" w:name="_GoBack"/>
            <w:bookmarkEnd w:id="0"/>
            <w:r w:rsidRPr="00C12B8E">
              <w:rPr>
                <w:rFonts w:cs="Helvetica"/>
                <w:b/>
                <w:szCs w:val="24"/>
              </w:rPr>
              <w:t>ment details</w:t>
            </w:r>
          </w:p>
        </w:tc>
        <w:tc>
          <w:tcPr>
            <w:tcW w:w="2552" w:type="dxa"/>
          </w:tcPr>
          <w:p w:rsidR="00C12B8E" w:rsidRPr="00C12B8E" w:rsidRDefault="00C12B8E" w:rsidP="00DD65C8">
            <w:pPr>
              <w:spacing w:before="60" w:after="60"/>
              <w:rPr>
                <w:rFonts w:cs="Helvetica"/>
                <w:b/>
                <w:szCs w:val="24"/>
              </w:rPr>
            </w:pPr>
            <w:r w:rsidRPr="00C12B8E">
              <w:rPr>
                <w:rFonts w:cs="Helvetica"/>
                <w:b/>
                <w:szCs w:val="24"/>
              </w:rPr>
              <w:t>Empowering Act</w:t>
            </w:r>
          </w:p>
        </w:tc>
      </w:tr>
      <w:tr w:rsidR="00C12B8E" w:rsidRPr="00C12B8E" w:rsidTr="00C12B8E">
        <w:tc>
          <w:tcPr>
            <w:tcW w:w="3730" w:type="dxa"/>
          </w:tcPr>
          <w:p w:rsidR="00C12B8E" w:rsidRPr="00C12B8E" w:rsidRDefault="00C12B8E" w:rsidP="00DD65C8">
            <w:pPr>
              <w:tabs>
                <w:tab w:val="left" w:pos="5103"/>
              </w:tabs>
              <w:spacing w:before="60"/>
              <w:ind w:right="539"/>
              <w:rPr>
                <w:rFonts w:cs="Helvetica"/>
                <w:color w:val="000000"/>
                <w:szCs w:val="24"/>
                <w:lang w:val="en-AU"/>
              </w:rPr>
            </w:pPr>
            <w:r w:rsidRPr="00C12B8E">
              <w:rPr>
                <w:rFonts w:cs="Helvetica"/>
                <w:color w:val="000000"/>
                <w:szCs w:val="24"/>
                <w:lang w:val="en-AU"/>
              </w:rPr>
              <w:t>Consumer Affairs and Fair Trading (Fuel</w:t>
            </w:r>
            <w:r>
              <w:rPr>
                <w:rFonts w:cs="Helvetica"/>
                <w:color w:val="000000"/>
                <w:szCs w:val="24"/>
                <w:lang w:val="en-AU"/>
              </w:rPr>
              <w:t> </w:t>
            </w:r>
            <w:r w:rsidRPr="00C12B8E">
              <w:rPr>
                <w:rFonts w:cs="Helvetica"/>
                <w:color w:val="000000"/>
                <w:szCs w:val="24"/>
                <w:lang w:val="en-AU"/>
              </w:rPr>
              <w:t>Retailers)</w:t>
            </w:r>
            <w:r>
              <w:rPr>
                <w:rFonts w:cs="Helvetica"/>
                <w:color w:val="000000"/>
                <w:szCs w:val="24"/>
                <w:lang w:val="en-AU"/>
              </w:rPr>
              <w:t> </w:t>
            </w:r>
            <w:r w:rsidRPr="00C12B8E">
              <w:rPr>
                <w:rFonts w:cs="Helvetica"/>
                <w:color w:val="000000"/>
                <w:szCs w:val="24"/>
                <w:lang w:val="en-AU"/>
              </w:rPr>
              <w:t xml:space="preserve">Regulations </w:t>
            </w:r>
          </w:p>
          <w:p w:rsidR="00C12B8E" w:rsidRPr="00C12B8E" w:rsidRDefault="00C12B8E" w:rsidP="00DD65C8">
            <w:pPr>
              <w:tabs>
                <w:tab w:val="left" w:pos="5103"/>
              </w:tabs>
              <w:spacing w:before="60"/>
              <w:ind w:right="539"/>
              <w:rPr>
                <w:rFonts w:cs="Helvetica"/>
                <w:szCs w:val="24"/>
              </w:rPr>
            </w:pPr>
            <w:r w:rsidRPr="00C12B8E">
              <w:rPr>
                <w:rFonts w:cs="Helvetica"/>
                <w:color w:val="000000"/>
                <w:szCs w:val="24"/>
                <w:lang w:val="en-AU"/>
              </w:rPr>
              <w:t>(No. 28 of 2017)</w:t>
            </w:r>
          </w:p>
        </w:tc>
        <w:tc>
          <w:tcPr>
            <w:tcW w:w="2615" w:type="dxa"/>
          </w:tcPr>
          <w:p w:rsidR="00C12B8E" w:rsidRPr="00C12B8E" w:rsidRDefault="00C12B8E" w:rsidP="00C12B8E">
            <w:pPr>
              <w:spacing w:before="60"/>
              <w:rPr>
                <w:rFonts w:cs="Helvetica"/>
                <w:i/>
                <w:szCs w:val="24"/>
              </w:rPr>
            </w:pPr>
            <w:r w:rsidRPr="00C12B8E">
              <w:rPr>
                <w:rFonts w:cs="Helvetica"/>
                <w:szCs w:val="24"/>
              </w:rPr>
              <w:t>These Regulations commence on 1 November 2017.</w:t>
            </w:r>
          </w:p>
        </w:tc>
        <w:tc>
          <w:tcPr>
            <w:tcW w:w="2552" w:type="dxa"/>
          </w:tcPr>
          <w:p w:rsidR="00C12B8E" w:rsidRPr="00C12B8E" w:rsidRDefault="00C12B8E" w:rsidP="00DD65C8">
            <w:pPr>
              <w:spacing w:before="60"/>
              <w:rPr>
                <w:rFonts w:cs="Helvetica"/>
                <w:i/>
                <w:szCs w:val="24"/>
              </w:rPr>
            </w:pPr>
            <w:r w:rsidRPr="00C12B8E">
              <w:rPr>
                <w:rFonts w:cs="Helvetica"/>
                <w:i/>
                <w:szCs w:val="24"/>
              </w:rPr>
              <w:t xml:space="preserve">Consumer Affairs and Fair Trading Act  </w:t>
            </w:r>
          </w:p>
        </w:tc>
      </w:tr>
    </w:tbl>
    <w:p w:rsidR="00C12B8E" w:rsidRDefault="00C12B8E" w:rsidP="00C12B8E">
      <w:pPr>
        <w:spacing w:before="120"/>
        <w:ind w:right="-289"/>
        <w:rPr>
          <w:rFonts w:cs="Helvetica"/>
          <w:szCs w:val="24"/>
        </w:rPr>
      </w:pPr>
      <w:r w:rsidRPr="00C12B8E">
        <w:rPr>
          <w:rFonts w:cs="Helvetica"/>
          <w:szCs w:val="24"/>
        </w:rPr>
        <w:t xml:space="preserve">For copies of legislation please direct your request to the Print Management Unit, email </w:t>
      </w:r>
      <w:hyperlink r:id="rId16" w:history="1">
        <w:r w:rsidRPr="00C12B8E">
          <w:rPr>
            <w:rStyle w:val="Hyperlink"/>
            <w:rFonts w:cs="Helvetica"/>
            <w:szCs w:val="24"/>
          </w:rPr>
          <w:t>pmu.ntg@nt.gov.au</w:t>
        </w:r>
      </w:hyperlink>
      <w:r w:rsidRPr="00C12B8E">
        <w:rPr>
          <w:rFonts w:cs="Helvetica"/>
          <w:szCs w:val="24"/>
        </w:rPr>
        <w:t xml:space="preserve"> or phone (08) 8999 6727 </w:t>
      </w:r>
    </w:p>
    <w:p w:rsidR="00893BA0" w:rsidRPr="00893BA0" w:rsidRDefault="00893BA0" w:rsidP="00870331">
      <w:pPr>
        <w:spacing w:before="840" w:line="360" w:lineRule="auto"/>
        <w:jc w:val="center"/>
        <w:rPr>
          <w:rFonts w:cs="Helvetica"/>
          <w:szCs w:val="24"/>
          <w:lang w:val="en-AU" w:eastAsia="en-AU"/>
        </w:rPr>
      </w:pPr>
      <w:r w:rsidRPr="00893BA0">
        <w:rPr>
          <w:rFonts w:cs="Helvetica"/>
          <w:szCs w:val="24"/>
        </w:rPr>
        <w:t>Northern Territory</w:t>
      </w:r>
    </w:p>
    <w:p w:rsidR="00893BA0" w:rsidRPr="00893BA0" w:rsidRDefault="00893BA0" w:rsidP="00893BA0">
      <w:pPr>
        <w:spacing w:line="360" w:lineRule="auto"/>
        <w:jc w:val="center"/>
        <w:rPr>
          <w:rFonts w:cs="Helvetica"/>
          <w:i/>
          <w:szCs w:val="24"/>
        </w:rPr>
      </w:pPr>
      <w:r w:rsidRPr="00893BA0">
        <w:rPr>
          <w:rFonts w:cs="Helvetica"/>
          <w:i/>
          <w:szCs w:val="24"/>
        </w:rPr>
        <w:t>Associations Act</w:t>
      </w:r>
    </w:p>
    <w:p w:rsidR="00893BA0" w:rsidRPr="00893BA0" w:rsidRDefault="00893BA0" w:rsidP="00893BA0">
      <w:pPr>
        <w:spacing w:line="360" w:lineRule="auto"/>
        <w:jc w:val="center"/>
        <w:rPr>
          <w:rFonts w:cs="Helvetica"/>
          <w:szCs w:val="24"/>
        </w:rPr>
      </w:pPr>
      <w:r w:rsidRPr="00893BA0">
        <w:rPr>
          <w:rFonts w:cs="Helvetica"/>
          <w:szCs w:val="24"/>
        </w:rPr>
        <w:t>Notice of Dissolution of Associations</w:t>
      </w:r>
    </w:p>
    <w:p w:rsidR="00893BA0" w:rsidRPr="00893BA0" w:rsidRDefault="00893BA0" w:rsidP="00893BA0">
      <w:pPr>
        <w:spacing w:after="240" w:line="360" w:lineRule="auto"/>
        <w:jc w:val="both"/>
        <w:rPr>
          <w:rFonts w:cs="Helvetica"/>
          <w:szCs w:val="24"/>
        </w:rPr>
      </w:pPr>
      <w:r w:rsidRPr="00893BA0">
        <w:rPr>
          <w:rFonts w:cs="Helvetica"/>
          <w:szCs w:val="24"/>
        </w:rPr>
        <w:t xml:space="preserve">I, John McLaren, as a delegate of the Commissioner, pursuant to section 65(5) of the </w:t>
      </w:r>
      <w:r w:rsidRPr="00893BA0">
        <w:rPr>
          <w:rFonts w:cs="Helvetica"/>
          <w:i/>
          <w:szCs w:val="24"/>
        </w:rPr>
        <w:t>Associations Act</w:t>
      </w:r>
      <w:r w:rsidRPr="00893BA0">
        <w:rPr>
          <w:rFonts w:cs="Helvetica"/>
          <w:szCs w:val="24"/>
        </w:rPr>
        <w:t>, give notice that the associations specified in the Schedule are dissolved.</w:t>
      </w:r>
    </w:p>
    <w:p w:rsidR="00893BA0" w:rsidRPr="00893BA0" w:rsidRDefault="00893BA0" w:rsidP="00893BA0">
      <w:pPr>
        <w:spacing w:before="240" w:after="240"/>
        <w:rPr>
          <w:rFonts w:cs="Helvetica"/>
          <w:szCs w:val="24"/>
        </w:rPr>
      </w:pPr>
      <w:r w:rsidRPr="00893BA0">
        <w:rPr>
          <w:rFonts w:cs="Helvetica"/>
          <w:szCs w:val="24"/>
        </w:rPr>
        <w:t>Dated: 21</w:t>
      </w:r>
      <w:r w:rsidRPr="00893BA0">
        <w:rPr>
          <w:rFonts w:cs="Helvetica"/>
          <w:szCs w:val="24"/>
          <w:vertAlign w:val="superscript"/>
        </w:rPr>
        <w:t>st</w:t>
      </w:r>
      <w:r w:rsidRPr="00893BA0">
        <w:rPr>
          <w:rFonts w:cs="Helvetica"/>
          <w:szCs w:val="24"/>
        </w:rPr>
        <w:t xml:space="preserve"> September 2017</w:t>
      </w:r>
    </w:p>
    <w:p w:rsidR="00893BA0" w:rsidRPr="00893BA0" w:rsidRDefault="00893BA0" w:rsidP="00893BA0">
      <w:pPr>
        <w:jc w:val="right"/>
        <w:rPr>
          <w:rFonts w:cs="Helvetica"/>
          <w:szCs w:val="24"/>
        </w:rPr>
      </w:pPr>
      <w:r>
        <w:rPr>
          <w:rFonts w:cs="Helvetica"/>
          <w:szCs w:val="24"/>
        </w:rPr>
        <w:t>J. McLaren</w:t>
      </w:r>
    </w:p>
    <w:p w:rsidR="00893BA0" w:rsidRPr="00893BA0" w:rsidRDefault="00893BA0" w:rsidP="00893BA0">
      <w:pPr>
        <w:spacing w:after="360" w:line="360" w:lineRule="auto"/>
        <w:jc w:val="right"/>
        <w:rPr>
          <w:rFonts w:cs="Helvetica"/>
          <w:szCs w:val="24"/>
        </w:rPr>
      </w:pPr>
      <w:r w:rsidRPr="00893BA0">
        <w:rPr>
          <w:rFonts w:cs="Helvetica"/>
          <w:szCs w:val="24"/>
        </w:rPr>
        <w:t>Delegate of Commissioner</w:t>
      </w:r>
    </w:p>
    <w:p w:rsidR="00893BA0" w:rsidRPr="00893BA0" w:rsidRDefault="00893BA0" w:rsidP="00893BA0">
      <w:pPr>
        <w:spacing w:after="120"/>
        <w:ind w:left="720" w:hanging="720"/>
        <w:jc w:val="both"/>
        <w:rPr>
          <w:rFonts w:cs="Helvetica"/>
          <w:szCs w:val="24"/>
        </w:rPr>
      </w:pPr>
      <w:r w:rsidRPr="00893BA0">
        <w:rPr>
          <w:rFonts w:cs="Helvetica"/>
          <w:szCs w:val="24"/>
        </w:rPr>
        <w:t>Note:</w:t>
      </w:r>
      <w:r w:rsidRPr="00893BA0">
        <w:rPr>
          <w:rFonts w:cs="Helvetica"/>
          <w:szCs w:val="24"/>
        </w:rPr>
        <w:tab/>
        <w:t>Enquiries should be directed to John McLaren at Licensing NT, Department</w:t>
      </w:r>
      <w:r>
        <w:rPr>
          <w:rFonts w:cs="Helvetica"/>
          <w:szCs w:val="24"/>
        </w:rPr>
        <w:t> </w:t>
      </w:r>
      <w:r w:rsidRPr="00893BA0">
        <w:rPr>
          <w:rFonts w:cs="Helvetica"/>
          <w:szCs w:val="24"/>
        </w:rPr>
        <w:t>of Attorney-General and Justice, Level 3, NAB House, 71</w:t>
      </w:r>
      <w:r>
        <w:rPr>
          <w:rFonts w:cs="Helvetica"/>
          <w:szCs w:val="24"/>
        </w:rPr>
        <w:t> </w:t>
      </w:r>
      <w:r w:rsidR="00870331">
        <w:rPr>
          <w:rFonts w:cs="Helvetica"/>
          <w:szCs w:val="24"/>
        </w:rPr>
        <w:t xml:space="preserve">Smith Street, Darwin. </w:t>
      </w:r>
      <w:r w:rsidRPr="00893BA0">
        <w:rPr>
          <w:rFonts w:cs="Helvetica"/>
          <w:szCs w:val="24"/>
        </w:rPr>
        <w:t xml:space="preserve"> Phone: (08) 8999 7824.</w:t>
      </w:r>
    </w:p>
    <w:p w:rsidR="00893BA0" w:rsidRPr="00893BA0" w:rsidRDefault="00893BA0" w:rsidP="00893BA0">
      <w:pPr>
        <w:tabs>
          <w:tab w:val="left" w:pos="-720"/>
        </w:tabs>
        <w:spacing w:line="360" w:lineRule="auto"/>
        <w:jc w:val="center"/>
        <w:rPr>
          <w:rFonts w:cs="Helvetica"/>
          <w:spacing w:val="-3"/>
          <w:szCs w:val="24"/>
        </w:rPr>
      </w:pPr>
      <w:r w:rsidRPr="00893BA0">
        <w:rPr>
          <w:rFonts w:cs="Helvetica"/>
          <w:spacing w:val="-3"/>
          <w:szCs w:val="24"/>
        </w:rPr>
        <w:t>____________________________</w:t>
      </w:r>
    </w:p>
    <w:p w:rsidR="00893BA0" w:rsidRPr="00893BA0" w:rsidRDefault="00893BA0" w:rsidP="00893BA0">
      <w:pPr>
        <w:pStyle w:val="BodyText"/>
        <w:spacing w:before="240" w:after="120" w:line="360" w:lineRule="auto"/>
        <w:ind w:left="488"/>
        <w:jc w:val="center"/>
        <w:rPr>
          <w:rFonts w:ascii="Helvetica" w:hAnsi="Helvetica" w:cs="Helvetica"/>
          <w:spacing w:val="-3"/>
          <w:sz w:val="24"/>
          <w:szCs w:val="24"/>
        </w:rPr>
      </w:pPr>
      <w:r w:rsidRPr="00893BA0">
        <w:rPr>
          <w:rFonts w:ascii="Helvetica" w:hAnsi="Helvetica" w:cs="Helvetica"/>
          <w:sz w:val="24"/>
          <w:szCs w:val="24"/>
        </w:rPr>
        <w:t>Schedule</w:t>
      </w:r>
    </w:p>
    <w:tbl>
      <w:tblPr>
        <w:tblW w:w="0" w:type="dxa"/>
        <w:tblLayout w:type="fixed"/>
        <w:tblLook w:val="04A0" w:firstRow="1" w:lastRow="0" w:firstColumn="1" w:lastColumn="0" w:noHBand="0" w:noVBand="1"/>
        <w:tblCaption w:val="Assocations to be dissolved"/>
      </w:tblPr>
      <w:tblGrid>
        <w:gridCol w:w="1809"/>
        <w:gridCol w:w="7119"/>
      </w:tblGrid>
      <w:tr w:rsidR="00893BA0" w:rsidRPr="00893BA0" w:rsidTr="00893BA0">
        <w:tc>
          <w:tcPr>
            <w:tcW w:w="1809" w:type="dxa"/>
          </w:tcPr>
          <w:p w:rsidR="00893BA0" w:rsidRPr="00893BA0" w:rsidRDefault="00893BA0" w:rsidP="00893BA0">
            <w:pPr>
              <w:spacing w:before="60" w:after="60"/>
              <w:rPr>
                <w:rFonts w:cs="Helvetica"/>
                <w:szCs w:val="24"/>
              </w:rPr>
            </w:pPr>
            <w:r w:rsidRPr="00893BA0">
              <w:rPr>
                <w:rFonts w:cs="Helvetica"/>
                <w:szCs w:val="24"/>
              </w:rPr>
              <w:t>IA03069</w:t>
            </w:r>
          </w:p>
        </w:tc>
        <w:tc>
          <w:tcPr>
            <w:tcW w:w="7119" w:type="dxa"/>
          </w:tcPr>
          <w:p w:rsidR="00893BA0" w:rsidRPr="00893BA0" w:rsidRDefault="00893BA0" w:rsidP="00893BA0">
            <w:pPr>
              <w:spacing w:before="60" w:after="60"/>
              <w:rPr>
                <w:rFonts w:cs="Helvetica"/>
                <w:szCs w:val="24"/>
              </w:rPr>
            </w:pPr>
            <w:r w:rsidRPr="00893BA0">
              <w:rPr>
                <w:rFonts w:cs="Helvetica"/>
                <w:szCs w:val="24"/>
              </w:rPr>
              <w:t>Protective Behaviours NT Incorporated</w:t>
            </w:r>
          </w:p>
        </w:tc>
      </w:tr>
      <w:tr w:rsidR="00893BA0" w:rsidRPr="00893BA0" w:rsidTr="00893BA0">
        <w:tc>
          <w:tcPr>
            <w:tcW w:w="1809" w:type="dxa"/>
          </w:tcPr>
          <w:p w:rsidR="00893BA0" w:rsidRPr="00893BA0" w:rsidRDefault="00893BA0" w:rsidP="00893BA0">
            <w:pPr>
              <w:spacing w:before="60" w:after="60"/>
              <w:rPr>
                <w:rFonts w:cs="Helvetica"/>
                <w:szCs w:val="24"/>
              </w:rPr>
            </w:pPr>
            <w:r w:rsidRPr="00893BA0">
              <w:rPr>
                <w:rFonts w:cs="Helvetica"/>
                <w:color w:val="000000"/>
                <w:szCs w:val="24"/>
              </w:rPr>
              <w:t>01472C</w:t>
            </w:r>
          </w:p>
        </w:tc>
        <w:tc>
          <w:tcPr>
            <w:tcW w:w="7119" w:type="dxa"/>
          </w:tcPr>
          <w:p w:rsidR="00893BA0" w:rsidRPr="00893BA0" w:rsidRDefault="00893BA0" w:rsidP="00893BA0">
            <w:pPr>
              <w:spacing w:before="60" w:after="60"/>
              <w:rPr>
                <w:rFonts w:cs="Helvetica"/>
                <w:szCs w:val="24"/>
              </w:rPr>
            </w:pPr>
            <w:r w:rsidRPr="00893BA0">
              <w:rPr>
                <w:rFonts w:cs="Helvetica"/>
                <w:color w:val="000000"/>
                <w:szCs w:val="24"/>
              </w:rPr>
              <w:t>Unit Committee - T.S. Darwin Incorporated</w:t>
            </w:r>
          </w:p>
        </w:tc>
      </w:tr>
      <w:tr w:rsidR="00893BA0" w:rsidRPr="00893BA0" w:rsidTr="00893BA0">
        <w:tc>
          <w:tcPr>
            <w:tcW w:w="1809" w:type="dxa"/>
          </w:tcPr>
          <w:p w:rsidR="00893BA0" w:rsidRPr="00893BA0" w:rsidRDefault="00893BA0" w:rsidP="00893BA0">
            <w:pPr>
              <w:spacing w:before="60" w:after="60"/>
              <w:rPr>
                <w:rFonts w:cs="Helvetica"/>
                <w:szCs w:val="24"/>
              </w:rPr>
            </w:pPr>
            <w:r w:rsidRPr="00893BA0">
              <w:rPr>
                <w:rFonts w:cs="Helvetica"/>
                <w:color w:val="000000"/>
                <w:szCs w:val="24"/>
              </w:rPr>
              <w:t>IA03028</w:t>
            </w:r>
          </w:p>
        </w:tc>
        <w:tc>
          <w:tcPr>
            <w:tcW w:w="7119" w:type="dxa"/>
          </w:tcPr>
          <w:p w:rsidR="00893BA0" w:rsidRPr="00893BA0" w:rsidRDefault="00893BA0" w:rsidP="00893BA0">
            <w:pPr>
              <w:spacing w:before="60" w:after="60"/>
              <w:rPr>
                <w:rFonts w:cs="Helvetica"/>
                <w:szCs w:val="24"/>
              </w:rPr>
            </w:pPr>
            <w:r w:rsidRPr="00893BA0">
              <w:rPr>
                <w:rFonts w:cs="Helvetica"/>
                <w:color w:val="000000"/>
                <w:szCs w:val="24"/>
              </w:rPr>
              <w:t>Money Workers Association of the Northern Territory</w:t>
            </w:r>
          </w:p>
        </w:tc>
      </w:tr>
    </w:tbl>
    <w:p w:rsidR="00893BA0" w:rsidRPr="00893BA0" w:rsidRDefault="00893BA0" w:rsidP="00893BA0">
      <w:pPr>
        <w:tabs>
          <w:tab w:val="center" w:pos="4513"/>
        </w:tabs>
        <w:spacing w:before="120"/>
        <w:jc w:val="center"/>
        <w:rPr>
          <w:rFonts w:cs="Helvetica"/>
          <w:spacing w:val="-3"/>
          <w:szCs w:val="24"/>
        </w:rPr>
      </w:pPr>
      <w:r w:rsidRPr="00893BA0">
        <w:rPr>
          <w:rFonts w:cs="Helvetica"/>
          <w:spacing w:val="-3"/>
          <w:szCs w:val="24"/>
        </w:rPr>
        <w:t>_____________________________</w:t>
      </w:r>
    </w:p>
    <w:p w:rsidR="00C12B8E" w:rsidRDefault="00E84684" w:rsidP="00787A97">
      <w:pPr>
        <w:pageBreakBefore/>
        <w:widowControl w:val="0"/>
        <w:tabs>
          <w:tab w:val="left" w:pos="800"/>
          <w:tab w:val="left" w:pos="1600"/>
          <w:tab w:val="left" w:pos="2400"/>
          <w:tab w:val="left" w:pos="3200"/>
          <w:tab w:val="left" w:pos="3800"/>
          <w:tab w:val="center" w:pos="4513"/>
          <w:tab w:val="left" w:pos="7100"/>
        </w:tabs>
        <w:spacing w:line="360" w:lineRule="auto"/>
        <w:ind w:left="799" w:hanging="799"/>
        <w:jc w:val="center"/>
        <w:rPr>
          <w:rFonts w:cs="Helvetica"/>
          <w:spacing w:val="-3"/>
          <w:szCs w:val="24"/>
          <w:lang w:val="en-AU"/>
        </w:rPr>
      </w:pPr>
      <w:r>
        <w:rPr>
          <w:rFonts w:cs="Helvetica"/>
          <w:spacing w:val="-3"/>
        </w:rPr>
        <w:t>Northern Territory of Australia</w:t>
      </w:r>
    </w:p>
    <w:p w:rsidR="00C12B8E" w:rsidRDefault="00E84684" w:rsidP="00E84684">
      <w:pPr>
        <w:pStyle w:val="Heading1"/>
        <w:spacing w:before="0" w:line="360" w:lineRule="auto"/>
        <w:jc w:val="center"/>
        <w:rPr>
          <w:rFonts w:cs="Helvetica"/>
          <w:i/>
          <w:sz w:val="24"/>
          <w:szCs w:val="24"/>
        </w:rPr>
      </w:pPr>
      <w:r>
        <w:rPr>
          <w:rFonts w:cs="Helvetica"/>
          <w:i/>
          <w:sz w:val="24"/>
          <w:szCs w:val="24"/>
        </w:rPr>
        <w:t>Control of Roads Act</w:t>
      </w:r>
    </w:p>
    <w:p w:rsidR="00C12B8E" w:rsidRDefault="00E84684" w:rsidP="00E84684">
      <w:pPr>
        <w:pStyle w:val="TOC1"/>
        <w:keepNext w:val="0"/>
        <w:keepLines w:val="0"/>
        <w:tabs>
          <w:tab w:val="clear" w:pos="688"/>
          <w:tab w:val="clear" w:pos="1668"/>
          <w:tab w:val="clear" w:pos="1948"/>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s>
        <w:spacing w:before="0" w:line="360" w:lineRule="auto"/>
        <w:rPr>
          <w:rFonts w:ascii="Helvetica" w:hAnsi="Helvetica" w:cs="Helvetica"/>
          <w:sz w:val="24"/>
          <w:szCs w:val="24"/>
        </w:rPr>
      </w:pPr>
      <w:r>
        <w:rPr>
          <w:rFonts w:ascii="Helvetica" w:hAnsi="Helvetica" w:cs="Helvetica"/>
          <w:spacing w:val="-3"/>
          <w:sz w:val="24"/>
          <w:szCs w:val="24"/>
        </w:rPr>
        <w:t>Proposal to Close Road</w:t>
      </w:r>
    </w:p>
    <w:p w:rsidR="00C12B8E" w:rsidRPr="00E84684" w:rsidRDefault="00C12B8E" w:rsidP="00C12B8E">
      <w:pPr>
        <w:pStyle w:val="Header"/>
        <w:spacing w:after="120"/>
        <w:jc w:val="both"/>
        <w:rPr>
          <w:rFonts w:cs="Helvetica"/>
          <w:color w:val="auto"/>
          <w:sz w:val="24"/>
          <w:szCs w:val="24"/>
        </w:rPr>
      </w:pPr>
      <w:r w:rsidRPr="00E84684">
        <w:rPr>
          <w:rFonts w:cs="Helvetica"/>
          <w:color w:val="auto"/>
          <w:spacing w:val="-3"/>
          <w:sz w:val="24"/>
          <w:szCs w:val="24"/>
        </w:rPr>
        <w:t xml:space="preserve">I, </w:t>
      </w:r>
      <w:r w:rsidR="003F0FDC" w:rsidRPr="00E84684">
        <w:rPr>
          <w:rFonts w:cs="Helvetica"/>
          <w:color w:val="auto"/>
          <w:sz w:val="24"/>
          <w:szCs w:val="24"/>
        </w:rPr>
        <w:t>Robert Ian Sarib</w:t>
      </w:r>
      <w:r w:rsidRPr="00E84684">
        <w:rPr>
          <w:rFonts w:cs="Helvetica"/>
          <w:color w:val="auto"/>
          <w:sz w:val="24"/>
          <w:szCs w:val="24"/>
        </w:rPr>
        <w:t xml:space="preserve">, Acting Surveyor-General, under section 18 of the </w:t>
      </w:r>
      <w:r w:rsidRPr="00E84684">
        <w:rPr>
          <w:rFonts w:cs="Helvetica"/>
          <w:i/>
          <w:color w:val="auto"/>
          <w:sz w:val="24"/>
          <w:szCs w:val="24"/>
        </w:rPr>
        <w:t>Control of Roads Act</w:t>
      </w:r>
      <w:r w:rsidRPr="00E84684">
        <w:rPr>
          <w:rFonts w:cs="Helvetica"/>
          <w:color w:val="auto"/>
          <w:sz w:val="24"/>
          <w:szCs w:val="24"/>
        </w:rPr>
        <w:t>:</w:t>
      </w:r>
    </w:p>
    <w:p w:rsidR="00C12B8E" w:rsidRPr="00E84684" w:rsidRDefault="00C12B8E" w:rsidP="00C12B8E">
      <w:pPr>
        <w:pStyle w:val="Header"/>
        <w:spacing w:after="120"/>
        <w:ind w:left="720" w:hanging="720"/>
        <w:jc w:val="both"/>
        <w:rPr>
          <w:rFonts w:cs="Helvetica"/>
          <w:color w:val="auto"/>
          <w:sz w:val="24"/>
          <w:szCs w:val="24"/>
        </w:rPr>
      </w:pPr>
      <w:r w:rsidRPr="00E84684">
        <w:rPr>
          <w:rFonts w:cs="Helvetica"/>
          <w:color w:val="auto"/>
          <w:sz w:val="24"/>
          <w:szCs w:val="24"/>
        </w:rPr>
        <w:t>(a)</w:t>
      </w:r>
      <w:r w:rsidRPr="00E84684">
        <w:rPr>
          <w:rFonts w:cs="Helvetica"/>
          <w:color w:val="auto"/>
          <w:sz w:val="24"/>
          <w:szCs w:val="24"/>
        </w:rPr>
        <w:tab/>
        <w:t xml:space="preserve">give notice of a proposal to close a road through part Tiger Brennan Drive, Hundred of </w:t>
      </w:r>
      <w:r w:rsidR="00D3538B">
        <w:rPr>
          <w:rFonts w:cs="Helvetica"/>
          <w:color w:val="auto"/>
          <w:sz w:val="24"/>
          <w:szCs w:val="24"/>
        </w:rPr>
        <w:t xml:space="preserve">Bagot in accordance with Survey </w:t>
      </w:r>
      <w:r w:rsidRPr="00E84684">
        <w:rPr>
          <w:rFonts w:cs="Helvetica"/>
          <w:color w:val="auto"/>
          <w:sz w:val="24"/>
          <w:szCs w:val="24"/>
        </w:rPr>
        <w:t>Plan No. S2012/244 and as shown in hatched lines on the map in the Schedule; and</w:t>
      </w:r>
    </w:p>
    <w:p w:rsidR="003F0FDC" w:rsidRDefault="00C12B8E" w:rsidP="003F0FDC">
      <w:pPr>
        <w:pStyle w:val="Header"/>
        <w:spacing w:after="120"/>
        <w:ind w:left="720" w:hanging="720"/>
        <w:jc w:val="both"/>
        <w:rPr>
          <w:rFonts w:cs="Helvetica"/>
          <w:color w:val="auto"/>
          <w:sz w:val="24"/>
          <w:szCs w:val="24"/>
        </w:rPr>
      </w:pPr>
      <w:r w:rsidRPr="00E84684">
        <w:rPr>
          <w:rFonts w:cs="Helvetica"/>
          <w:color w:val="auto"/>
          <w:sz w:val="24"/>
          <w:szCs w:val="24"/>
        </w:rPr>
        <w:t>(b)</w:t>
      </w:r>
      <w:r w:rsidRPr="00E84684">
        <w:rPr>
          <w:rFonts w:cs="Helvetica"/>
          <w:color w:val="auto"/>
          <w:sz w:val="24"/>
          <w:szCs w:val="24"/>
        </w:rPr>
        <w:tab/>
        <w:t>advise that the adjoining owners are as follows:</w:t>
      </w:r>
    </w:p>
    <w:p w:rsidR="003F0FDC" w:rsidRDefault="00C12B8E" w:rsidP="00E83E3D">
      <w:pPr>
        <w:pStyle w:val="Header"/>
        <w:spacing w:after="0"/>
        <w:ind w:left="720" w:hanging="11"/>
        <w:jc w:val="both"/>
        <w:rPr>
          <w:rFonts w:cs="Helvetica"/>
          <w:color w:val="auto"/>
          <w:sz w:val="24"/>
          <w:szCs w:val="24"/>
        </w:rPr>
      </w:pPr>
      <w:r w:rsidRPr="00E84684">
        <w:rPr>
          <w:rFonts w:cs="Helvetica"/>
          <w:color w:val="auto"/>
          <w:sz w:val="24"/>
          <w:szCs w:val="24"/>
        </w:rPr>
        <w:t>(i)</w:t>
      </w:r>
      <w:r w:rsidR="000C794E">
        <w:rPr>
          <w:rFonts w:cs="Helvetica"/>
          <w:color w:val="auto"/>
          <w:sz w:val="24"/>
          <w:szCs w:val="24"/>
        </w:rPr>
        <w:t xml:space="preserve"> </w:t>
      </w:r>
      <w:r w:rsidRPr="00E84684">
        <w:rPr>
          <w:rFonts w:cs="Helvetica"/>
          <w:color w:val="auto"/>
          <w:sz w:val="24"/>
          <w:szCs w:val="24"/>
        </w:rPr>
        <w:t>Section 4260 Hundred of Bagot</w:t>
      </w:r>
    </w:p>
    <w:p w:rsidR="003F0FDC" w:rsidRDefault="00C12B8E" w:rsidP="00D3538B">
      <w:pPr>
        <w:pStyle w:val="Header"/>
        <w:spacing w:after="120"/>
        <w:ind w:left="992" w:hanging="11"/>
        <w:jc w:val="both"/>
        <w:rPr>
          <w:rFonts w:cs="Helvetica"/>
          <w:color w:val="auto"/>
          <w:sz w:val="24"/>
          <w:szCs w:val="24"/>
        </w:rPr>
      </w:pPr>
      <w:r w:rsidRPr="00E84684">
        <w:rPr>
          <w:rFonts w:cs="Helvetica"/>
          <w:color w:val="auto"/>
          <w:sz w:val="24"/>
          <w:szCs w:val="24"/>
        </w:rPr>
        <w:t>Crown c/- Department of Infrastructure, Planning and Logistics</w:t>
      </w:r>
    </w:p>
    <w:p w:rsidR="003F0FDC" w:rsidRDefault="00152DAB" w:rsidP="00D3538B">
      <w:pPr>
        <w:pStyle w:val="Header"/>
        <w:tabs>
          <w:tab w:val="clear" w:pos="4513"/>
          <w:tab w:val="clear" w:pos="9026"/>
        </w:tabs>
        <w:spacing w:after="0"/>
        <w:ind w:left="709" w:hanging="11"/>
        <w:jc w:val="both"/>
        <w:rPr>
          <w:rFonts w:cs="Helvetica"/>
          <w:color w:val="auto"/>
          <w:sz w:val="24"/>
          <w:szCs w:val="24"/>
        </w:rPr>
      </w:pPr>
      <w:r>
        <w:rPr>
          <w:rFonts w:cs="Helvetica"/>
          <w:color w:val="auto"/>
          <w:sz w:val="24"/>
          <w:szCs w:val="24"/>
        </w:rPr>
        <w:t xml:space="preserve">(ii) </w:t>
      </w:r>
      <w:r w:rsidR="00C12B8E" w:rsidRPr="00E84684">
        <w:rPr>
          <w:rFonts w:cs="Helvetica"/>
          <w:color w:val="auto"/>
          <w:sz w:val="24"/>
          <w:szCs w:val="24"/>
        </w:rPr>
        <w:t>Section 5655 Hundred of Bagot</w:t>
      </w:r>
    </w:p>
    <w:p w:rsidR="003F0FDC" w:rsidRDefault="00C12B8E" w:rsidP="00D3538B">
      <w:pPr>
        <w:pStyle w:val="Header"/>
        <w:spacing w:after="0"/>
        <w:ind w:left="981" w:firstLine="34"/>
        <w:jc w:val="both"/>
        <w:rPr>
          <w:rFonts w:cs="Helvetica"/>
          <w:color w:val="auto"/>
          <w:sz w:val="24"/>
          <w:szCs w:val="24"/>
        </w:rPr>
      </w:pPr>
      <w:r w:rsidRPr="00E84684">
        <w:rPr>
          <w:rFonts w:cs="Helvetica"/>
          <w:color w:val="auto"/>
          <w:sz w:val="24"/>
          <w:szCs w:val="24"/>
        </w:rPr>
        <w:t>MMC Australia Pty Ltd</w:t>
      </w:r>
    </w:p>
    <w:p w:rsidR="00C12B8E" w:rsidRPr="00E84684" w:rsidRDefault="00C12B8E" w:rsidP="00D3538B">
      <w:pPr>
        <w:pStyle w:val="Header"/>
        <w:spacing w:after="0"/>
        <w:ind w:left="981" w:firstLine="34"/>
        <w:jc w:val="both"/>
        <w:rPr>
          <w:rFonts w:cs="Helvetica"/>
          <w:color w:val="auto"/>
          <w:sz w:val="24"/>
          <w:szCs w:val="24"/>
        </w:rPr>
      </w:pPr>
      <w:r w:rsidRPr="00E84684">
        <w:rPr>
          <w:rFonts w:cs="Helvetica"/>
          <w:color w:val="auto"/>
          <w:sz w:val="24"/>
          <w:szCs w:val="24"/>
        </w:rPr>
        <w:t>PO Box 55</w:t>
      </w:r>
    </w:p>
    <w:p w:rsidR="00C12B8E" w:rsidRPr="00E84684" w:rsidRDefault="00C12B8E" w:rsidP="00D3538B">
      <w:pPr>
        <w:pStyle w:val="Header"/>
        <w:spacing w:after="0"/>
        <w:ind w:left="981" w:firstLine="34"/>
        <w:jc w:val="both"/>
        <w:rPr>
          <w:rFonts w:cs="Helvetica"/>
          <w:color w:val="auto"/>
          <w:sz w:val="24"/>
          <w:szCs w:val="24"/>
        </w:rPr>
      </w:pPr>
      <w:r w:rsidRPr="00E84684">
        <w:rPr>
          <w:rFonts w:cs="Helvetica"/>
          <w:color w:val="auto"/>
          <w:sz w:val="24"/>
          <w:szCs w:val="24"/>
        </w:rPr>
        <w:t>Berrimah NT 0828</w:t>
      </w:r>
    </w:p>
    <w:p w:rsidR="00C12B8E" w:rsidRDefault="003F0FDC" w:rsidP="003F0FDC">
      <w:pPr>
        <w:tabs>
          <w:tab w:val="left" w:pos="-720"/>
        </w:tabs>
        <w:spacing w:before="240" w:after="240"/>
        <w:rPr>
          <w:rFonts w:cs="Helvetica"/>
          <w:spacing w:val="-3"/>
        </w:rPr>
      </w:pPr>
      <w:r>
        <w:rPr>
          <w:rFonts w:cs="Helvetica"/>
          <w:spacing w:val="-3"/>
        </w:rPr>
        <w:t>Dated 13 September 2017</w:t>
      </w:r>
    </w:p>
    <w:p w:rsidR="003F0FDC" w:rsidRPr="00E84684" w:rsidRDefault="003F0FDC" w:rsidP="003F0FDC">
      <w:pPr>
        <w:tabs>
          <w:tab w:val="left" w:pos="-720"/>
        </w:tabs>
        <w:spacing w:before="240"/>
        <w:jc w:val="right"/>
        <w:rPr>
          <w:rFonts w:cs="Helvetica"/>
          <w:spacing w:val="-3"/>
        </w:rPr>
      </w:pPr>
      <w:r>
        <w:rPr>
          <w:rFonts w:cs="Helvetica"/>
          <w:spacing w:val="-3"/>
        </w:rPr>
        <w:t>R. I. Sarib</w:t>
      </w:r>
    </w:p>
    <w:p w:rsidR="00C12B8E" w:rsidRDefault="00C12B8E" w:rsidP="00C12B8E">
      <w:pPr>
        <w:jc w:val="right"/>
        <w:rPr>
          <w:rFonts w:cs="Helvetica"/>
          <w:szCs w:val="24"/>
        </w:rPr>
      </w:pPr>
      <w:r>
        <w:rPr>
          <w:rFonts w:cs="Helvetica"/>
        </w:rPr>
        <w:t>Acting Surveyor-General</w:t>
      </w:r>
    </w:p>
    <w:p w:rsidR="00C12B8E" w:rsidRDefault="00C12B8E" w:rsidP="00C12B8E">
      <w:pPr>
        <w:spacing w:after="120"/>
        <w:jc w:val="both"/>
        <w:rPr>
          <w:rFonts w:cs="Helvetica"/>
          <w:i/>
          <w:sz w:val="20"/>
        </w:rPr>
      </w:pPr>
      <w:r>
        <w:rPr>
          <w:rFonts w:cs="Helvetica"/>
          <w:i/>
          <w:sz w:val="20"/>
        </w:rPr>
        <w:t>Notes</w:t>
      </w:r>
    </w:p>
    <w:p w:rsidR="00C12B8E" w:rsidRDefault="00C12B8E" w:rsidP="00C12B8E">
      <w:pPr>
        <w:spacing w:after="120"/>
        <w:ind w:left="720" w:hanging="720"/>
        <w:jc w:val="both"/>
        <w:rPr>
          <w:rFonts w:cs="Helvetica"/>
          <w:i/>
          <w:sz w:val="20"/>
        </w:rPr>
      </w:pPr>
      <w:r>
        <w:rPr>
          <w:rFonts w:cs="Helvetica"/>
          <w:i/>
          <w:sz w:val="20"/>
        </w:rPr>
        <w:t>1.</w:t>
      </w:r>
      <w:r>
        <w:rPr>
          <w:rFonts w:cs="Helvetica"/>
          <w:i/>
          <w:sz w:val="20"/>
        </w:rPr>
        <w:tab/>
        <w:t>Survey Plan No. S2012/244 may be inspected at the office of the Surveyor-General, Energy House, 18-20 Cavenagh St, Darwin.</w:t>
      </w:r>
    </w:p>
    <w:p w:rsidR="00C12B8E" w:rsidRDefault="00C12B8E" w:rsidP="00C12B8E">
      <w:pPr>
        <w:spacing w:after="120"/>
        <w:ind w:left="720" w:hanging="720"/>
        <w:jc w:val="both"/>
        <w:rPr>
          <w:rFonts w:cs="Helvetica"/>
          <w:i/>
          <w:sz w:val="20"/>
        </w:rPr>
      </w:pPr>
      <w:r>
        <w:rPr>
          <w:rFonts w:cs="Helvetica"/>
          <w:i/>
          <w:sz w:val="20"/>
        </w:rPr>
        <w:t>2.</w:t>
      </w:r>
      <w:r>
        <w:rPr>
          <w:rFonts w:cs="Helvetica"/>
          <w:i/>
          <w:sz w:val="20"/>
        </w:rPr>
        <w:tab/>
        <w:t>Under section 20 of the Act, a person may object to the proposal by serving notice on the Minister for Infrastructure, Planning and Logistics.  The notice must:</w:t>
      </w:r>
    </w:p>
    <w:p w:rsidR="00C12B8E" w:rsidRDefault="00C12B8E" w:rsidP="00870331">
      <w:pPr>
        <w:spacing w:after="120"/>
        <w:ind w:left="993" w:hanging="284"/>
        <w:jc w:val="both"/>
        <w:rPr>
          <w:rFonts w:cs="Helvetica"/>
          <w:i/>
          <w:sz w:val="20"/>
        </w:rPr>
      </w:pPr>
      <w:r>
        <w:rPr>
          <w:rFonts w:cs="Helvetica"/>
          <w:i/>
          <w:sz w:val="20"/>
        </w:rPr>
        <w:t>(</w:t>
      </w:r>
      <w:r w:rsidR="00870331">
        <w:rPr>
          <w:rFonts w:cs="Helvetica"/>
          <w:i/>
          <w:sz w:val="20"/>
        </w:rPr>
        <w:t xml:space="preserve">a) </w:t>
      </w:r>
      <w:r>
        <w:rPr>
          <w:rFonts w:cs="Helvetica"/>
          <w:i/>
          <w:sz w:val="20"/>
        </w:rPr>
        <w:t>be served personally or by post within 28 days from the l</w:t>
      </w:r>
      <w:r w:rsidR="00870331">
        <w:rPr>
          <w:rFonts w:cs="Helvetica"/>
          <w:i/>
          <w:sz w:val="20"/>
        </w:rPr>
        <w:t xml:space="preserve">ater of the publication of this </w:t>
      </w:r>
      <w:r>
        <w:rPr>
          <w:rFonts w:cs="Helvetica"/>
          <w:i/>
          <w:sz w:val="20"/>
        </w:rPr>
        <w:t>notice in the Gazette or a local newspaper; and</w:t>
      </w:r>
    </w:p>
    <w:p w:rsidR="00C12B8E" w:rsidRDefault="00870331" w:rsidP="00870331">
      <w:pPr>
        <w:spacing w:after="120"/>
        <w:ind w:firstLine="709"/>
        <w:jc w:val="both"/>
        <w:rPr>
          <w:rFonts w:cs="Helvetica"/>
          <w:i/>
          <w:sz w:val="20"/>
        </w:rPr>
      </w:pPr>
      <w:r>
        <w:rPr>
          <w:rFonts w:cs="Helvetica"/>
          <w:i/>
          <w:sz w:val="20"/>
        </w:rPr>
        <w:t xml:space="preserve">(b) </w:t>
      </w:r>
      <w:r w:rsidR="00C12B8E">
        <w:rPr>
          <w:rFonts w:cs="Helvetica"/>
          <w:i/>
          <w:sz w:val="20"/>
        </w:rPr>
        <w:t>state the grounds for objections.</w:t>
      </w:r>
    </w:p>
    <w:p w:rsidR="00C12B8E" w:rsidRDefault="00C12B8E" w:rsidP="00870331">
      <w:pPr>
        <w:spacing w:after="120"/>
        <w:ind w:left="720" w:hanging="11"/>
        <w:jc w:val="both"/>
        <w:rPr>
          <w:rFonts w:cs="Helvetica"/>
        </w:rPr>
      </w:pPr>
      <w:r>
        <w:rPr>
          <w:rFonts w:cs="Helvetica"/>
          <w:i/>
          <w:sz w:val="20"/>
        </w:rPr>
        <w:t>Postal objections may be served on the Minister for Infrastructure, Planning and Logistics, GPO Box 1680, Darwin NT 0801.</w:t>
      </w:r>
      <w:r>
        <w:rPr>
          <w:rFonts w:cs="Helvetica"/>
        </w:rPr>
        <w:t xml:space="preserve"> </w:t>
      </w:r>
    </w:p>
    <w:p w:rsidR="00C12B8E" w:rsidRDefault="00C12B8E" w:rsidP="00C12B8E">
      <w:pPr>
        <w:rPr>
          <w:rFonts w:cs="Helvetica"/>
        </w:rPr>
      </w:pPr>
    </w:p>
    <w:p w:rsidR="00C12B8E" w:rsidRDefault="00C12B8E" w:rsidP="003F0FDC">
      <w:pPr>
        <w:pageBreakBefore/>
        <w:widowControl w:val="0"/>
        <w:jc w:val="center"/>
        <w:rPr>
          <w:rFonts w:cs="Helvetica"/>
        </w:rPr>
      </w:pPr>
      <w:r>
        <w:rPr>
          <w:rFonts w:cs="Helvetica"/>
        </w:rPr>
        <w:lastRenderedPageBreak/>
        <w:t>S</w:t>
      </w:r>
      <w:r w:rsidR="003F0FDC">
        <w:rPr>
          <w:rFonts w:cs="Helvetica"/>
        </w:rPr>
        <w:t>chedule</w:t>
      </w:r>
    </w:p>
    <w:p w:rsidR="00C12B8E" w:rsidRDefault="00C12B8E" w:rsidP="007D66EC">
      <w:pPr>
        <w:rPr>
          <w:rFonts w:cs="Helvetica"/>
          <w:szCs w:val="24"/>
        </w:rPr>
      </w:pPr>
    </w:p>
    <w:p w:rsidR="00C12B8E" w:rsidRDefault="00C12B8E" w:rsidP="007D66EC">
      <w:pPr>
        <w:rPr>
          <w:rFonts w:cs="Helvetica"/>
          <w:szCs w:val="24"/>
        </w:rPr>
      </w:pPr>
      <w:r w:rsidRPr="00C12B8E">
        <w:rPr>
          <w:rFonts w:cs="Helvetica"/>
          <w:noProof/>
          <w:szCs w:val="24"/>
          <w:lang w:val="en-AU" w:eastAsia="en-AU"/>
        </w:rPr>
        <w:drawing>
          <wp:inline distT="0" distB="0" distL="0" distR="0">
            <wp:extent cx="5486400" cy="5486400"/>
            <wp:effectExtent l="0" t="0" r="0" b="0"/>
            <wp:docPr id="2" name="Picture 2" descr="Hundred of Bagot&#10;" title="Proposed road clos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E84684" w:rsidRDefault="00E84684" w:rsidP="007D66EC">
      <w:pPr>
        <w:rPr>
          <w:rFonts w:cs="Helvetica"/>
          <w:szCs w:val="24"/>
        </w:rPr>
      </w:pPr>
    </w:p>
    <w:p w:rsidR="00E84684" w:rsidRDefault="00E84684" w:rsidP="00E84684">
      <w:pPr>
        <w:pageBreakBefore/>
        <w:widowControl w:val="0"/>
        <w:spacing w:line="360" w:lineRule="auto"/>
        <w:jc w:val="center"/>
        <w:rPr>
          <w:spacing w:val="-3"/>
        </w:rPr>
      </w:pPr>
      <w:r>
        <w:rPr>
          <w:spacing w:val="-3"/>
        </w:rPr>
        <w:lastRenderedPageBreak/>
        <w:t>Northern Territory of Australia</w:t>
      </w:r>
    </w:p>
    <w:p w:rsidR="00E84684" w:rsidRDefault="00E84684" w:rsidP="00E84684">
      <w:pPr>
        <w:spacing w:line="360" w:lineRule="auto"/>
        <w:jc w:val="center"/>
        <w:outlineLvl w:val="0"/>
        <w:rPr>
          <w:rFonts w:cs="Helvetica"/>
          <w:i/>
        </w:rPr>
      </w:pPr>
      <w:r>
        <w:rPr>
          <w:rFonts w:cs="Helvetica"/>
          <w:i/>
        </w:rPr>
        <w:t>Traffic Act</w:t>
      </w:r>
    </w:p>
    <w:p w:rsidR="00E84684" w:rsidRDefault="00E84684" w:rsidP="00E84684">
      <w:pPr>
        <w:spacing w:after="240"/>
        <w:jc w:val="center"/>
        <w:rPr>
          <w:spacing w:val="-3"/>
        </w:rPr>
      </w:pPr>
      <w:r>
        <w:rPr>
          <w:b/>
          <w:spacing w:val="-3"/>
        </w:rPr>
        <w:t>Approval of Traffic Infringement Device and Revocation of Approval and Approval of Persons to Test Traffic Infringement Devices</w:t>
      </w:r>
    </w:p>
    <w:p w:rsidR="00E84684" w:rsidRDefault="00E84684" w:rsidP="00E84684">
      <w:pPr>
        <w:spacing w:after="120" w:line="360" w:lineRule="auto"/>
        <w:jc w:val="both"/>
      </w:pPr>
      <w:r>
        <w:t>I, Reece Philip Kershaw, Commissioner of Police:</w:t>
      </w:r>
    </w:p>
    <w:p w:rsidR="00E84684" w:rsidRDefault="00E84684" w:rsidP="00E84684">
      <w:pPr>
        <w:spacing w:after="120" w:line="360" w:lineRule="auto"/>
        <w:ind w:left="709" w:hanging="709"/>
        <w:jc w:val="both"/>
      </w:pPr>
      <w:r>
        <w:t>(a)</w:t>
      </w:r>
      <w:r>
        <w:tab/>
        <w:t xml:space="preserve">under section 44(1) of the </w:t>
      </w:r>
      <w:r>
        <w:rPr>
          <w:i/>
        </w:rPr>
        <w:t>Traffic Act</w:t>
      </w:r>
      <w:r>
        <w:t>, approve the HALO 3DHD Radar Detection System, manufactured by Redflex Traffic Systems Pty Ltd ACN 006 403 925 (</w:t>
      </w:r>
      <w:r>
        <w:rPr>
          <w:b/>
          <w:i/>
        </w:rPr>
        <w:t>Redflex</w:t>
      </w:r>
      <w:r>
        <w:t>), as a traffic infringement detection device; and</w:t>
      </w:r>
    </w:p>
    <w:p w:rsidR="00E84684" w:rsidRDefault="00E84684" w:rsidP="00E84684">
      <w:pPr>
        <w:spacing w:after="120" w:line="360" w:lineRule="auto"/>
        <w:ind w:left="709" w:hanging="709"/>
        <w:jc w:val="both"/>
      </w:pPr>
      <w:r>
        <w:t>(b)</w:t>
      </w:r>
      <w:r>
        <w:tab/>
        <w:t>under section 44(2) of the Act, specify that testing of the accuracy of the device must be carried out by an approved person:</w:t>
      </w:r>
    </w:p>
    <w:p w:rsidR="00E84684" w:rsidRDefault="00E84684" w:rsidP="00E84684">
      <w:pPr>
        <w:tabs>
          <w:tab w:val="left" w:pos="8640"/>
        </w:tabs>
        <w:spacing w:after="120" w:line="360" w:lineRule="auto"/>
        <w:ind w:left="1418" w:hanging="720"/>
        <w:jc w:val="both"/>
      </w:pPr>
      <w:r>
        <w:t>(i)</w:t>
      </w:r>
      <w:r>
        <w:tab/>
        <w:t xml:space="preserve">in accordance with the procedures set out in the document published by Redflex entitled </w:t>
      </w:r>
      <w:r>
        <w:rPr>
          <w:rFonts w:cs="Helvetica"/>
        </w:rPr>
        <w:t>"</w:t>
      </w:r>
      <w:r>
        <w:t>HALO – 3DHD Onsite Recertification – User Guide</w:t>
      </w:r>
      <w:r>
        <w:rPr>
          <w:rFonts w:cs="Helvetica"/>
        </w:rPr>
        <w:t>"</w:t>
      </w:r>
      <w:r>
        <w:t xml:space="preserve"> (version 0.2); and</w:t>
      </w:r>
    </w:p>
    <w:p w:rsidR="00E84684" w:rsidRDefault="00E84684" w:rsidP="00E84684">
      <w:pPr>
        <w:tabs>
          <w:tab w:val="left" w:pos="8640"/>
        </w:tabs>
        <w:spacing w:after="120" w:line="360" w:lineRule="auto"/>
        <w:ind w:left="1418" w:hanging="720"/>
        <w:jc w:val="both"/>
      </w:pPr>
      <w:r>
        <w:t>(ii)</w:t>
      </w:r>
      <w:r>
        <w:tab/>
        <w:t>at least once every 12 months from the date indicated on the device; and</w:t>
      </w:r>
    </w:p>
    <w:p w:rsidR="00E84684" w:rsidRDefault="00E84684" w:rsidP="00E84684">
      <w:pPr>
        <w:spacing w:after="120" w:line="360" w:lineRule="auto"/>
        <w:ind w:left="709" w:hanging="709"/>
        <w:jc w:val="both"/>
      </w:pPr>
      <w:r>
        <w:t>(b)</w:t>
      </w:r>
      <w:r>
        <w:tab/>
        <w:t xml:space="preserve">under section 44(3) of the Act and with reference to section 43 of the </w:t>
      </w:r>
      <w:r>
        <w:rPr>
          <w:i/>
        </w:rPr>
        <w:t>Interpretation Act</w:t>
      </w:r>
      <w:r>
        <w:t xml:space="preserve">, revoke the approval of persons to test a traffic infringement detection device dated 13 February 2012 and published in </w:t>
      </w:r>
      <w:r>
        <w:rPr>
          <w:i/>
        </w:rPr>
        <w:t xml:space="preserve">Gazette </w:t>
      </w:r>
      <w:r>
        <w:t>No. G8 on 22 February 2012; and</w:t>
      </w:r>
    </w:p>
    <w:p w:rsidR="00E84684" w:rsidRDefault="00E84684" w:rsidP="00E84684">
      <w:pPr>
        <w:spacing w:after="120" w:line="360" w:lineRule="auto"/>
        <w:ind w:left="709" w:hanging="709"/>
        <w:jc w:val="both"/>
      </w:pPr>
      <w:r>
        <w:t>(c)</w:t>
      </w:r>
      <w:r>
        <w:tab/>
        <w:t xml:space="preserve">under section 44(3) of the </w:t>
      </w:r>
      <w:r>
        <w:rPr>
          <w:i/>
        </w:rPr>
        <w:t>Traffic Act</w:t>
      </w:r>
      <w:r>
        <w:t>, approve each person specified in the Schedule as a person qualified to test the accuracy of the following traffic infringement detection devices:</w:t>
      </w:r>
    </w:p>
    <w:p w:rsidR="00E84684" w:rsidRDefault="00E84684" w:rsidP="00E84684">
      <w:pPr>
        <w:spacing w:after="120" w:line="360" w:lineRule="auto"/>
        <w:ind w:left="1429" w:hanging="720"/>
        <w:jc w:val="both"/>
      </w:pPr>
      <w:r>
        <w:t>(i)</w:t>
      </w:r>
      <w:r>
        <w:tab/>
        <w:t>the REDFLEXred-speed Infringement Detection System, approved as a traffic infringement detection device by a notice dated 27</w:t>
      </w:r>
      <w:r w:rsidR="00152DAB">
        <w:t> </w:t>
      </w:r>
      <w:r>
        <w:t xml:space="preserve">December 2007 and published in </w:t>
      </w:r>
      <w:r>
        <w:rPr>
          <w:i/>
        </w:rPr>
        <w:t xml:space="preserve">Gazette </w:t>
      </w:r>
      <w:r>
        <w:t>No. G2 on 16</w:t>
      </w:r>
      <w:r w:rsidR="00152DAB">
        <w:t> </w:t>
      </w:r>
      <w:r>
        <w:t>January</w:t>
      </w:r>
      <w:r w:rsidR="00152DAB">
        <w:t> </w:t>
      </w:r>
      <w:r>
        <w:t xml:space="preserve">2008; and </w:t>
      </w:r>
    </w:p>
    <w:p w:rsidR="00E84684" w:rsidRDefault="00E84684" w:rsidP="00E84684">
      <w:pPr>
        <w:pageBreakBefore/>
        <w:widowControl w:val="0"/>
        <w:spacing w:after="120" w:line="360" w:lineRule="auto"/>
        <w:ind w:left="1429" w:hanging="720"/>
        <w:jc w:val="both"/>
      </w:pPr>
      <w:r>
        <w:lastRenderedPageBreak/>
        <w:t>(ii)</w:t>
      </w:r>
      <w:r>
        <w:tab/>
        <w:t>the HALO 3DHD Radar Detection System.</w:t>
      </w:r>
    </w:p>
    <w:p w:rsidR="00E84684" w:rsidRDefault="00E84684" w:rsidP="00E84684">
      <w:pPr>
        <w:spacing w:before="240" w:after="240" w:line="360" w:lineRule="auto"/>
      </w:pPr>
      <w:r>
        <w:t>Dated 20 September 2017</w:t>
      </w:r>
    </w:p>
    <w:p w:rsidR="00E84684" w:rsidRDefault="00E84684" w:rsidP="00E84684">
      <w:pPr>
        <w:tabs>
          <w:tab w:val="left" w:pos="8640"/>
        </w:tabs>
        <w:spacing w:before="240"/>
        <w:jc w:val="right"/>
        <w:rPr>
          <w:spacing w:val="-3"/>
        </w:rPr>
      </w:pPr>
      <w:r>
        <w:rPr>
          <w:spacing w:val="-3"/>
        </w:rPr>
        <w:t>R. P. Kershaw</w:t>
      </w:r>
    </w:p>
    <w:p w:rsidR="00E84684" w:rsidRDefault="00E84684" w:rsidP="00E84684">
      <w:pPr>
        <w:tabs>
          <w:tab w:val="left" w:pos="8640"/>
        </w:tabs>
        <w:spacing w:line="360" w:lineRule="auto"/>
        <w:jc w:val="right"/>
        <w:rPr>
          <w:spacing w:val="-3"/>
        </w:rPr>
      </w:pPr>
      <w:r>
        <w:rPr>
          <w:spacing w:val="-3"/>
        </w:rPr>
        <w:t>Commissioner of Police</w:t>
      </w:r>
    </w:p>
    <w:p w:rsidR="00E84684" w:rsidRDefault="00E84684" w:rsidP="00E84684">
      <w:pPr>
        <w:tabs>
          <w:tab w:val="left" w:pos="8640"/>
        </w:tabs>
        <w:spacing w:before="240" w:line="360" w:lineRule="auto"/>
        <w:jc w:val="center"/>
        <w:rPr>
          <w:rFonts w:cs="Helvetica"/>
          <w:b/>
        </w:rPr>
      </w:pPr>
      <w:r>
        <w:rPr>
          <w:rFonts w:cs="Helvetica"/>
          <w:b/>
        </w:rPr>
        <w:t>Schedule</w:t>
      </w:r>
    </w:p>
    <w:p w:rsidR="00E84684" w:rsidRDefault="00E84684" w:rsidP="00E84684">
      <w:pPr>
        <w:spacing w:line="360" w:lineRule="auto"/>
        <w:jc w:val="center"/>
        <w:rPr>
          <w:rFonts w:cs="Helvetica"/>
        </w:rPr>
      </w:pPr>
      <w:r>
        <w:rPr>
          <w:rFonts w:cs="Helvetica"/>
        </w:rPr>
        <w:t>David Simon Coady</w:t>
      </w:r>
    </w:p>
    <w:p w:rsidR="00E84684" w:rsidRDefault="00E84684" w:rsidP="00E84684">
      <w:pPr>
        <w:spacing w:line="360" w:lineRule="auto"/>
        <w:jc w:val="center"/>
        <w:rPr>
          <w:rFonts w:cs="Helvetica"/>
        </w:rPr>
      </w:pPr>
      <w:r>
        <w:rPr>
          <w:rFonts w:cs="Helvetica"/>
        </w:rPr>
        <w:t>Robert Sean Fenlon</w:t>
      </w:r>
    </w:p>
    <w:p w:rsidR="00E84684" w:rsidRDefault="00E84684" w:rsidP="00E84684">
      <w:pPr>
        <w:spacing w:line="360" w:lineRule="auto"/>
        <w:jc w:val="center"/>
        <w:rPr>
          <w:rFonts w:cs="Helvetica"/>
        </w:rPr>
      </w:pPr>
      <w:r>
        <w:rPr>
          <w:rFonts w:cs="Helvetica"/>
        </w:rPr>
        <w:t>Peter Anthony Ivankovic</w:t>
      </w:r>
    </w:p>
    <w:p w:rsidR="00E84684" w:rsidRDefault="00E84684" w:rsidP="00E84684">
      <w:pPr>
        <w:spacing w:line="360" w:lineRule="auto"/>
        <w:jc w:val="center"/>
        <w:rPr>
          <w:rFonts w:cs="Helvetica"/>
        </w:rPr>
      </w:pPr>
      <w:r>
        <w:rPr>
          <w:rFonts w:cs="Helvetica"/>
        </w:rPr>
        <w:t>Van Quat Le</w:t>
      </w:r>
    </w:p>
    <w:p w:rsidR="00E84684" w:rsidRDefault="00E84684" w:rsidP="00E84684">
      <w:pPr>
        <w:spacing w:line="360" w:lineRule="auto"/>
        <w:jc w:val="center"/>
        <w:rPr>
          <w:rFonts w:cs="Helvetica"/>
        </w:rPr>
      </w:pPr>
      <w:r>
        <w:rPr>
          <w:rFonts w:cs="Helvetica"/>
        </w:rPr>
        <w:t>Quanguang (Raymond) Ma</w:t>
      </w:r>
    </w:p>
    <w:p w:rsidR="00E84684" w:rsidRDefault="00E84684" w:rsidP="00E84684">
      <w:pPr>
        <w:spacing w:line="360" w:lineRule="auto"/>
        <w:jc w:val="center"/>
        <w:rPr>
          <w:rFonts w:cs="Helvetica"/>
        </w:rPr>
      </w:pPr>
      <w:r>
        <w:rPr>
          <w:rFonts w:cs="Helvetica"/>
        </w:rPr>
        <w:t>Anthony Malcolm Rayment</w:t>
      </w:r>
    </w:p>
    <w:p w:rsidR="00E84684" w:rsidRDefault="00E84684" w:rsidP="00E84684">
      <w:pPr>
        <w:spacing w:line="360" w:lineRule="auto"/>
        <w:jc w:val="center"/>
        <w:rPr>
          <w:rFonts w:cs="Helvetica"/>
        </w:rPr>
      </w:pPr>
      <w:r>
        <w:rPr>
          <w:rFonts w:cs="Helvetica"/>
        </w:rPr>
        <w:t>Louise Elmer Agbayani Viernes</w:t>
      </w:r>
    </w:p>
    <w:p w:rsidR="00892FC3" w:rsidRDefault="00892FC3" w:rsidP="0081414E">
      <w:pPr>
        <w:tabs>
          <w:tab w:val="left" w:pos="8640"/>
        </w:tabs>
        <w:spacing w:before="1200" w:line="360" w:lineRule="auto"/>
        <w:jc w:val="center"/>
        <w:rPr>
          <w:spacing w:val="-3"/>
        </w:rPr>
      </w:pPr>
      <w:r>
        <w:rPr>
          <w:spacing w:val="-3"/>
        </w:rPr>
        <w:t>Northern Territory of Australia</w:t>
      </w:r>
    </w:p>
    <w:p w:rsidR="00892FC3" w:rsidRDefault="00892FC3" w:rsidP="00892FC3">
      <w:pPr>
        <w:spacing w:line="360" w:lineRule="auto"/>
        <w:jc w:val="center"/>
        <w:outlineLvl w:val="0"/>
        <w:rPr>
          <w:rFonts w:cs="Helvetica"/>
          <w:i/>
        </w:rPr>
      </w:pPr>
      <w:r>
        <w:rPr>
          <w:rFonts w:cs="Helvetica"/>
          <w:i/>
        </w:rPr>
        <w:t>Personal Injuries (Liabilities and Damages) Act</w:t>
      </w:r>
    </w:p>
    <w:p w:rsidR="00892FC3" w:rsidRDefault="00892FC3" w:rsidP="00735C18">
      <w:pPr>
        <w:spacing w:after="240"/>
        <w:jc w:val="center"/>
        <w:rPr>
          <w:b/>
          <w:spacing w:val="-3"/>
        </w:rPr>
      </w:pPr>
      <w:r>
        <w:rPr>
          <w:b/>
          <w:spacing w:val="-3"/>
        </w:rPr>
        <w:t>Maximum Amount of Damages for Non-Pecuniary Loss</w:t>
      </w:r>
    </w:p>
    <w:p w:rsidR="00892FC3" w:rsidRDefault="00892FC3" w:rsidP="00892FC3">
      <w:pPr>
        <w:spacing w:line="360" w:lineRule="auto"/>
        <w:jc w:val="both"/>
      </w:pPr>
      <w:r>
        <w:t xml:space="preserve">I, Natasha Kate Fyles, Attorney-General and Minister for Justice, under section 28(1) of the </w:t>
      </w:r>
      <w:r>
        <w:rPr>
          <w:i/>
        </w:rPr>
        <w:t>Personal Injuries (Liabilities and Damages) Act</w:t>
      </w:r>
      <w:r>
        <w:t>:</w:t>
      </w:r>
    </w:p>
    <w:p w:rsidR="00892FC3" w:rsidRDefault="00892FC3" w:rsidP="00892FC3">
      <w:pPr>
        <w:spacing w:before="120" w:line="360" w:lineRule="auto"/>
        <w:ind w:left="720" w:hanging="720"/>
        <w:jc w:val="both"/>
      </w:pPr>
      <w:r>
        <w:t>(a)</w:t>
      </w:r>
      <w:r>
        <w:tab/>
        <w:t>declare that the maximum amount of damages a court may award for non</w:t>
      </w:r>
      <w:r>
        <w:noBreakHyphen/>
        <w:t>pecuniary loss, applicable for section 27(1) of the Act, is $660 000; and</w:t>
      </w:r>
    </w:p>
    <w:p w:rsidR="00892FC3" w:rsidRDefault="00892FC3" w:rsidP="00892FC3">
      <w:pPr>
        <w:spacing w:before="120" w:line="360" w:lineRule="auto"/>
        <w:ind w:left="720" w:hanging="720"/>
        <w:jc w:val="both"/>
        <w:rPr>
          <w:rFonts w:cs="Helvetica"/>
        </w:rPr>
      </w:pPr>
      <w:r>
        <w:rPr>
          <w:rFonts w:cs="Helvetica"/>
        </w:rPr>
        <w:t>(b)</w:t>
      </w:r>
      <w:r>
        <w:rPr>
          <w:rFonts w:cs="Helvetica"/>
        </w:rPr>
        <w:tab/>
        <w:t>state that this declaration takes effect on 1 October 2017.</w:t>
      </w:r>
    </w:p>
    <w:p w:rsidR="00892FC3" w:rsidRDefault="00892FC3" w:rsidP="00735C18">
      <w:pPr>
        <w:spacing w:before="240" w:after="240" w:line="360" w:lineRule="auto"/>
      </w:pPr>
      <w:r>
        <w:t>Dated</w:t>
      </w:r>
      <w:r w:rsidR="00735C18">
        <w:t xml:space="preserve"> 11 September 2017</w:t>
      </w:r>
    </w:p>
    <w:p w:rsidR="00892FC3" w:rsidRDefault="00735C18" w:rsidP="00735C18">
      <w:pPr>
        <w:tabs>
          <w:tab w:val="left" w:pos="8640"/>
        </w:tabs>
        <w:spacing w:before="240"/>
        <w:jc w:val="right"/>
        <w:rPr>
          <w:spacing w:val="-3"/>
        </w:rPr>
      </w:pPr>
      <w:r>
        <w:rPr>
          <w:spacing w:val="-3"/>
        </w:rPr>
        <w:t>N. K. Fyles</w:t>
      </w:r>
    </w:p>
    <w:p w:rsidR="00892FC3" w:rsidRDefault="00892FC3" w:rsidP="00892FC3">
      <w:pPr>
        <w:tabs>
          <w:tab w:val="left" w:pos="8640"/>
        </w:tabs>
        <w:spacing w:line="360" w:lineRule="auto"/>
        <w:jc w:val="right"/>
        <w:rPr>
          <w:spacing w:val="-3"/>
        </w:rPr>
      </w:pPr>
      <w:r>
        <w:rPr>
          <w:spacing w:val="-3"/>
        </w:rPr>
        <w:t>Attorney</w:t>
      </w:r>
      <w:r>
        <w:rPr>
          <w:spacing w:val="-3"/>
        </w:rPr>
        <w:noBreakHyphen/>
        <w:t>General and Minister for Justice</w:t>
      </w:r>
    </w:p>
    <w:p w:rsidR="00853761" w:rsidRDefault="00853761" w:rsidP="00892FC3">
      <w:pPr>
        <w:tabs>
          <w:tab w:val="left" w:pos="8640"/>
        </w:tabs>
        <w:spacing w:line="360" w:lineRule="auto"/>
        <w:jc w:val="right"/>
        <w:rPr>
          <w:spacing w:val="-3"/>
        </w:rPr>
      </w:pPr>
    </w:p>
    <w:p w:rsidR="00853761" w:rsidRPr="001F2D88" w:rsidRDefault="00853761" w:rsidP="001846C4">
      <w:pPr>
        <w:pageBreakBefore/>
        <w:widowControl w:val="0"/>
        <w:tabs>
          <w:tab w:val="left" w:pos="8640"/>
        </w:tabs>
        <w:spacing w:line="360" w:lineRule="auto"/>
        <w:jc w:val="center"/>
        <w:rPr>
          <w:spacing w:val="-3"/>
        </w:rPr>
      </w:pPr>
      <w:r w:rsidRPr="00CE1DB8">
        <w:rPr>
          <w:spacing w:val="-3"/>
        </w:rPr>
        <w:t>Northern Territory of Australia</w:t>
      </w:r>
    </w:p>
    <w:p w:rsidR="00853761" w:rsidRPr="004C196F" w:rsidRDefault="00853761" w:rsidP="00853761">
      <w:pPr>
        <w:spacing w:line="360" w:lineRule="auto"/>
        <w:jc w:val="center"/>
        <w:outlineLvl w:val="0"/>
        <w:rPr>
          <w:rFonts w:cs="Helvetica"/>
          <w:i/>
        </w:rPr>
      </w:pPr>
      <w:r>
        <w:rPr>
          <w:rFonts w:cs="Helvetica"/>
          <w:i/>
        </w:rPr>
        <w:lastRenderedPageBreak/>
        <w:t>Parole Act</w:t>
      </w:r>
    </w:p>
    <w:p w:rsidR="00853761" w:rsidRDefault="00853761" w:rsidP="00853761">
      <w:pPr>
        <w:spacing w:line="360" w:lineRule="auto"/>
        <w:jc w:val="center"/>
        <w:rPr>
          <w:b/>
          <w:spacing w:val="-3"/>
        </w:rPr>
      </w:pPr>
      <w:r>
        <w:rPr>
          <w:b/>
          <w:spacing w:val="-3"/>
        </w:rPr>
        <w:t>Determination of Sanctions Matrix</w:t>
      </w:r>
    </w:p>
    <w:p w:rsidR="00853761" w:rsidRPr="00451992" w:rsidRDefault="00853761" w:rsidP="00853761">
      <w:pPr>
        <w:spacing w:line="360" w:lineRule="auto"/>
        <w:jc w:val="both"/>
      </w:pPr>
      <w:r w:rsidRPr="00CE1DB8">
        <w:t xml:space="preserve">I, </w:t>
      </w:r>
      <w:r>
        <w:t>Stephen Roger Southwood, Chairperson of the Parole Board of the Northern</w:t>
      </w:r>
      <w:r w:rsidR="00DD65C8">
        <w:t> </w:t>
      </w:r>
      <w:r>
        <w:t>Territory</w:t>
      </w:r>
      <w:r w:rsidRPr="00CE1DB8">
        <w:t>, under section </w:t>
      </w:r>
      <w:r>
        <w:t xml:space="preserve">4C </w:t>
      </w:r>
      <w:r w:rsidRPr="00CE1DB8">
        <w:t xml:space="preserve">of the </w:t>
      </w:r>
      <w:r>
        <w:rPr>
          <w:i/>
        </w:rPr>
        <w:t xml:space="preserve">Parole </w:t>
      </w:r>
      <w:r w:rsidRPr="00643A83">
        <w:rPr>
          <w:i/>
        </w:rPr>
        <w:t>Act</w:t>
      </w:r>
      <w:r>
        <w:t>, on behalf of the Board, determine the sanctions matrix specified in the Schedule for non</w:t>
      </w:r>
      <w:r>
        <w:noBreakHyphen/>
        <w:t>compliance with conditions of a parole order.</w:t>
      </w:r>
    </w:p>
    <w:p w:rsidR="00853761" w:rsidRPr="00CE1DB8" w:rsidRDefault="00853761" w:rsidP="00853761">
      <w:pPr>
        <w:spacing w:before="240" w:after="240" w:line="360" w:lineRule="auto"/>
      </w:pPr>
      <w:r w:rsidRPr="00CE1DB8">
        <w:t>Dated</w:t>
      </w:r>
      <w:r>
        <w:t xml:space="preserve"> 21 September 2017</w:t>
      </w:r>
    </w:p>
    <w:p w:rsidR="00853761" w:rsidRPr="00CE1DB8" w:rsidRDefault="00853761" w:rsidP="00853761">
      <w:pPr>
        <w:tabs>
          <w:tab w:val="left" w:pos="8640"/>
        </w:tabs>
        <w:spacing w:before="240"/>
        <w:jc w:val="right"/>
        <w:rPr>
          <w:spacing w:val="-3"/>
        </w:rPr>
      </w:pPr>
      <w:r>
        <w:rPr>
          <w:spacing w:val="-3"/>
        </w:rPr>
        <w:t>S. R. Southwood</w:t>
      </w:r>
    </w:p>
    <w:p w:rsidR="00853761" w:rsidRDefault="00853761" w:rsidP="00853761">
      <w:pPr>
        <w:tabs>
          <w:tab w:val="left" w:pos="8640"/>
        </w:tabs>
        <w:spacing w:line="360" w:lineRule="auto"/>
        <w:jc w:val="right"/>
        <w:rPr>
          <w:spacing w:val="-3"/>
        </w:rPr>
      </w:pPr>
      <w:r>
        <w:rPr>
          <w:spacing w:val="-3"/>
        </w:rPr>
        <w:t>Chairperson</w:t>
      </w:r>
    </w:p>
    <w:p w:rsidR="00DD65C8" w:rsidRDefault="00DD65C8" w:rsidP="00DD65C8">
      <w:pPr>
        <w:pStyle w:val="Title"/>
        <w:rPr>
          <w:rFonts w:ascii="Lato" w:hAnsi="Lato"/>
          <w:sz w:val="32"/>
        </w:rPr>
        <w:sectPr w:rsidR="00DD65C8">
          <w:pgSz w:w="12240" w:h="15840"/>
          <w:pgMar w:top="1440" w:right="1800" w:bottom="1440" w:left="1800" w:header="708" w:footer="708" w:gutter="0"/>
          <w:cols w:space="708"/>
          <w:docGrid w:linePitch="360"/>
        </w:sectPr>
      </w:pPr>
    </w:p>
    <w:p w:rsidR="00DD65C8" w:rsidRPr="001846C4" w:rsidRDefault="00DD65C8" w:rsidP="00E52385">
      <w:pPr>
        <w:pStyle w:val="Title"/>
        <w:spacing w:before="0"/>
        <w:rPr>
          <w:rFonts w:cs="Helvetica"/>
          <w:sz w:val="24"/>
          <w:szCs w:val="24"/>
        </w:rPr>
      </w:pPr>
      <w:r w:rsidRPr="001846C4">
        <w:rPr>
          <w:rFonts w:cs="Helvetica"/>
          <w:sz w:val="24"/>
          <w:szCs w:val="24"/>
        </w:rPr>
        <w:lastRenderedPageBreak/>
        <w:t xml:space="preserve">Sanctions Matrix </w:t>
      </w:r>
    </w:p>
    <w:tbl>
      <w:tblPr>
        <w:tblStyle w:val="ColorfulShading-Accent5"/>
        <w:tblW w:w="5692" w:type="pct"/>
        <w:tblInd w:w="-856" w:type="dxa"/>
        <w:tblLayout w:type="fixed"/>
        <w:tblLook w:val="04A0" w:firstRow="1" w:lastRow="0" w:firstColumn="1" w:lastColumn="0" w:noHBand="0" w:noVBand="1"/>
        <w:tblCaption w:val="Parole Act"/>
        <w:tblDescription w:val="Sanctions Matrix"/>
      </w:tblPr>
      <w:tblGrid>
        <w:gridCol w:w="3688"/>
        <w:gridCol w:w="2411"/>
        <w:gridCol w:w="2839"/>
        <w:gridCol w:w="2833"/>
        <w:gridCol w:w="2983"/>
      </w:tblGrid>
      <w:tr w:rsidR="00DD65C8" w:rsidRPr="00EB0262" w:rsidTr="001846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0" w:type="pct"/>
            <w:tcBorders>
              <w:bottom w:val="single" w:sz="18" w:space="0" w:color="CC0000"/>
            </w:tcBorders>
          </w:tcPr>
          <w:p w:rsidR="00DD65C8" w:rsidRPr="00EB0262" w:rsidRDefault="00DD65C8" w:rsidP="00DD65C8">
            <w:pPr>
              <w:rPr>
                <w:rFonts w:cs="Helvetica"/>
                <w:sz w:val="20"/>
                <w:szCs w:val="20"/>
              </w:rPr>
            </w:pPr>
            <w:r w:rsidRPr="00EB0262">
              <w:rPr>
                <w:rFonts w:cs="Helvetica"/>
                <w:sz w:val="20"/>
                <w:szCs w:val="20"/>
              </w:rPr>
              <w:t>Sanctions</w:t>
            </w:r>
          </w:p>
        </w:tc>
        <w:tc>
          <w:tcPr>
            <w:tcW w:w="817" w:type="pct"/>
            <w:tcBorders>
              <w:bottom w:val="single" w:sz="18" w:space="0" w:color="CC0000"/>
            </w:tcBorders>
          </w:tcPr>
          <w:p w:rsidR="00DD65C8" w:rsidRPr="00EB0262" w:rsidRDefault="00DD65C8" w:rsidP="00DD65C8">
            <w:pPr>
              <w:jc w:val="center"/>
              <w:cnfStyle w:val="100000000000" w:firstRow="1"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1 day</w:t>
            </w:r>
          </w:p>
        </w:tc>
        <w:tc>
          <w:tcPr>
            <w:tcW w:w="962" w:type="pct"/>
            <w:tcBorders>
              <w:bottom w:val="single" w:sz="18" w:space="0" w:color="CC0000"/>
            </w:tcBorders>
          </w:tcPr>
          <w:p w:rsidR="00DD65C8" w:rsidRPr="00EB0262" w:rsidRDefault="00DD65C8" w:rsidP="00DD65C8">
            <w:pPr>
              <w:jc w:val="center"/>
              <w:cnfStyle w:val="100000000000" w:firstRow="1"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2-7 days</w:t>
            </w:r>
          </w:p>
        </w:tc>
        <w:tc>
          <w:tcPr>
            <w:tcW w:w="960" w:type="pct"/>
            <w:tcBorders>
              <w:bottom w:val="single" w:sz="18" w:space="0" w:color="CC0000"/>
            </w:tcBorders>
          </w:tcPr>
          <w:p w:rsidR="00DD65C8" w:rsidRPr="00EB0262" w:rsidRDefault="00DD65C8" w:rsidP="00DD65C8">
            <w:pPr>
              <w:jc w:val="center"/>
              <w:cnfStyle w:val="100000000000" w:firstRow="1"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14 days</w:t>
            </w:r>
          </w:p>
        </w:tc>
        <w:tc>
          <w:tcPr>
            <w:tcW w:w="1011" w:type="pct"/>
            <w:tcBorders>
              <w:bottom w:val="single" w:sz="18" w:space="0" w:color="CC0000"/>
            </w:tcBorders>
          </w:tcPr>
          <w:p w:rsidR="00DD65C8" w:rsidRPr="00EB0262" w:rsidRDefault="00DD65C8" w:rsidP="00DD65C8">
            <w:pPr>
              <w:jc w:val="center"/>
              <w:cnfStyle w:val="100000000000" w:firstRow="1"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30 days</w:t>
            </w:r>
          </w:p>
        </w:tc>
      </w:tr>
      <w:tr w:rsidR="00DD65C8" w:rsidRPr="00EB0262" w:rsidTr="0018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18" w:space="0" w:color="CC0000"/>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EB0262">
            <w:pPr>
              <w:spacing w:after="120"/>
              <w:rPr>
                <w:rFonts w:cs="Helvetica"/>
                <w:b/>
                <w:sz w:val="20"/>
                <w:szCs w:val="20"/>
                <w:u w:val="single"/>
              </w:rPr>
            </w:pPr>
            <w:r w:rsidRPr="00EB0262">
              <w:rPr>
                <w:rFonts w:cs="Helvetica"/>
                <w:b/>
                <w:sz w:val="20"/>
                <w:szCs w:val="20"/>
                <w:u w:val="single"/>
              </w:rPr>
              <w:t>Breach of parole conditions</w:t>
            </w:r>
          </w:p>
          <w:p w:rsidR="00DD65C8" w:rsidRPr="00EB0262" w:rsidRDefault="00DD65C8" w:rsidP="00E52385">
            <w:pPr>
              <w:spacing w:before="120"/>
              <w:rPr>
                <w:rFonts w:cs="Helvetica"/>
                <w:sz w:val="20"/>
                <w:szCs w:val="20"/>
              </w:rPr>
            </w:pPr>
            <w:r w:rsidRPr="00EB0262">
              <w:rPr>
                <w:rFonts w:cs="Helvetica"/>
                <w:sz w:val="20"/>
                <w:szCs w:val="20"/>
              </w:rPr>
              <w:t>The parolee fails to report to, or attend an appointment with, a Parole Officer, or other person nominated by a Parole Officer, on time and in the manner and at the place directed by the Parole Officer.</w:t>
            </w:r>
          </w:p>
          <w:p w:rsidR="00DD65C8" w:rsidRPr="00EB0262" w:rsidRDefault="00DD65C8" w:rsidP="00DD65C8">
            <w:pPr>
              <w:rPr>
                <w:rFonts w:cs="Helvetica"/>
                <w:sz w:val="20"/>
                <w:szCs w:val="20"/>
              </w:rPr>
            </w:pPr>
          </w:p>
        </w:tc>
        <w:tc>
          <w:tcPr>
            <w:tcW w:w="817" w:type="pct"/>
            <w:tcBorders>
              <w:top w:val="single" w:sz="18" w:space="0" w:color="CC0000"/>
              <w:left w:val="single" w:sz="4" w:space="0" w:color="auto"/>
            </w:tcBorders>
            <w:shd w:val="clear" w:color="auto" w:fill="C6D9F1" w:themeFill="text2" w:themeFillTint="33"/>
          </w:tcPr>
          <w:p w:rsidR="00DD65C8" w:rsidRPr="00EB0262" w:rsidRDefault="00DD65C8" w:rsidP="00EB0262">
            <w:pPr>
              <w:spacing w:before="36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reports, or attends, within 24 hours after the time directed by the Parole Officer.</w:t>
            </w:r>
          </w:p>
        </w:tc>
        <w:tc>
          <w:tcPr>
            <w:tcW w:w="962" w:type="pct"/>
            <w:tcBorders>
              <w:top w:val="single" w:sz="18" w:space="0" w:color="CC0000"/>
            </w:tcBorders>
            <w:shd w:val="clear" w:color="auto" w:fill="C6D9F1" w:themeFill="text2" w:themeFillTint="33"/>
          </w:tcPr>
          <w:p w:rsidR="00DD65C8" w:rsidRPr="00EB0262" w:rsidRDefault="00DD65C8" w:rsidP="00EB0262">
            <w:pPr>
              <w:spacing w:before="36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reports, or attends, within two to five days after the time directed by the Parole Officer.</w:t>
            </w:r>
          </w:p>
          <w:p w:rsidR="00DD65C8" w:rsidRPr="00EB0262" w:rsidRDefault="00DD65C8" w:rsidP="00EB0262">
            <w:pPr>
              <w:spacing w:before="360"/>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960" w:type="pct"/>
            <w:tcBorders>
              <w:top w:val="single" w:sz="18" w:space="0" w:color="CC0000"/>
            </w:tcBorders>
            <w:shd w:val="clear" w:color="auto" w:fill="C6D9F1" w:themeFill="text2" w:themeFillTint="33"/>
          </w:tcPr>
          <w:p w:rsidR="00DD65C8" w:rsidRPr="00EB0262" w:rsidRDefault="00DD65C8" w:rsidP="00EB0262">
            <w:pPr>
              <w:spacing w:before="360"/>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1011" w:type="pct"/>
            <w:tcBorders>
              <w:top w:val="single" w:sz="18" w:space="0" w:color="CC0000"/>
            </w:tcBorders>
            <w:shd w:val="clear" w:color="auto" w:fill="C6D9F1" w:themeFill="text2" w:themeFillTint="33"/>
          </w:tcPr>
          <w:p w:rsidR="00DD65C8" w:rsidRPr="00EB0262" w:rsidRDefault="00DD65C8" w:rsidP="00EB0262">
            <w:pPr>
              <w:pStyle w:val="ListParagraph"/>
              <w:numPr>
                <w:ilvl w:val="0"/>
                <w:numId w:val="31"/>
              </w:numPr>
              <w:spacing w:before="36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fails to report, or attend, for more than 5 days after the time directed by the Parole Officer.</w:t>
            </w:r>
          </w:p>
          <w:p w:rsidR="00DD65C8" w:rsidRPr="00EB0262" w:rsidRDefault="00DD65C8" w:rsidP="00EB0262">
            <w:pPr>
              <w:pStyle w:val="ListParagraph"/>
              <w:numPr>
                <w:ilvl w:val="0"/>
                <w:numId w:val="31"/>
              </w:numPr>
              <w:spacing w:before="120" w:after="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 xml:space="preserve">The parolee breaches the condition in circumstances where the parolee has absconded. </w:t>
            </w:r>
          </w:p>
        </w:tc>
      </w:tr>
      <w:tr w:rsidR="00DD65C8" w:rsidRPr="00EB0262" w:rsidTr="001846C4">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E52385">
            <w:pPr>
              <w:spacing w:before="240" w:after="120"/>
              <w:rPr>
                <w:rFonts w:cs="Helvetica"/>
                <w:sz w:val="20"/>
                <w:szCs w:val="20"/>
              </w:rPr>
            </w:pPr>
            <w:r w:rsidRPr="00EB0262">
              <w:rPr>
                <w:rFonts w:cs="Helvetica"/>
                <w:sz w:val="20"/>
                <w:szCs w:val="20"/>
              </w:rPr>
              <w:t>The parolee refuses to obey a reasonable direction of the Parole Officer.</w:t>
            </w:r>
          </w:p>
        </w:tc>
        <w:tc>
          <w:tcPr>
            <w:tcW w:w="817" w:type="pct"/>
            <w:tcBorders>
              <w:left w:val="single" w:sz="4" w:space="0" w:color="auto"/>
              <w:bottom w:val="single" w:sz="2" w:space="0" w:color="FFFFFF" w:themeColor="background1"/>
            </w:tcBorders>
            <w:shd w:val="clear" w:color="auto" w:fill="DBE5F1" w:themeFill="accent1" w:themeFillTint="33"/>
          </w:tcPr>
          <w:p w:rsidR="00DD65C8" w:rsidRPr="00EB0262" w:rsidRDefault="00DD65C8" w:rsidP="00E52385">
            <w:pPr>
              <w:spacing w:before="240" w:after="120"/>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962" w:type="pct"/>
            <w:tcBorders>
              <w:bottom w:val="single" w:sz="2" w:space="0" w:color="FFFFFF" w:themeColor="background1"/>
            </w:tcBorders>
            <w:shd w:val="clear" w:color="auto" w:fill="DBE5F1" w:themeFill="accent1" w:themeFillTint="33"/>
          </w:tcPr>
          <w:p w:rsidR="00DD65C8" w:rsidRPr="00EB0262" w:rsidRDefault="00DD65C8" w:rsidP="00E52385">
            <w:pPr>
              <w:spacing w:before="240" w:after="12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All breaches.</w:t>
            </w:r>
          </w:p>
        </w:tc>
        <w:tc>
          <w:tcPr>
            <w:tcW w:w="960" w:type="pct"/>
            <w:tcBorders>
              <w:bottom w:val="single" w:sz="2" w:space="0" w:color="FFFFFF" w:themeColor="background1"/>
            </w:tcBorders>
            <w:shd w:val="clear" w:color="auto" w:fill="DBE5F1" w:themeFill="accent1" w:themeFillTint="33"/>
          </w:tcPr>
          <w:p w:rsidR="00DD65C8" w:rsidRPr="00EB0262" w:rsidRDefault="00DD65C8" w:rsidP="00E52385">
            <w:pPr>
              <w:spacing w:before="240" w:after="120"/>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1011" w:type="pct"/>
            <w:tcBorders>
              <w:bottom w:val="single" w:sz="2" w:space="0" w:color="FFFFFF" w:themeColor="background1"/>
            </w:tcBorders>
            <w:shd w:val="clear" w:color="auto" w:fill="DBE5F1" w:themeFill="accent1" w:themeFillTint="33"/>
          </w:tcPr>
          <w:p w:rsidR="00DD65C8" w:rsidRPr="00EB0262" w:rsidRDefault="00DD65C8" w:rsidP="00E52385">
            <w:pPr>
              <w:spacing w:before="240" w:after="120"/>
              <w:cnfStyle w:val="000000000000" w:firstRow="0" w:lastRow="0" w:firstColumn="0" w:lastColumn="0" w:oddVBand="0" w:evenVBand="0" w:oddHBand="0" w:evenHBand="0" w:firstRowFirstColumn="0" w:firstRowLastColumn="0" w:lastRowFirstColumn="0" w:lastRowLastColumn="0"/>
              <w:rPr>
                <w:rFonts w:cs="Helvetica"/>
                <w:sz w:val="20"/>
                <w:szCs w:val="20"/>
              </w:rPr>
            </w:pPr>
          </w:p>
        </w:tc>
      </w:tr>
      <w:tr w:rsidR="00DD65C8" w:rsidRPr="00EB0262" w:rsidTr="0018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E52385">
            <w:pPr>
              <w:spacing w:before="120"/>
              <w:rPr>
                <w:rFonts w:cs="Helvetica"/>
                <w:sz w:val="20"/>
                <w:szCs w:val="20"/>
              </w:rPr>
            </w:pPr>
            <w:r w:rsidRPr="00EB0262">
              <w:rPr>
                <w:rFonts w:cs="Helvetica"/>
                <w:sz w:val="20"/>
                <w:szCs w:val="20"/>
              </w:rPr>
              <w:t>The parolee fails to reside at an address specified by the Parole Board, or arranged or agreed upon by the Parole Officer, without notifying the Parole Officer of the parolee’s intention to change address before such change occurs.</w:t>
            </w:r>
          </w:p>
          <w:p w:rsidR="00DD65C8" w:rsidRPr="00EB0262" w:rsidRDefault="00DD65C8" w:rsidP="00E52385">
            <w:pPr>
              <w:spacing w:before="120"/>
              <w:rPr>
                <w:rFonts w:cs="Helvetica"/>
                <w:sz w:val="20"/>
                <w:szCs w:val="20"/>
              </w:rPr>
            </w:pPr>
          </w:p>
        </w:tc>
        <w:tc>
          <w:tcPr>
            <w:tcW w:w="817" w:type="pct"/>
            <w:tcBorders>
              <w:left w:val="single" w:sz="4" w:space="0" w:color="auto"/>
              <w:bottom w:val="single" w:sz="2" w:space="0" w:color="FFFFFF" w:themeColor="background1"/>
            </w:tcBorders>
            <w:shd w:val="clear" w:color="auto" w:fill="DBE5F1" w:themeFill="accent1" w:themeFillTint="33"/>
          </w:tcPr>
          <w:p w:rsidR="00DD65C8" w:rsidRPr="00EB0262" w:rsidRDefault="00DD65C8" w:rsidP="00E52385">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reports the change of address to his Parole Officer within 24 hours after the change of address.</w:t>
            </w:r>
          </w:p>
        </w:tc>
        <w:tc>
          <w:tcPr>
            <w:tcW w:w="962" w:type="pct"/>
            <w:tcBorders>
              <w:bottom w:val="single" w:sz="2" w:space="0" w:color="FFFFFF" w:themeColor="background1"/>
            </w:tcBorders>
            <w:shd w:val="clear" w:color="auto" w:fill="DBE5F1" w:themeFill="accent1" w:themeFillTint="33"/>
          </w:tcPr>
          <w:p w:rsidR="00DD65C8" w:rsidRPr="00EB0262" w:rsidRDefault="00DD65C8" w:rsidP="00E52385">
            <w:pPr>
              <w:spacing w:before="120" w:after="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reports the change of address to the Parole Officer within 2 days after the change of address.</w:t>
            </w:r>
          </w:p>
        </w:tc>
        <w:tc>
          <w:tcPr>
            <w:tcW w:w="960" w:type="pct"/>
            <w:tcBorders>
              <w:bottom w:val="single" w:sz="2" w:space="0" w:color="FFFFFF" w:themeColor="background1"/>
            </w:tcBorders>
            <w:shd w:val="clear" w:color="auto" w:fill="DBE5F1" w:themeFill="accent1" w:themeFillTint="33"/>
          </w:tcPr>
          <w:p w:rsidR="00DD65C8" w:rsidRPr="00EB0262" w:rsidRDefault="00DD65C8" w:rsidP="00E52385">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1011" w:type="pct"/>
            <w:tcBorders>
              <w:bottom w:val="single" w:sz="2" w:space="0" w:color="FFFFFF" w:themeColor="background1"/>
            </w:tcBorders>
            <w:shd w:val="clear" w:color="auto" w:fill="DBE5F1" w:themeFill="accent1" w:themeFillTint="33"/>
          </w:tcPr>
          <w:p w:rsidR="00DD65C8" w:rsidRPr="00EB0262" w:rsidRDefault="00DD65C8" w:rsidP="00E52385">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fails to report the change of address to his Parole Officer within 2 days after the change of address.</w:t>
            </w:r>
          </w:p>
          <w:p w:rsidR="00DD65C8" w:rsidRPr="00EB0262" w:rsidRDefault="00DD65C8" w:rsidP="00E52385">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p>
        </w:tc>
      </w:tr>
      <w:tr w:rsidR="00DD65C8" w:rsidRPr="00EB0262" w:rsidTr="001846C4">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EB0262">
            <w:pPr>
              <w:pageBreakBefore/>
              <w:widowControl w:val="0"/>
              <w:spacing w:before="120"/>
              <w:rPr>
                <w:rFonts w:cs="Helvetica"/>
                <w:sz w:val="20"/>
                <w:szCs w:val="20"/>
              </w:rPr>
            </w:pPr>
            <w:r w:rsidRPr="00EB0262">
              <w:rPr>
                <w:rFonts w:cs="Helvetica"/>
                <w:sz w:val="20"/>
                <w:szCs w:val="20"/>
              </w:rPr>
              <w:t>Save in the case of a medical or dental emergency, the parolee leaves a community that the Parole Board, or the Parole Officer, has specified or directed the parolee shall not leave without the permission of his Parole Officer.</w:t>
            </w:r>
          </w:p>
          <w:p w:rsidR="00DD65C8" w:rsidRPr="00EB0262" w:rsidRDefault="00DD65C8" w:rsidP="005D2F5A">
            <w:pPr>
              <w:spacing w:before="120"/>
              <w:rPr>
                <w:rFonts w:cs="Helvetica"/>
                <w:sz w:val="20"/>
                <w:szCs w:val="20"/>
              </w:rPr>
            </w:pPr>
          </w:p>
          <w:p w:rsidR="00DD65C8" w:rsidRPr="00EB0262" w:rsidRDefault="00DD65C8" w:rsidP="005D2F5A">
            <w:pPr>
              <w:spacing w:before="120"/>
              <w:rPr>
                <w:rFonts w:cs="Helvetica"/>
                <w:sz w:val="20"/>
                <w:szCs w:val="20"/>
              </w:rPr>
            </w:pPr>
          </w:p>
        </w:tc>
        <w:tc>
          <w:tcPr>
            <w:tcW w:w="817" w:type="pct"/>
            <w:tcBorders>
              <w:left w:val="single" w:sz="4" w:space="0" w:color="auto"/>
              <w:bottom w:val="single" w:sz="2" w:space="0" w:color="FFFFFF" w:themeColor="background1"/>
            </w:tcBorders>
            <w:shd w:val="clear" w:color="auto" w:fill="DBE5F1" w:themeFill="accent1" w:themeFillTint="33"/>
          </w:tcPr>
          <w:p w:rsidR="00DD65C8" w:rsidRPr="00EB0262" w:rsidRDefault="00DD65C8" w:rsidP="005D2F5A">
            <w:p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 xml:space="preserve">The parolee breaches the condition in circumstances where: </w:t>
            </w:r>
          </w:p>
          <w:p w:rsidR="00DD65C8" w:rsidRPr="00EB0262" w:rsidRDefault="00DD65C8" w:rsidP="005D2F5A">
            <w:pPr>
              <w:pStyle w:val="ListParagraph"/>
              <w:numPr>
                <w:ilvl w:val="0"/>
                <w:numId w:val="34"/>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obtains permission from the Parole Officer to leave the community within 24 hours of leaving the community; or</w:t>
            </w:r>
          </w:p>
          <w:p w:rsidR="00DD65C8" w:rsidRPr="00EB0262" w:rsidRDefault="00DD65C8" w:rsidP="005D2F5A">
            <w:pPr>
              <w:pStyle w:val="ListParagraph"/>
              <w:numPr>
                <w:ilvl w:val="0"/>
                <w:numId w:val="34"/>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returns to the community within 24 hours of leaving the community.</w:t>
            </w:r>
          </w:p>
        </w:tc>
        <w:tc>
          <w:tcPr>
            <w:tcW w:w="962" w:type="pct"/>
            <w:tcBorders>
              <w:bottom w:val="single" w:sz="2" w:space="0" w:color="FFFFFF" w:themeColor="background1"/>
            </w:tcBorders>
            <w:shd w:val="clear" w:color="auto" w:fill="DBE5F1" w:themeFill="accent1" w:themeFillTint="33"/>
          </w:tcPr>
          <w:p w:rsidR="00DD65C8" w:rsidRPr="00EB0262" w:rsidRDefault="00DD65C8" w:rsidP="005D2F5A">
            <w:p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w:t>
            </w:r>
          </w:p>
          <w:p w:rsidR="00DD65C8" w:rsidRPr="00EB0262" w:rsidRDefault="00DD65C8" w:rsidP="005D2F5A">
            <w:pPr>
              <w:pStyle w:val="ListParagraph"/>
              <w:numPr>
                <w:ilvl w:val="0"/>
                <w:numId w:val="35"/>
              </w:num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obtains permission from the Parole Officer to leave the community within 2 days of leaving the community; or</w:t>
            </w:r>
          </w:p>
          <w:p w:rsidR="00DD65C8" w:rsidRPr="00EB0262" w:rsidRDefault="00DD65C8" w:rsidP="005D2F5A">
            <w:pPr>
              <w:pStyle w:val="ListParagraph"/>
              <w:numPr>
                <w:ilvl w:val="0"/>
                <w:numId w:val="35"/>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returns to the community within 2 days of leaving the community.</w:t>
            </w:r>
          </w:p>
        </w:tc>
        <w:tc>
          <w:tcPr>
            <w:tcW w:w="960" w:type="pct"/>
            <w:tcBorders>
              <w:bottom w:val="single" w:sz="2" w:space="0" w:color="FFFFFF" w:themeColor="background1"/>
            </w:tcBorders>
            <w:shd w:val="clear" w:color="auto" w:fill="DBE5F1" w:themeFill="accent1" w:themeFillTint="33"/>
          </w:tcPr>
          <w:p w:rsidR="00DD65C8" w:rsidRPr="00EB0262" w:rsidRDefault="00DD65C8" w:rsidP="005D2F5A">
            <w:p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 xml:space="preserve">The parolee breaches the condition in circumstances where: </w:t>
            </w:r>
          </w:p>
          <w:p w:rsidR="00DD65C8" w:rsidRPr="00EB0262" w:rsidRDefault="00DD65C8" w:rsidP="005D2F5A">
            <w:pPr>
              <w:pStyle w:val="ListParagraph"/>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 xml:space="preserve">the parolee fails to obtain permission to leave the community within 2 days after the parolee leaving the community; </w:t>
            </w:r>
          </w:p>
          <w:p w:rsidR="00DD65C8" w:rsidRPr="00EB0262" w:rsidRDefault="00DD65C8" w:rsidP="005D2F5A">
            <w:pPr>
              <w:pStyle w:val="ListParagraph"/>
              <w:numPr>
                <w:ilvl w:val="0"/>
                <w:numId w:val="33"/>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 xml:space="preserve">the parolee does not return to the community within 2 days; </w:t>
            </w:r>
          </w:p>
          <w:p w:rsidR="00DD65C8" w:rsidRPr="00EB0262" w:rsidRDefault="00DD65C8" w:rsidP="005D2F5A">
            <w:pPr>
              <w:pStyle w:val="ListParagraph"/>
              <w:numPr>
                <w:ilvl w:val="0"/>
                <w:numId w:val="33"/>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 xml:space="preserve">the reason for the parolee leaving the community is to attend a funeral, or to engage in other important cultural activity; and </w:t>
            </w:r>
          </w:p>
          <w:p w:rsidR="00DD65C8" w:rsidRPr="00EB0262" w:rsidRDefault="00DD65C8" w:rsidP="005D2F5A">
            <w:pPr>
              <w:pStyle w:val="ListParagraph"/>
              <w:numPr>
                <w:ilvl w:val="0"/>
                <w:numId w:val="33"/>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returns to the community immediately at the end of the funeral or cultural activity.</w:t>
            </w:r>
          </w:p>
          <w:p w:rsidR="00DD65C8" w:rsidRPr="00EB0262" w:rsidRDefault="00DD65C8" w:rsidP="005D2F5A">
            <w:p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1011" w:type="pct"/>
            <w:tcBorders>
              <w:bottom w:val="single" w:sz="2" w:space="0" w:color="FFFFFF" w:themeColor="background1"/>
            </w:tcBorders>
            <w:shd w:val="clear" w:color="auto" w:fill="DBE5F1" w:themeFill="accent1" w:themeFillTint="33"/>
          </w:tcPr>
          <w:p w:rsidR="00DD65C8" w:rsidRPr="00EB0262" w:rsidRDefault="00DD65C8" w:rsidP="005D2F5A">
            <w:p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fails to obtain permission to leave the community within 2 days of leaving the community and the parolee does not return to his community within 2 days.</w:t>
            </w:r>
          </w:p>
        </w:tc>
      </w:tr>
      <w:tr w:rsidR="00DD65C8" w:rsidRPr="00EB0262" w:rsidTr="0018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5D2F5A">
            <w:pPr>
              <w:spacing w:before="120"/>
              <w:rPr>
                <w:rFonts w:cs="Helvetica"/>
                <w:sz w:val="20"/>
                <w:szCs w:val="20"/>
              </w:rPr>
            </w:pPr>
            <w:r w:rsidRPr="00EB0262">
              <w:rPr>
                <w:rFonts w:cs="Helvetica"/>
                <w:sz w:val="20"/>
                <w:szCs w:val="20"/>
              </w:rPr>
              <w:t>The parolee contacts or associates with any person (other than the victim or a member of the victim’s family) who the Parole Board, or the Parole Officer, has specified or directed the parolee shall not contact or associate with.</w:t>
            </w:r>
          </w:p>
          <w:p w:rsidR="00DD65C8" w:rsidRPr="00EB0262" w:rsidRDefault="00DD65C8" w:rsidP="005D2F5A">
            <w:pPr>
              <w:spacing w:before="120"/>
              <w:rPr>
                <w:rFonts w:cs="Helvetica"/>
                <w:sz w:val="20"/>
                <w:szCs w:val="20"/>
              </w:rPr>
            </w:pPr>
          </w:p>
        </w:tc>
        <w:tc>
          <w:tcPr>
            <w:tcW w:w="817" w:type="pct"/>
            <w:tcBorders>
              <w:left w:val="single" w:sz="4" w:space="0" w:color="auto"/>
              <w:bottom w:val="single" w:sz="2" w:space="0" w:color="FFFFFF" w:themeColor="background1"/>
            </w:tcBorders>
            <w:shd w:val="clear" w:color="auto" w:fill="DBE5F1" w:themeFill="accent1" w:themeFillTint="33"/>
          </w:tcPr>
          <w:p w:rsidR="00DD65C8" w:rsidRPr="00EB0262" w:rsidRDefault="00DD65C8" w:rsidP="005D2F5A">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962" w:type="pct"/>
            <w:tcBorders>
              <w:bottom w:val="single" w:sz="2" w:space="0" w:color="FFFFFF" w:themeColor="background1"/>
            </w:tcBorders>
            <w:shd w:val="clear" w:color="auto" w:fill="DBE5F1" w:themeFill="accent1" w:themeFillTint="33"/>
          </w:tcPr>
          <w:p w:rsidR="00DD65C8" w:rsidRPr="00EB0262" w:rsidRDefault="00DD65C8" w:rsidP="005D2F5A">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960" w:type="pct"/>
            <w:tcBorders>
              <w:bottom w:val="single" w:sz="2" w:space="0" w:color="FFFFFF" w:themeColor="background1"/>
            </w:tcBorders>
            <w:shd w:val="clear" w:color="auto" w:fill="DBE5F1" w:themeFill="accent1" w:themeFillTint="33"/>
          </w:tcPr>
          <w:p w:rsidR="00DD65C8" w:rsidRPr="00EB0262" w:rsidRDefault="00DD65C8" w:rsidP="005D2F5A">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All breaches</w:t>
            </w:r>
          </w:p>
        </w:tc>
        <w:tc>
          <w:tcPr>
            <w:tcW w:w="1011" w:type="pct"/>
            <w:tcBorders>
              <w:bottom w:val="single" w:sz="2" w:space="0" w:color="FFFFFF" w:themeColor="background1"/>
            </w:tcBorders>
            <w:shd w:val="clear" w:color="auto" w:fill="DBE5F1" w:themeFill="accent1" w:themeFillTint="33"/>
          </w:tcPr>
          <w:p w:rsidR="00DD65C8" w:rsidRPr="00EB0262" w:rsidRDefault="00DD65C8" w:rsidP="00DD65C8">
            <w:pPr>
              <w:cnfStyle w:val="000000100000" w:firstRow="0" w:lastRow="0" w:firstColumn="0" w:lastColumn="0" w:oddVBand="0" w:evenVBand="0" w:oddHBand="1" w:evenHBand="0" w:firstRowFirstColumn="0" w:firstRowLastColumn="0" w:lastRowFirstColumn="0" w:lastRowLastColumn="0"/>
              <w:rPr>
                <w:rFonts w:cs="Helvetica"/>
                <w:sz w:val="20"/>
                <w:szCs w:val="20"/>
              </w:rPr>
            </w:pPr>
          </w:p>
        </w:tc>
      </w:tr>
      <w:tr w:rsidR="00DD65C8" w:rsidRPr="00EB0262" w:rsidTr="001846C4">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4F7718">
            <w:pPr>
              <w:pageBreakBefore/>
              <w:widowControl w:val="0"/>
              <w:spacing w:before="120"/>
              <w:rPr>
                <w:rFonts w:cs="Helvetica"/>
                <w:sz w:val="20"/>
                <w:szCs w:val="20"/>
              </w:rPr>
            </w:pPr>
            <w:r w:rsidRPr="00EB0262">
              <w:rPr>
                <w:rFonts w:cs="Helvetica"/>
                <w:sz w:val="20"/>
                <w:szCs w:val="20"/>
              </w:rPr>
              <w:t>The parolee enters, visits or frequents any place, area, district or community the Parole Board, or the Parole Officer, has specified or directed that the parolee shall not enter.</w:t>
            </w:r>
          </w:p>
        </w:tc>
        <w:tc>
          <w:tcPr>
            <w:tcW w:w="817" w:type="pct"/>
            <w:tcBorders>
              <w:left w:val="single" w:sz="4" w:space="0" w:color="auto"/>
              <w:bottom w:val="single" w:sz="2" w:space="0" w:color="FFFFFF" w:themeColor="background1"/>
            </w:tcBorders>
            <w:shd w:val="clear" w:color="auto" w:fill="DBE5F1" w:themeFill="accent1" w:themeFillTint="33"/>
          </w:tcPr>
          <w:p w:rsidR="00DD65C8" w:rsidRPr="00EB0262" w:rsidRDefault="00DD65C8" w:rsidP="005D2F5A">
            <w:p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962" w:type="pct"/>
            <w:tcBorders>
              <w:bottom w:val="single" w:sz="2" w:space="0" w:color="FFFFFF" w:themeColor="background1"/>
            </w:tcBorders>
            <w:shd w:val="clear" w:color="auto" w:fill="DBE5F1" w:themeFill="accent1" w:themeFillTint="33"/>
          </w:tcPr>
          <w:p w:rsidR="00DD65C8" w:rsidRPr="00EB0262" w:rsidRDefault="00DD65C8" w:rsidP="005D2F5A">
            <w:pPr>
              <w:pStyle w:val="ListParagraph"/>
              <w:spacing w:before="120"/>
              <w:ind w:left="360"/>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960" w:type="pct"/>
            <w:tcBorders>
              <w:bottom w:val="single" w:sz="2" w:space="0" w:color="FFFFFF" w:themeColor="background1"/>
            </w:tcBorders>
            <w:shd w:val="clear" w:color="auto" w:fill="DBE5F1" w:themeFill="accent1" w:themeFillTint="33"/>
          </w:tcPr>
          <w:p w:rsidR="00DD65C8" w:rsidRPr="00EB0262" w:rsidRDefault="00DD65C8" w:rsidP="005D2F5A">
            <w:p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All breaches</w:t>
            </w:r>
          </w:p>
        </w:tc>
        <w:tc>
          <w:tcPr>
            <w:tcW w:w="1011" w:type="pct"/>
            <w:tcBorders>
              <w:bottom w:val="single" w:sz="2" w:space="0" w:color="FFFFFF" w:themeColor="background1"/>
            </w:tcBorders>
            <w:shd w:val="clear" w:color="auto" w:fill="DBE5F1" w:themeFill="accent1" w:themeFillTint="33"/>
          </w:tcPr>
          <w:p w:rsidR="00DD65C8" w:rsidRPr="00EB0262" w:rsidRDefault="00DD65C8" w:rsidP="005D2F5A">
            <w:pPr>
              <w:pStyle w:val="ListParagraph"/>
              <w:spacing w:before="120"/>
              <w:ind w:left="360"/>
              <w:cnfStyle w:val="000000000000" w:firstRow="0" w:lastRow="0" w:firstColumn="0" w:lastColumn="0" w:oddVBand="0" w:evenVBand="0" w:oddHBand="0" w:evenHBand="0" w:firstRowFirstColumn="0" w:firstRowLastColumn="0" w:lastRowFirstColumn="0" w:lastRowLastColumn="0"/>
              <w:rPr>
                <w:rFonts w:cs="Helvetica"/>
                <w:sz w:val="20"/>
                <w:szCs w:val="20"/>
              </w:rPr>
            </w:pPr>
          </w:p>
        </w:tc>
      </w:tr>
      <w:tr w:rsidR="00DD65C8" w:rsidRPr="00EB0262" w:rsidTr="0018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5D2F5A">
            <w:pPr>
              <w:spacing w:before="120"/>
              <w:rPr>
                <w:rFonts w:cs="Helvetica"/>
                <w:sz w:val="20"/>
                <w:szCs w:val="20"/>
              </w:rPr>
            </w:pPr>
            <w:r w:rsidRPr="00EB0262">
              <w:rPr>
                <w:rFonts w:cs="Helvetica"/>
                <w:sz w:val="20"/>
                <w:szCs w:val="20"/>
              </w:rPr>
              <w:t>The parolee contacts the victim.</w:t>
            </w:r>
          </w:p>
          <w:p w:rsidR="00DD65C8" w:rsidRPr="00EB0262" w:rsidRDefault="00DD65C8" w:rsidP="005D2F5A">
            <w:pPr>
              <w:spacing w:before="120"/>
              <w:rPr>
                <w:rFonts w:cs="Helvetica"/>
                <w:sz w:val="20"/>
                <w:szCs w:val="20"/>
              </w:rPr>
            </w:pPr>
          </w:p>
        </w:tc>
        <w:tc>
          <w:tcPr>
            <w:tcW w:w="817" w:type="pct"/>
            <w:tcBorders>
              <w:left w:val="single" w:sz="4" w:space="0" w:color="auto"/>
              <w:bottom w:val="single" w:sz="2" w:space="0" w:color="FFFFFF" w:themeColor="background1"/>
            </w:tcBorders>
            <w:shd w:val="clear" w:color="auto" w:fill="DBE5F1" w:themeFill="accent1" w:themeFillTint="33"/>
          </w:tcPr>
          <w:p w:rsidR="00DD65C8" w:rsidRPr="00EB0262" w:rsidRDefault="00DD65C8" w:rsidP="005D2F5A">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962" w:type="pct"/>
            <w:tcBorders>
              <w:bottom w:val="single" w:sz="2" w:space="0" w:color="FFFFFF" w:themeColor="background1"/>
            </w:tcBorders>
            <w:shd w:val="clear" w:color="auto" w:fill="DBE5F1" w:themeFill="accent1" w:themeFillTint="33"/>
          </w:tcPr>
          <w:p w:rsidR="00DD65C8" w:rsidRPr="00EB0262" w:rsidRDefault="00DD65C8" w:rsidP="005D2F5A">
            <w:pPr>
              <w:pStyle w:val="ListParagraph"/>
              <w:spacing w:before="120"/>
              <w:ind w:left="360"/>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960" w:type="pct"/>
            <w:tcBorders>
              <w:bottom w:val="single" w:sz="2" w:space="0" w:color="FFFFFF" w:themeColor="background1"/>
            </w:tcBorders>
            <w:shd w:val="clear" w:color="auto" w:fill="DBE5F1" w:themeFill="accent1" w:themeFillTint="33"/>
          </w:tcPr>
          <w:p w:rsidR="00DD65C8" w:rsidRPr="00EB0262" w:rsidRDefault="00DD65C8" w:rsidP="005D2F5A">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victim contacts the parolee and the parolee fails to immediately terminate the contact.</w:t>
            </w:r>
          </w:p>
          <w:p w:rsidR="00DD65C8" w:rsidRPr="00EB0262" w:rsidRDefault="00DD65C8" w:rsidP="00EB0262">
            <w:pPr>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1011" w:type="pct"/>
            <w:tcBorders>
              <w:bottom w:val="single" w:sz="2" w:space="0" w:color="FFFFFF" w:themeColor="background1"/>
            </w:tcBorders>
            <w:shd w:val="clear" w:color="auto" w:fill="DBE5F1" w:themeFill="accent1" w:themeFillTint="33"/>
          </w:tcPr>
          <w:p w:rsidR="00DD65C8" w:rsidRPr="00EB0262" w:rsidRDefault="00DD65C8" w:rsidP="005D2F5A">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contacts the victim of the parolee’s own motion.</w:t>
            </w:r>
          </w:p>
        </w:tc>
      </w:tr>
      <w:tr w:rsidR="00DD65C8" w:rsidRPr="00EB0262" w:rsidTr="001846C4">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5D2F5A">
            <w:pPr>
              <w:spacing w:before="120"/>
              <w:rPr>
                <w:rFonts w:cs="Helvetica"/>
                <w:sz w:val="20"/>
                <w:szCs w:val="20"/>
              </w:rPr>
            </w:pPr>
            <w:r w:rsidRPr="00EB0262">
              <w:rPr>
                <w:rFonts w:cs="Helvetica"/>
                <w:sz w:val="20"/>
                <w:szCs w:val="20"/>
              </w:rPr>
              <w:t>The parolee contacts a member of the victim’s family.</w:t>
            </w:r>
          </w:p>
          <w:p w:rsidR="00DD65C8" w:rsidRPr="00EB0262" w:rsidRDefault="00DD65C8" w:rsidP="005D2F5A">
            <w:pPr>
              <w:spacing w:before="120"/>
              <w:rPr>
                <w:rFonts w:cs="Helvetica"/>
                <w:sz w:val="20"/>
                <w:szCs w:val="20"/>
              </w:rPr>
            </w:pPr>
          </w:p>
          <w:p w:rsidR="00DD65C8" w:rsidRPr="00EB0262" w:rsidRDefault="00DD65C8" w:rsidP="005D2F5A">
            <w:pPr>
              <w:spacing w:before="120"/>
              <w:rPr>
                <w:rFonts w:cs="Helvetica"/>
                <w:sz w:val="20"/>
                <w:szCs w:val="20"/>
              </w:rPr>
            </w:pPr>
          </w:p>
        </w:tc>
        <w:tc>
          <w:tcPr>
            <w:tcW w:w="817" w:type="pct"/>
            <w:tcBorders>
              <w:left w:val="single" w:sz="4" w:space="0" w:color="auto"/>
              <w:bottom w:val="single" w:sz="2" w:space="0" w:color="FFFFFF" w:themeColor="background1"/>
            </w:tcBorders>
            <w:shd w:val="clear" w:color="auto" w:fill="DBE5F1" w:themeFill="accent1" w:themeFillTint="33"/>
          </w:tcPr>
          <w:p w:rsidR="00DD65C8" w:rsidRPr="00EB0262" w:rsidRDefault="00DD65C8" w:rsidP="005D2F5A">
            <w:p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962" w:type="pct"/>
            <w:tcBorders>
              <w:bottom w:val="single" w:sz="2" w:space="0" w:color="FFFFFF" w:themeColor="background1"/>
            </w:tcBorders>
            <w:shd w:val="clear" w:color="auto" w:fill="DBE5F1" w:themeFill="accent1" w:themeFillTint="33"/>
          </w:tcPr>
          <w:p w:rsidR="00DD65C8" w:rsidRPr="00EB0262" w:rsidRDefault="00DD65C8" w:rsidP="005D2F5A">
            <w:pPr>
              <w:pStyle w:val="ListParagraph"/>
              <w:spacing w:before="120"/>
              <w:ind w:left="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family member contacts the parolee and the parolee fails to immediately terminate the contact.</w:t>
            </w:r>
          </w:p>
          <w:p w:rsidR="00DD65C8" w:rsidRPr="00EB0262" w:rsidRDefault="00DD65C8" w:rsidP="005D2F5A">
            <w:pPr>
              <w:pStyle w:val="ListParagraph"/>
              <w:spacing w:before="120"/>
              <w:ind w:left="0"/>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960" w:type="pct"/>
            <w:tcBorders>
              <w:bottom w:val="single" w:sz="2" w:space="0" w:color="FFFFFF" w:themeColor="background1"/>
            </w:tcBorders>
            <w:shd w:val="clear" w:color="auto" w:fill="DBE5F1" w:themeFill="accent1" w:themeFillTint="33"/>
          </w:tcPr>
          <w:p w:rsidR="00DD65C8" w:rsidRPr="00EB0262" w:rsidRDefault="00DD65C8" w:rsidP="005D2F5A">
            <w:p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contacts the family member of the parolee’s own motion.</w:t>
            </w:r>
          </w:p>
          <w:p w:rsidR="00DD65C8" w:rsidRPr="00EB0262" w:rsidRDefault="00DD65C8" w:rsidP="005D2F5A">
            <w:p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1011" w:type="pct"/>
            <w:tcBorders>
              <w:bottom w:val="single" w:sz="2" w:space="0" w:color="FFFFFF" w:themeColor="background1"/>
            </w:tcBorders>
            <w:shd w:val="clear" w:color="auto" w:fill="DBE5F1" w:themeFill="accent1" w:themeFillTint="33"/>
          </w:tcPr>
          <w:p w:rsidR="00DD65C8" w:rsidRPr="00EB0262" w:rsidRDefault="00DD65C8" w:rsidP="005D2F5A">
            <w:pPr>
              <w:pStyle w:val="ListParagraph"/>
              <w:numPr>
                <w:ilvl w:val="0"/>
                <w:numId w:val="32"/>
              </w:num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contacts the family member of the parolee’s own motion and the family member is under 16 years of age.</w:t>
            </w:r>
          </w:p>
          <w:p w:rsidR="00DD65C8" w:rsidRPr="00EB0262" w:rsidRDefault="00DD65C8" w:rsidP="005D2F5A">
            <w:pPr>
              <w:pStyle w:val="ListParagraph"/>
              <w:numPr>
                <w:ilvl w:val="0"/>
                <w:numId w:val="32"/>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victim is deceased and the parolee contacts the family member of the parolee’s own motion (manslaughter/other offences causing death).</w:t>
            </w:r>
          </w:p>
          <w:p w:rsidR="00DD65C8" w:rsidRPr="00EB0262" w:rsidRDefault="00DD65C8" w:rsidP="005D2F5A">
            <w:pPr>
              <w:pStyle w:val="ListParagraph"/>
              <w:spacing w:before="120"/>
              <w:ind w:left="360"/>
              <w:cnfStyle w:val="000000000000" w:firstRow="0" w:lastRow="0" w:firstColumn="0" w:lastColumn="0" w:oddVBand="0" w:evenVBand="0" w:oddHBand="0" w:evenHBand="0" w:firstRowFirstColumn="0" w:firstRowLastColumn="0" w:lastRowFirstColumn="0" w:lastRowLastColumn="0"/>
              <w:rPr>
                <w:rFonts w:cs="Helvetica"/>
                <w:sz w:val="20"/>
                <w:szCs w:val="20"/>
              </w:rPr>
            </w:pPr>
          </w:p>
        </w:tc>
      </w:tr>
      <w:tr w:rsidR="00DD65C8" w:rsidRPr="00EB0262" w:rsidTr="0018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5D2F5A">
            <w:pPr>
              <w:spacing w:before="120"/>
              <w:rPr>
                <w:rFonts w:cs="Helvetica"/>
                <w:sz w:val="20"/>
                <w:szCs w:val="20"/>
              </w:rPr>
            </w:pPr>
            <w:r w:rsidRPr="00EB0262">
              <w:rPr>
                <w:rFonts w:cs="Helvetica"/>
                <w:sz w:val="20"/>
                <w:szCs w:val="20"/>
              </w:rPr>
              <w:t>The parolee consumes alcohol.</w:t>
            </w:r>
          </w:p>
        </w:tc>
        <w:tc>
          <w:tcPr>
            <w:tcW w:w="817" w:type="pct"/>
            <w:tcBorders>
              <w:left w:val="single" w:sz="4" w:space="0" w:color="auto"/>
              <w:bottom w:val="single" w:sz="2" w:space="0" w:color="FFFFFF" w:themeColor="background1"/>
            </w:tcBorders>
            <w:shd w:val="clear" w:color="auto" w:fill="DBE5F1" w:themeFill="accent1" w:themeFillTint="33"/>
          </w:tcPr>
          <w:p w:rsidR="00DD65C8" w:rsidRPr="00EB0262" w:rsidRDefault="00DD65C8" w:rsidP="005D2F5A">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962" w:type="pct"/>
            <w:tcBorders>
              <w:bottom w:val="single" w:sz="2" w:space="0" w:color="FFFFFF" w:themeColor="background1"/>
            </w:tcBorders>
            <w:shd w:val="clear" w:color="auto" w:fill="DBE5F1" w:themeFill="accent1" w:themeFillTint="33"/>
          </w:tcPr>
          <w:p w:rsidR="00DD65C8" w:rsidRPr="00EB0262" w:rsidRDefault="00DD65C8" w:rsidP="005D2F5A">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admits to the consumption of alcohol before being breathalysed.</w:t>
            </w:r>
          </w:p>
          <w:p w:rsidR="00DD65C8" w:rsidRPr="00EB0262" w:rsidRDefault="00DD65C8" w:rsidP="005D2F5A">
            <w:pPr>
              <w:pStyle w:val="ListParagraph"/>
              <w:numPr>
                <w:ilvl w:val="0"/>
                <w:numId w:val="15"/>
              </w:numPr>
              <w:spacing w:before="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parolee’s breach of the condition is found by a positive breath test in circumstances where:</w:t>
            </w:r>
          </w:p>
          <w:p w:rsidR="00DD65C8" w:rsidRPr="00EB0262" w:rsidRDefault="00DD65C8" w:rsidP="005D2F5A">
            <w:pPr>
              <w:pStyle w:val="ListParagraph"/>
              <w:numPr>
                <w:ilvl w:val="0"/>
                <w:numId w:val="10"/>
              </w:num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admits to consuming alcohol,</w:t>
            </w:r>
          </w:p>
          <w:p w:rsidR="00DD65C8" w:rsidRPr="00EB0262" w:rsidRDefault="00DD65C8" w:rsidP="005D2F5A">
            <w:pPr>
              <w:pStyle w:val="ListParagraph"/>
              <w:numPr>
                <w:ilvl w:val="0"/>
                <w:numId w:val="10"/>
              </w:num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admitted quantity of alcohol consumed is consistent with the breath analysis reading, and</w:t>
            </w:r>
          </w:p>
          <w:p w:rsidR="00DD65C8" w:rsidRPr="00EB0262" w:rsidRDefault="00DD65C8" w:rsidP="005D2F5A">
            <w:pPr>
              <w:pStyle w:val="ListParagraph"/>
              <w:numPr>
                <w:ilvl w:val="0"/>
                <w:numId w:val="10"/>
              </w:num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there are no aggravating circumstances such as aggressive behaviour or domestic violence.</w:t>
            </w:r>
          </w:p>
          <w:p w:rsidR="00DD65C8" w:rsidRPr="00EB0262" w:rsidRDefault="00DD65C8" w:rsidP="005D2F5A">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w:t>
            </w:r>
            <w:r w:rsidRPr="00EB0262">
              <w:rPr>
                <w:rFonts w:cs="Helvetica"/>
                <w:i/>
                <w:sz w:val="20"/>
                <w:szCs w:val="20"/>
              </w:rPr>
              <w:t>It is not uncommon for parolees to deny the consumption of alcohol in the face of a positive breath analysis result, for example by asserting they did not drink alcohol but have eaten rum balls or some other food, or by asserting that the breath analysis equipment is defective. This sanction is specified with reference to those circumstances</w:t>
            </w:r>
            <w:r w:rsidRPr="00EB0262">
              <w:rPr>
                <w:rFonts w:cs="Helvetica"/>
                <w:sz w:val="20"/>
                <w:szCs w:val="20"/>
              </w:rPr>
              <w:t xml:space="preserve">.) </w:t>
            </w:r>
          </w:p>
          <w:p w:rsidR="00DD65C8" w:rsidRPr="00EB0262" w:rsidRDefault="00DD65C8" w:rsidP="005D2F5A">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960" w:type="pct"/>
            <w:tcBorders>
              <w:bottom w:val="single" w:sz="2" w:space="0" w:color="FFFFFF" w:themeColor="background1"/>
            </w:tcBorders>
            <w:shd w:val="clear" w:color="auto" w:fill="DBE5F1" w:themeFill="accent1" w:themeFillTint="33"/>
          </w:tcPr>
          <w:p w:rsidR="00DD65C8" w:rsidRPr="00EB0262" w:rsidRDefault="00DD65C8" w:rsidP="005D2F5A">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parolee’s breach of the condition is found by a positive breath test in circumstances where the parolee:</w:t>
            </w:r>
          </w:p>
          <w:p w:rsidR="00DD65C8" w:rsidRPr="00EB0262" w:rsidRDefault="00DD65C8" w:rsidP="005D2F5A">
            <w:pPr>
              <w:pStyle w:val="ListParagraph"/>
              <w:numPr>
                <w:ilvl w:val="0"/>
                <w:numId w:val="11"/>
              </w:numPr>
              <w:spacing w:before="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does not admit to the consumption of alcohol, or</w:t>
            </w:r>
          </w:p>
          <w:p w:rsidR="00DD65C8" w:rsidRPr="00EB0262" w:rsidRDefault="00DD65C8" w:rsidP="005D2F5A">
            <w:pPr>
              <w:pStyle w:val="ListParagraph"/>
              <w:numPr>
                <w:ilvl w:val="0"/>
                <w:numId w:val="11"/>
              </w:num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parolee’s admission to the consumption of alcohol is inconsistent with the breath analysis reading (</w:t>
            </w:r>
            <w:r w:rsidRPr="00EB0262">
              <w:rPr>
                <w:rFonts w:cs="Helvetica"/>
                <w:i/>
                <w:sz w:val="20"/>
                <w:szCs w:val="20"/>
              </w:rPr>
              <w:t>For example, the parolee admits to drinking 2 cans of beer but the reading indicates consumption in excess of that volume of alcohol.</w:t>
            </w:r>
            <w:r w:rsidRPr="00EB0262">
              <w:rPr>
                <w:rFonts w:cs="Helvetica"/>
                <w:sz w:val="20"/>
                <w:szCs w:val="20"/>
              </w:rPr>
              <w:t>)</w:t>
            </w:r>
          </w:p>
        </w:tc>
        <w:tc>
          <w:tcPr>
            <w:tcW w:w="1011" w:type="pct"/>
            <w:tcBorders>
              <w:bottom w:val="single" w:sz="2" w:space="0" w:color="FFFFFF" w:themeColor="background1"/>
            </w:tcBorders>
            <w:shd w:val="clear" w:color="auto" w:fill="DBE5F1" w:themeFill="accent1" w:themeFillTint="33"/>
          </w:tcPr>
          <w:p w:rsidR="00DD65C8" w:rsidRPr="00EB0262" w:rsidRDefault="00DD65C8" w:rsidP="005D2F5A">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refuses to provide a sample of the parolee’s breath and does not admit to the consumption of alcohol.</w:t>
            </w:r>
          </w:p>
          <w:p w:rsidR="00DD65C8" w:rsidRPr="00EB0262" w:rsidRDefault="00DD65C8" w:rsidP="005D2F5A">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p>
        </w:tc>
      </w:tr>
      <w:tr w:rsidR="00DD65C8" w:rsidRPr="00EB0262" w:rsidTr="001846C4">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1846C4">
            <w:pPr>
              <w:pageBreakBefore/>
              <w:widowControl w:val="0"/>
              <w:spacing w:before="120"/>
              <w:rPr>
                <w:rFonts w:cs="Helvetica"/>
                <w:sz w:val="20"/>
                <w:szCs w:val="20"/>
              </w:rPr>
            </w:pPr>
            <w:r w:rsidRPr="00EB0262">
              <w:rPr>
                <w:rFonts w:cs="Helvetica"/>
                <w:sz w:val="20"/>
                <w:szCs w:val="20"/>
              </w:rPr>
              <w:t>The parolee consumes or uses drugs or illicit substances.</w:t>
            </w:r>
          </w:p>
        </w:tc>
        <w:tc>
          <w:tcPr>
            <w:tcW w:w="817" w:type="pct"/>
            <w:tcBorders>
              <w:top w:val="single" w:sz="2" w:space="0" w:color="FFFFFF" w:themeColor="background1"/>
              <w:left w:val="single" w:sz="4" w:space="0" w:color="auto"/>
            </w:tcBorders>
            <w:shd w:val="clear" w:color="auto" w:fill="C6D9F1" w:themeFill="text2" w:themeFillTint="33"/>
          </w:tcPr>
          <w:p w:rsidR="00DD65C8" w:rsidRPr="00EB0262" w:rsidRDefault="00DD65C8" w:rsidP="00DD65C8">
            <w:pPr>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962" w:type="pct"/>
            <w:tcBorders>
              <w:top w:val="single" w:sz="2" w:space="0" w:color="FFFFFF" w:themeColor="background1"/>
            </w:tcBorders>
            <w:shd w:val="clear" w:color="auto" w:fill="C6D9F1" w:themeFill="text2" w:themeFillTint="33"/>
          </w:tcPr>
          <w:p w:rsidR="00DD65C8" w:rsidRPr="00EB0262" w:rsidRDefault="00DD65C8" w:rsidP="00581910">
            <w:pPr>
              <w:pStyle w:val="ListParagraph"/>
              <w:numPr>
                <w:ilvl w:val="0"/>
                <w:numId w:val="16"/>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admits to consuming or using drugs or illicit substances before undertaking urinalysis.</w:t>
            </w:r>
          </w:p>
          <w:p w:rsidR="00DD65C8" w:rsidRPr="00EB0262" w:rsidRDefault="00DD65C8" w:rsidP="00581910">
            <w:pPr>
              <w:pStyle w:val="ListParagraph"/>
              <w:numPr>
                <w:ilvl w:val="0"/>
                <w:numId w:val="16"/>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there is a positive test result following urinalysis and the parolee:</w:t>
            </w:r>
          </w:p>
          <w:p w:rsidR="00DD65C8" w:rsidRPr="00EB0262" w:rsidRDefault="00DD65C8" w:rsidP="00581910">
            <w:pPr>
              <w:pStyle w:val="ListParagraph"/>
              <w:numPr>
                <w:ilvl w:val="0"/>
                <w:numId w:val="12"/>
              </w:numPr>
              <w:spacing w:before="120"/>
              <w:ind w:left="714"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admits to consuming or using drugs, or illicit substances,  and</w:t>
            </w:r>
          </w:p>
          <w:p w:rsidR="00DD65C8" w:rsidRPr="00EB0262" w:rsidRDefault="00DD65C8" w:rsidP="00581910">
            <w:pPr>
              <w:pStyle w:val="ListParagraph"/>
              <w:numPr>
                <w:ilvl w:val="0"/>
                <w:numId w:val="12"/>
              </w:numPr>
              <w:spacing w:before="120"/>
              <w:ind w:left="714"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 xml:space="preserve">The parolee’s admission is consistent with the test result. </w:t>
            </w:r>
          </w:p>
          <w:p w:rsidR="00DD65C8" w:rsidRPr="00EB0262" w:rsidRDefault="00DD65C8" w:rsidP="00581910">
            <w:pPr>
              <w:pStyle w:val="ListParagraph"/>
              <w:spacing w:before="120"/>
              <w:ind w:left="0"/>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w:t>
            </w:r>
            <w:r w:rsidRPr="00EB0262">
              <w:rPr>
                <w:rFonts w:cs="Helvetica"/>
                <w:i/>
                <w:sz w:val="20"/>
                <w:szCs w:val="20"/>
              </w:rPr>
              <w:t>It is not uncommon for parolees to deny the consumption of drugs in the face of a positive test result, for example, by asserting they were in a room where other people were smoking cannabis or by asserting they have taken prescription medication. This sanction is specified with reference to those circumstances</w:t>
            </w:r>
            <w:r w:rsidRPr="00EB0262">
              <w:rPr>
                <w:rFonts w:cs="Helvetica"/>
                <w:sz w:val="20"/>
                <w:szCs w:val="20"/>
              </w:rPr>
              <w:t>.)</w:t>
            </w:r>
          </w:p>
          <w:p w:rsidR="00DD65C8" w:rsidRPr="00EB0262" w:rsidRDefault="00DD65C8" w:rsidP="00DD65C8">
            <w:pPr>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960" w:type="pct"/>
            <w:tcBorders>
              <w:top w:val="single" w:sz="2" w:space="0" w:color="FFFFFF" w:themeColor="background1"/>
            </w:tcBorders>
            <w:shd w:val="clear" w:color="auto" w:fill="C6D9F1" w:themeFill="text2" w:themeFillTint="33"/>
          </w:tcPr>
          <w:p w:rsidR="00DD65C8" w:rsidRPr="00EB0262" w:rsidRDefault="00DD65C8" w:rsidP="00581910">
            <w:pPr>
              <w:pStyle w:val="ListParagraph"/>
              <w:numPr>
                <w:ilvl w:val="0"/>
                <w:numId w:val="17"/>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urinalysis produces a positive test result and:</w:t>
            </w:r>
          </w:p>
          <w:p w:rsidR="00DD65C8" w:rsidRPr="00EB0262" w:rsidRDefault="00DD65C8" w:rsidP="00581910">
            <w:pPr>
              <w:pStyle w:val="ListParagraph"/>
              <w:numPr>
                <w:ilvl w:val="0"/>
                <w:numId w:val="13"/>
              </w:numPr>
              <w:spacing w:before="120"/>
              <w:ind w:left="714"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does not admit to the consumption or use of drugs or illicit substances before undertaking urinalysis, or</w:t>
            </w:r>
          </w:p>
          <w:p w:rsidR="00DD65C8" w:rsidRPr="00EB0262" w:rsidRDefault="00DD65C8" w:rsidP="00581910">
            <w:pPr>
              <w:pStyle w:val="ListParagraph"/>
              <w:numPr>
                <w:ilvl w:val="0"/>
                <w:numId w:val="13"/>
              </w:numPr>
              <w:spacing w:before="120"/>
              <w:ind w:left="714"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parolee’s admission about the consumption or use of drugs or illicit substances is not consistent with the test results (</w:t>
            </w:r>
            <w:r w:rsidRPr="00EB0262">
              <w:rPr>
                <w:rFonts w:cs="Helvetica"/>
                <w:i/>
                <w:sz w:val="20"/>
                <w:szCs w:val="20"/>
              </w:rPr>
              <w:t>For example, the parolee admits to cannabis use but the test results are also positive for the use of methamphetamine</w:t>
            </w:r>
            <w:r w:rsidRPr="00EB0262">
              <w:rPr>
                <w:rFonts w:cs="Helvetica"/>
                <w:sz w:val="20"/>
                <w:szCs w:val="20"/>
              </w:rPr>
              <w:t>).</w:t>
            </w:r>
          </w:p>
          <w:p w:rsidR="00DD65C8" w:rsidRPr="00EB0262" w:rsidRDefault="00DD65C8" w:rsidP="00581910">
            <w:pPr>
              <w:pStyle w:val="ListParagraph"/>
              <w:numPr>
                <w:ilvl w:val="0"/>
                <w:numId w:val="17"/>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fails to attend as directed, but attends within 24 hours and the test result is positive for drugs or illicit substances.</w:t>
            </w:r>
          </w:p>
          <w:p w:rsidR="00DD65C8" w:rsidRPr="00EB0262" w:rsidRDefault="00DD65C8" w:rsidP="00DD65C8">
            <w:pPr>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1011" w:type="pct"/>
            <w:tcBorders>
              <w:top w:val="single" w:sz="2" w:space="0" w:color="FFFFFF" w:themeColor="background1"/>
            </w:tcBorders>
            <w:shd w:val="clear" w:color="auto" w:fill="C6D9F1" w:themeFill="text2" w:themeFillTint="33"/>
          </w:tcPr>
          <w:p w:rsidR="00DD65C8" w:rsidRPr="00EB0262" w:rsidRDefault="00DD65C8" w:rsidP="00DD65C8">
            <w:pPr>
              <w:pStyle w:val="ListParagraph"/>
              <w:ind w:left="360"/>
              <w:cnfStyle w:val="000000000000" w:firstRow="0" w:lastRow="0" w:firstColumn="0" w:lastColumn="0" w:oddVBand="0" w:evenVBand="0" w:oddHBand="0" w:evenHBand="0" w:firstRowFirstColumn="0" w:firstRowLastColumn="0" w:lastRowFirstColumn="0" w:lastRowLastColumn="0"/>
              <w:rPr>
                <w:rFonts w:cs="Helvetica"/>
                <w:sz w:val="20"/>
                <w:szCs w:val="20"/>
              </w:rPr>
            </w:pPr>
          </w:p>
        </w:tc>
      </w:tr>
      <w:tr w:rsidR="00DD65C8" w:rsidRPr="00EB0262" w:rsidTr="0018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581910">
            <w:pPr>
              <w:spacing w:before="120"/>
              <w:rPr>
                <w:rFonts w:cs="Helvetica"/>
                <w:sz w:val="20"/>
                <w:szCs w:val="20"/>
              </w:rPr>
            </w:pPr>
            <w:r w:rsidRPr="00EB0262">
              <w:rPr>
                <w:rFonts w:cs="Helvetica"/>
                <w:sz w:val="20"/>
                <w:szCs w:val="20"/>
              </w:rPr>
              <w:t>The parolee fails to attend for urinalysis or fails to produce a sample of urine or produces a sample of urine that does not meet the test criteria.</w:t>
            </w:r>
          </w:p>
          <w:p w:rsidR="00DD65C8" w:rsidRPr="00EB0262" w:rsidRDefault="00DD65C8" w:rsidP="00581910">
            <w:pPr>
              <w:spacing w:before="120"/>
              <w:rPr>
                <w:rFonts w:cs="Helvetica"/>
                <w:sz w:val="20"/>
                <w:szCs w:val="20"/>
              </w:rPr>
            </w:pPr>
          </w:p>
          <w:p w:rsidR="00DD65C8" w:rsidRPr="00EB0262" w:rsidRDefault="00DD65C8" w:rsidP="00581910">
            <w:pPr>
              <w:spacing w:before="120"/>
              <w:rPr>
                <w:rFonts w:cs="Helvetica"/>
                <w:i/>
                <w:sz w:val="20"/>
                <w:szCs w:val="20"/>
              </w:rPr>
            </w:pPr>
            <w:r w:rsidRPr="00EB0262">
              <w:rPr>
                <w:rFonts w:cs="Helvetica"/>
                <w:i/>
                <w:sz w:val="20"/>
                <w:szCs w:val="20"/>
              </w:rPr>
              <w:t>Examples of such a breach include:</w:t>
            </w:r>
          </w:p>
          <w:p w:rsidR="00DD65C8" w:rsidRPr="00EB0262" w:rsidRDefault="00DD65C8" w:rsidP="00581910">
            <w:pPr>
              <w:pStyle w:val="ListParagraph"/>
              <w:numPr>
                <w:ilvl w:val="0"/>
                <w:numId w:val="18"/>
              </w:numPr>
              <w:spacing w:before="120"/>
              <w:rPr>
                <w:rFonts w:cs="Helvetica"/>
                <w:i/>
                <w:sz w:val="20"/>
                <w:szCs w:val="20"/>
              </w:rPr>
            </w:pPr>
            <w:r w:rsidRPr="00EB0262">
              <w:rPr>
                <w:rFonts w:cs="Helvetica"/>
                <w:i/>
                <w:sz w:val="20"/>
                <w:szCs w:val="20"/>
              </w:rPr>
              <w:t>The parolee fails to attend for urinalysis at the appointed time on the appointed day.</w:t>
            </w:r>
          </w:p>
          <w:p w:rsidR="00DD65C8" w:rsidRPr="00EB0262" w:rsidRDefault="00DD65C8" w:rsidP="00581910">
            <w:pPr>
              <w:pStyle w:val="ListParagraph"/>
              <w:numPr>
                <w:ilvl w:val="0"/>
                <w:numId w:val="18"/>
              </w:numPr>
              <w:spacing w:before="120"/>
              <w:rPr>
                <w:rFonts w:cs="Helvetica"/>
                <w:i/>
                <w:sz w:val="20"/>
                <w:szCs w:val="20"/>
              </w:rPr>
            </w:pPr>
            <w:r w:rsidRPr="00EB0262">
              <w:rPr>
                <w:rFonts w:cs="Helvetica"/>
                <w:i/>
                <w:sz w:val="20"/>
                <w:szCs w:val="20"/>
              </w:rPr>
              <w:t>The parolee fails to produce a sample of urine when directed to do so.</w:t>
            </w:r>
          </w:p>
          <w:p w:rsidR="00DD65C8" w:rsidRPr="00EB0262" w:rsidRDefault="00DD65C8" w:rsidP="00581910">
            <w:pPr>
              <w:pStyle w:val="ListParagraph"/>
              <w:numPr>
                <w:ilvl w:val="0"/>
                <w:numId w:val="18"/>
              </w:numPr>
              <w:spacing w:before="120"/>
              <w:rPr>
                <w:rFonts w:cs="Helvetica"/>
                <w:i/>
                <w:sz w:val="20"/>
                <w:szCs w:val="20"/>
              </w:rPr>
            </w:pPr>
            <w:r w:rsidRPr="00EB0262">
              <w:rPr>
                <w:rFonts w:cs="Helvetica"/>
                <w:i/>
                <w:sz w:val="20"/>
                <w:szCs w:val="20"/>
              </w:rPr>
              <w:t>The parolee produces a sample of urine in circumstances where the test result states that the sample may be diluted.</w:t>
            </w:r>
          </w:p>
          <w:p w:rsidR="00DD65C8" w:rsidRPr="00EB0262" w:rsidRDefault="00DD65C8" w:rsidP="00581910">
            <w:pPr>
              <w:pStyle w:val="ListParagraph"/>
              <w:numPr>
                <w:ilvl w:val="0"/>
                <w:numId w:val="18"/>
              </w:numPr>
              <w:spacing w:before="120"/>
              <w:rPr>
                <w:rFonts w:cs="Helvetica"/>
                <w:i/>
                <w:sz w:val="20"/>
                <w:szCs w:val="20"/>
              </w:rPr>
            </w:pPr>
            <w:r w:rsidRPr="00EB0262">
              <w:rPr>
                <w:rFonts w:cs="Helvetica"/>
                <w:i/>
                <w:sz w:val="20"/>
                <w:szCs w:val="20"/>
              </w:rPr>
              <w:t>The parolee produces a urine sample that is the wrong temperature.</w:t>
            </w:r>
          </w:p>
          <w:p w:rsidR="00DD65C8" w:rsidRPr="00EB0262" w:rsidRDefault="00DD65C8" w:rsidP="00581910">
            <w:pPr>
              <w:pStyle w:val="ListParagraph"/>
              <w:numPr>
                <w:ilvl w:val="0"/>
                <w:numId w:val="18"/>
              </w:numPr>
              <w:spacing w:before="120"/>
              <w:rPr>
                <w:rFonts w:cs="Helvetica"/>
                <w:i/>
                <w:sz w:val="20"/>
                <w:szCs w:val="20"/>
              </w:rPr>
            </w:pPr>
            <w:r w:rsidRPr="00EB0262">
              <w:rPr>
                <w:rFonts w:cs="Helvetica"/>
                <w:i/>
                <w:sz w:val="20"/>
                <w:szCs w:val="20"/>
              </w:rPr>
              <w:t>The parolee produces a urine sample containing urine that is not the parolee’s urine.</w:t>
            </w:r>
          </w:p>
          <w:p w:rsidR="00DD65C8" w:rsidRPr="00EB0262" w:rsidRDefault="00DD65C8" w:rsidP="00581910">
            <w:pPr>
              <w:spacing w:before="120"/>
              <w:rPr>
                <w:rFonts w:cs="Helvetica"/>
                <w:sz w:val="20"/>
                <w:szCs w:val="20"/>
              </w:rPr>
            </w:pPr>
          </w:p>
          <w:p w:rsidR="00DD65C8" w:rsidRPr="00EB0262" w:rsidRDefault="00DD65C8" w:rsidP="00581910">
            <w:pPr>
              <w:spacing w:before="120"/>
              <w:rPr>
                <w:rFonts w:cs="Helvetica"/>
                <w:sz w:val="20"/>
                <w:szCs w:val="20"/>
              </w:rPr>
            </w:pPr>
          </w:p>
        </w:tc>
        <w:tc>
          <w:tcPr>
            <w:tcW w:w="817" w:type="pct"/>
            <w:tcBorders>
              <w:left w:val="single" w:sz="4" w:space="0" w:color="auto"/>
            </w:tcBorders>
            <w:shd w:val="clear" w:color="auto" w:fill="DBE5F1" w:themeFill="accent1" w:themeFillTint="33"/>
          </w:tcPr>
          <w:p w:rsidR="00DD65C8" w:rsidRPr="00EB0262" w:rsidRDefault="00DD65C8" w:rsidP="00581910">
            <w:pPr>
              <w:pStyle w:val="ListParagraph"/>
              <w:spacing w:before="120"/>
              <w:ind w:left="360"/>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962" w:type="pct"/>
            <w:shd w:val="clear" w:color="auto" w:fill="DBE5F1" w:themeFill="accent1" w:themeFillTint="33"/>
          </w:tcPr>
          <w:p w:rsidR="00DD65C8" w:rsidRPr="00EB0262" w:rsidRDefault="00DD65C8" w:rsidP="00581910">
            <w:pPr>
              <w:pStyle w:val="ListParagraph"/>
              <w:numPr>
                <w:ilvl w:val="0"/>
                <w:numId w:val="19"/>
              </w:numPr>
              <w:spacing w:before="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attends within 24 hours of the appointed time and the test result is negative.</w:t>
            </w:r>
          </w:p>
        </w:tc>
        <w:tc>
          <w:tcPr>
            <w:tcW w:w="960" w:type="pct"/>
            <w:shd w:val="clear" w:color="auto" w:fill="DBE5F1" w:themeFill="accent1" w:themeFillTint="33"/>
          </w:tcPr>
          <w:p w:rsidR="00DD65C8" w:rsidRPr="00EB0262" w:rsidRDefault="00DD65C8" w:rsidP="00581910">
            <w:pPr>
              <w:pStyle w:val="ListParagraph"/>
              <w:numPr>
                <w:ilvl w:val="0"/>
                <w:numId w:val="20"/>
              </w:numPr>
              <w:spacing w:before="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produces a urine sample, the test result shows that the test criteria have not been met, or may be diluted, and the parolee is unable to demonstrate that the sample was not deliberately diluted or tampered with.</w:t>
            </w:r>
          </w:p>
          <w:p w:rsidR="00DD65C8" w:rsidRPr="00EB0262" w:rsidRDefault="00DD65C8" w:rsidP="00581910">
            <w:pPr>
              <w:pStyle w:val="ListParagraph"/>
              <w:numPr>
                <w:ilvl w:val="0"/>
                <w:numId w:val="20"/>
              </w:numPr>
              <w:spacing w:before="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produces a urine sample that may be diluted and the urine sample produces a positive test result for the consumption of drugs or illicit substances.</w:t>
            </w:r>
          </w:p>
          <w:p w:rsidR="00DD65C8" w:rsidRPr="00EB0262" w:rsidRDefault="00DD65C8" w:rsidP="00581910">
            <w:pPr>
              <w:pStyle w:val="ListParagraph"/>
              <w:numPr>
                <w:ilvl w:val="0"/>
                <w:numId w:val="20"/>
              </w:numPr>
              <w:spacing w:before="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produces a urine sample that is the incorrect temperature.</w:t>
            </w:r>
          </w:p>
          <w:p w:rsidR="00DD65C8" w:rsidRPr="00EB0262" w:rsidRDefault="00DD65C8" w:rsidP="00EB0262">
            <w:pPr>
              <w:pStyle w:val="ListParagraph"/>
              <w:pageBreakBefore/>
              <w:widowControl w:val="0"/>
              <w:numPr>
                <w:ilvl w:val="0"/>
                <w:numId w:val="20"/>
              </w:numPr>
              <w:spacing w:before="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fails to attend for urinalysis at the appointed time but attends within 3 days of the appointed time and the test result is negative.</w:t>
            </w:r>
          </w:p>
          <w:p w:rsidR="00DD65C8" w:rsidRPr="00EB0262" w:rsidRDefault="00DD65C8" w:rsidP="00581910">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1011" w:type="pct"/>
            <w:shd w:val="clear" w:color="auto" w:fill="DBE5F1" w:themeFill="accent1" w:themeFillTint="33"/>
          </w:tcPr>
          <w:p w:rsidR="00DD65C8" w:rsidRPr="00EB0262" w:rsidRDefault="00DD65C8" w:rsidP="00581910">
            <w:pPr>
              <w:pStyle w:val="ListParagraph"/>
              <w:numPr>
                <w:ilvl w:val="0"/>
                <w:numId w:val="21"/>
              </w:numPr>
              <w:spacing w:before="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fails to attend for urinalysis within 3 days after the time the parolee was directed to undertake urinalysis.</w:t>
            </w:r>
          </w:p>
          <w:p w:rsidR="00DD65C8" w:rsidRPr="00EB0262" w:rsidRDefault="00DD65C8" w:rsidP="00581910">
            <w:pPr>
              <w:pStyle w:val="ListParagraph"/>
              <w:numPr>
                <w:ilvl w:val="0"/>
                <w:numId w:val="21"/>
              </w:numPr>
              <w:spacing w:before="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produces a urine sample that does not contain the parolee’s urine.</w:t>
            </w:r>
          </w:p>
          <w:p w:rsidR="00DD65C8" w:rsidRPr="00EB0262" w:rsidRDefault="00DD65C8" w:rsidP="00581910">
            <w:pPr>
              <w:pStyle w:val="ListParagraph"/>
              <w:numPr>
                <w:ilvl w:val="0"/>
                <w:numId w:val="21"/>
              </w:numPr>
              <w:spacing w:before="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refuses to produce a sample of urine for urinalysis.</w:t>
            </w:r>
          </w:p>
        </w:tc>
      </w:tr>
      <w:tr w:rsidR="00DD65C8" w:rsidRPr="00EB0262" w:rsidTr="001846C4">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581910">
            <w:pPr>
              <w:spacing w:before="120"/>
              <w:rPr>
                <w:rFonts w:cs="Helvetica"/>
                <w:sz w:val="20"/>
                <w:szCs w:val="20"/>
              </w:rPr>
            </w:pPr>
            <w:r w:rsidRPr="00EB0262">
              <w:rPr>
                <w:rFonts w:cs="Helvetica"/>
                <w:sz w:val="20"/>
                <w:szCs w:val="20"/>
              </w:rPr>
              <w:t>The parolee fails to:</w:t>
            </w:r>
          </w:p>
          <w:p w:rsidR="00DD65C8" w:rsidRPr="00EB0262" w:rsidRDefault="00DD65C8" w:rsidP="00581910">
            <w:pPr>
              <w:pStyle w:val="ListParagraph"/>
              <w:numPr>
                <w:ilvl w:val="0"/>
                <w:numId w:val="14"/>
              </w:numPr>
              <w:spacing w:before="120"/>
              <w:ind w:left="357" w:hanging="357"/>
              <w:contextualSpacing w:val="0"/>
              <w:rPr>
                <w:rFonts w:cs="Helvetica"/>
                <w:sz w:val="20"/>
                <w:szCs w:val="20"/>
              </w:rPr>
            </w:pPr>
            <w:r w:rsidRPr="00EB0262">
              <w:rPr>
                <w:rFonts w:cs="Helvetica"/>
                <w:sz w:val="20"/>
                <w:szCs w:val="20"/>
              </w:rPr>
              <w:t>attend at the appointed time and date; or</w:t>
            </w:r>
          </w:p>
          <w:p w:rsidR="00DD65C8" w:rsidRPr="00EB0262" w:rsidRDefault="00DD65C8" w:rsidP="00E52385">
            <w:pPr>
              <w:pStyle w:val="ListParagraph"/>
              <w:numPr>
                <w:ilvl w:val="0"/>
                <w:numId w:val="14"/>
              </w:numPr>
              <w:rPr>
                <w:rFonts w:cs="Helvetica"/>
                <w:sz w:val="20"/>
                <w:szCs w:val="20"/>
              </w:rPr>
            </w:pPr>
            <w:r w:rsidRPr="00EB0262">
              <w:rPr>
                <w:rFonts w:cs="Helvetica"/>
                <w:sz w:val="20"/>
                <w:szCs w:val="20"/>
              </w:rPr>
              <w:t>fully participate in; or</w:t>
            </w:r>
          </w:p>
          <w:p w:rsidR="004E2386" w:rsidRDefault="00DD65C8" w:rsidP="004E2386">
            <w:pPr>
              <w:pStyle w:val="ListParagraph"/>
              <w:numPr>
                <w:ilvl w:val="0"/>
                <w:numId w:val="14"/>
              </w:numPr>
              <w:spacing w:after="120"/>
              <w:ind w:left="357" w:hanging="357"/>
              <w:contextualSpacing w:val="0"/>
              <w:rPr>
                <w:rFonts w:cs="Helvetica"/>
                <w:sz w:val="20"/>
                <w:szCs w:val="20"/>
              </w:rPr>
            </w:pPr>
            <w:r w:rsidRPr="00EB0262">
              <w:rPr>
                <w:rFonts w:cs="Helvetica"/>
                <w:sz w:val="20"/>
                <w:szCs w:val="20"/>
              </w:rPr>
              <w:t xml:space="preserve">complete </w:t>
            </w:r>
          </w:p>
          <w:p w:rsidR="00DD65C8" w:rsidRPr="00EB0262" w:rsidRDefault="00DD65C8" w:rsidP="004E2386">
            <w:pPr>
              <w:pStyle w:val="ListParagraph"/>
              <w:ind w:left="360"/>
              <w:rPr>
                <w:rFonts w:cs="Helvetica"/>
                <w:sz w:val="20"/>
                <w:szCs w:val="20"/>
              </w:rPr>
            </w:pPr>
            <w:r w:rsidRPr="00EB0262">
              <w:rPr>
                <w:rFonts w:cs="Helvetica"/>
                <w:sz w:val="20"/>
                <w:szCs w:val="20"/>
              </w:rPr>
              <w:t>counselling, treatment, or a residential rehabilitation program as specified by the Parole Board, or as directed by the Parole Officer.</w:t>
            </w:r>
          </w:p>
        </w:tc>
        <w:tc>
          <w:tcPr>
            <w:tcW w:w="817" w:type="pct"/>
            <w:tcBorders>
              <w:left w:val="single" w:sz="4" w:space="0" w:color="auto"/>
            </w:tcBorders>
            <w:shd w:val="clear" w:color="auto" w:fill="DBE5F1" w:themeFill="accent1" w:themeFillTint="33"/>
          </w:tcPr>
          <w:p w:rsidR="00DD65C8" w:rsidRPr="00EB0262" w:rsidRDefault="00DD65C8" w:rsidP="00DD65C8">
            <w:pPr>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962" w:type="pct"/>
            <w:shd w:val="clear" w:color="auto" w:fill="DBE5F1" w:themeFill="accent1" w:themeFillTint="33"/>
          </w:tcPr>
          <w:p w:rsidR="00DD65C8" w:rsidRPr="00EB0262" w:rsidRDefault="00DD65C8" w:rsidP="00581910">
            <w:pPr>
              <w:pStyle w:val="ListParagraph"/>
              <w:numPr>
                <w:ilvl w:val="0"/>
                <w:numId w:val="24"/>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fails to attend the counselling, treatment or residential rehabilitation program on its commencement time and date, or as directed by the Parole Officer, and the parolee contacts the Parole Officer within 24 hours of the appointed time.</w:t>
            </w:r>
          </w:p>
          <w:p w:rsidR="00DD65C8" w:rsidRPr="00EB0262" w:rsidRDefault="00DD65C8" w:rsidP="00581910">
            <w:pPr>
              <w:pStyle w:val="ListParagraph"/>
              <w:numPr>
                <w:ilvl w:val="0"/>
                <w:numId w:val="24"/>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is discharged from counselling, treatment or the residential rehabilitation program for breach of the rules of the counselling, treatment or residential rehabilitation program and the parolee contacts the Parole Officer within 24 hours of being discharged.</w:t>
            </w:r>
          </w:p>
          <w:p w:rsidR="00DD65C8" w:rsidRPr="00EB0262" w:rsidRDefault="00DD65C8" w:rsidP="00DD65C8">
            <w:pPr>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960" w:type="pct"/>
            <w:shd w:val="clear" w:color="auto" w:fill="DBE5F1" w:themeFill="accent1" w:themeFillTint="33"/>
          </w:tcPr>
          <w:p w:rsidR="00DD65C8" w:rsidRPr="00EB0262" w:rsidRDefault="00DD65C8" w:rsidP="00581910">
            <w:pPr>
              <w:pStyle w:val="ListParagraph"/>
              <w:numPr>
                <w:ilvl w:val="0"/>
                <w:numId w:val="22"/>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fails to attend the counselling, treatment or residential rehabilitation program at the appointed time and fails to contact the Parole Officer within 24 hours of the appointed time.</w:t>
            </w:r>
          </w:p>
          <w:p w:rsidR="00DD65C8" w:rsidRPr="00EB0262" w:rsidRDefault="00DD65C8" w:rsidP="00581910">
            <w:pPr>
              <w:pStyle w:val="ListParagraph"/>
              <w:numPr>
                <w:ilvl w:val="0"/>
                <w:numId w:val="22"/>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is discharged from the counselling, treatment or residential rehabilitation program for breach of the rules of the counselling, treatment or residential rehabilitation program and fails to</w:t>
            </w:r>
            <w:r w:rsidRPr="00EB0262">
              <w:rPr>
                <w:rFonts w:cs="Helvetica"/>
                <w:color w:val="FF0000"/>
                <w:sz w:val="20"/>
                <w:szCs w:val="20"/>
              </w:rPr>
              <w:t xml:space="preserve"> </w:t>
            </w:r>
            <w:r w:rsidRPr="00EB0262">
              <w:rPr>
                <w:rFonts w:cs="Helvetica"/>
                <w:sz w:val="20"/>
                <w:szCs w:val="20"/>
              </w:rPr>
              <w:t xml:space="preserve">contact the Parole Officer within 24 hours of being discharged. </w:t>
            </w:r>
          </w:p>
          <w:p w:rsidR="00DD65C8" w:rsidRPr="00EB0262" w:rsidRDefault="00DD65C8" w:rsidP="00581910">
            <w:pPr>
              <w:pStyle w:val="ListParagraph"/>
              <w:numPr>
                <w:ilvl w:val="0"/>
                <w:numId w:val="22"/>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fails to fully participate in, or complete, the counselling, treatment or residential rehabilitation program.</w:t>
            </w:r>
          </w:p>
          <w:p w:rsidR="00DD65C8" w:rsidRPr="00EB0262" w:rsidRDefault="00DD65C8" w:rsidP="00DD65C8">
            <w:pPr>
              <w:pStyle w:val="ListParagraph"/>
              <w:ind w:left="360"/>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1011" w:type="pct"/>
            <w:shd w:val="clear" w:color="auto" w:fill="DBE5F1" w:themeFill="accent1" w:themeFillTint="33"/>
          </w:tcPr>
          <w:p w:rsidR="00DD65C8" w:rsidRPr="00EB0262" w:rsidRDefault="00DD65C8" w:rsidP="00581910">
            <w:pPr>
              <w:spacing w:before="12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breaches the condition in circumstances where the parolee absconds from a residential rehabilitation program.</w:t>
            </w:r>
          </w:p>
          <w:p w:rsidR="00DD65C8" w:rsidRPr="00EB0262" w:rsidRDefault="00DD65C8" w:rsidP="00DD65C8">
            <w:pPr>
              <w:pStyle w:val="ListParagraph"/>
              <w:ind w:left="360"/>
              <w:cnfStyle w:val="000000000000" w:firstRow="0" w:lastRow="0" w:firstColumn="0" w:lastColumn="0" w:oddVBand="0" w:evenVBand="0" w:oddHBand="0" w:evenHBand="0" w:firstRowFirstColumn="0" w:firstRowLastColumn="0" w:lastRowFirstColumn="0" w:lastRowLastColumn="0"/>
              <w:rPr>
                <w:rFonts w:cs="Helvetica"/>
                <w:sz w:val="20"/>
                <w:szCs w:val="20"/>
              </w:rPr>
            </w:pPr>
          </w:p>
        </w:tc>
      </w:tr>
      <w:tr w:rsidR="00DD65C8" w:rsidRPr="00EB0262" w:rsidTr="0018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581910">
            <w:pPr>
              <w:pStyle w:val="ListParagraph"/>
              <w:numPr>
                <w:ilvl w:val="0"/>
                <w:numId w:val="23"/>
              </w:numPr>
              <w:spacing w:before="120"/>
              <w:ind w:left="357" w:hanging="357"/>
              <w:contextualSpacing w:val="0"/>
              <w:rPr>
                <w:rFonts w:cs="Helvetica"/>
                <w:sz w:val="20"/>
                <w:szCs w:val="20"/>
              </w:rPr>
            </w:pPr>
            <w:r w:rsidRPr="00EB0262">
              <w:rPr>
                <w:rFonts w:cs="Helvetica"/>
                <w:sz w:val="20"/>
                <w:szCs w:val="20"/>
              </w:rPr>
              <w:t>The parolee breaches his curfew by arriving late at the parolee’s residence or leaves the residence early.</w:t>
            </w:r>
          </w:p>
          <w:p w:rsidR="00DD65C8" w:rsidRPr="00EB0262" w:rsidRDefault="00DD65C8" w:rsidP="00EB0262">
            <w:pPr>
              <w:pStyle w:val="ListParagraph"/>
              <w:numPr>
                <w:ilvl w:val="0"/>
                <w:numId w:val="23"/>
              </w:numPr>
              <w:spacing w:before="120"/>
              <w:ind w:left="357" w:hanging="357"/>
              <w:contextualSpacing w:val="0"/>
              <w:rPr>
                <w:rFonts w:cs="Helvetica"/>
                <w:sz w:val="20"/>
                <w:szCs w:val="20"/>
              </w:rPr>
            </w:pPr>
            <w:r w:rsidRPr="00EB0262">
              <w:rPr>
                <w:rFonts w:cs="Helvetica"/>
                <w:sz w:val="20"/>
                <w:szCs w:val="20"/>
              </w:rPr>
              <w:t xml:space="preserve">The parolee breaches his curfew by leaving the parolee’s residence during the hours of the curfew. </w:t>
            </w:r>
          </w:p>
          <w:p w:rsidR="00DD65C8" w:rsidRPr="00EB0262" w:rsidRDefault="00DD65C8" w:rsidP="00EB0262">
            <w:pPr>
              <w:pStyle w:val="ListParagraph"/>
              <w:numPr>
                <w:ilvl w:val="0"/>
                <w:numId w:val="23"/>
              </w:numPr>
              <w:spacing w:before="120"/>
              <w:ind w:left="357" w:hanging="357"/>
              <w:contextualSpacing w:val="0"/>
              <w:rPr>
                <w:rFonts w:cs="Helvetica"/>
                <w:sz w:val="20"/>
                <w:szCs w:val="20"/>
              </w:rPr>
            </w:pPr>
            <w:r w:rsidRPr="00EB0262">
              <w:rPr>
                <w:rFonts w:cs="Helvetica"/>
                <w:sz w:val="20"/>
                <w:szCs w:val="20"/>
              </w:rPr>
              <w:t>The parolee fails to be at the parolee’s residence during curfew hours.</w:t>
            </w:r>
          </w:p>
          <w:p w:rsidR="00DD65C8" w:rsidRPr="00EB0262" w:rsidRDefault="00DD65C8" w:rsidP="00DD65C8">
            <w:pPr>
              <w:pStyle w:val="ListParagraph"/>
              <w:ind w:left="360"/>
              <w:rPr>
                <w:rFonts w:cs="Helvetica"/>
                <w:sz w:val="20"/>
                <w:szCs w:val="20"/>
              </w:rPr>
            </w:pPr>
          </w:p>
        </w:tc>
        <w:tc>
          <w:tcPr>
            <w:tcW w:w="817" w:type="pct"/>
            <w:tcBorders>
              <w:left w:val="single" w:sz="4" w:space="0" w:color="auto"/>
            </w:tcBorders>
            <w:shd w:val="clear" w:color="auto" w:fill="C6D9F1" w:themeFill="text2" w:themeFillTint="33"/>
          </w:tcPr>
          <w:p w:rsidR="00DD65C8" w:rsidRPr="00EB0262" w:rsidRDefault="00DD65C8" w:rsidP="00DD65C8">
            <w:pPr>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962" w:type="pct"/>
            <w:shd w:val="clear" w:color="auto" w:fill="C6D9F1" w:themeFill="text2" w:themeFillTint="33"/>
          </w:tcPr>
          <w:p w:rsidR="00DD65C8" w:rsidRPr="00EB0262" w:rsidRDefault="00DD65C8" w:rsidP="00581910">
            <w:pPr>
              <w:pStyle w:val="ListParagraph"/>
              <w:numPr>
                <w:ilvl w:val="0"/>
                <w:numId w:val="26"/>
              </w:numPr>
              <w:spacing w:before="120"/>
              <w:ind w:left="714"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curfew by arriving late at the parolee’s residence.</w:t>
            </w:r>
          </w:p>
          <w:p w:rsidR="00DD65C8" w:rsidRPr="00EB0262" w:rsidRDefault="00DD65C8" w:rsidP="00EB0262">
            <w:pPr>
              <w:pStyle w:val="ListParagraph"/>
              <w:numPr>
                <w:ilvl w:val="0"/>
                <w:numId w:val="26"/>
              </w:numPr>
              <w:spacing w:before="120"/>
              <w:ind w:left="714"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breaches curfew by leaving the parolee’s residence early.</w:t>
            </w:r>
          </w:p>
          <w:p w:rsidR="00DD65C8" w:rsidRPr="00EB0262" w:rsidRDefault="00DD65C8" w:rsidP="00DD65C8">
            <w:pPr>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960" w:type="pct"/>
            <w:shd w:val="clear" w:color="auto" w:fill="C6D9F1" w:themeFill="text2" w:themeFillTint="33"/>
          </w:tcPr>
          <w:p w:rsidR="00DD65C8" w:rsidRPr="00EB0262" w:rsidRDefault="00DD65C8" w:rsidP="00581910">
            <w:pPr>
              <w:pStyle w:val="ListParagraph"/>
              <w:numPr>
                <w:ilvl w:val="0"/>
                <w:numId w:val="27"/>
              </w:numPr>
              <w:spacing w:before="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departs the parolee’s residence during curfew.</w:t>
            </w:r>
          </w:p>
        </w:tc>
        <w:tc>
          <w:tcPr>
            <w:tcW w:w="1011" w:type="pct"/>
            <w:shd w:val="clear" w:color="auto" w:fill="C6D9F1" w:themeFill="text2" w:themeFillTint="33"/>
          </w:tcPr>
          <w:p w:rsidR="00DD65C8" w:rsidRPr="00EB0262" w:rsidRDefault="00DD65C8" w:rsidP="00581910">
            <w:pPr>
              <w:pStyle w:val="ListParagraph"/>
              <w:numPr>
                <w:ilvl w:val="0"/>
                <w:numId w:val="25"/>
              </w:numPr>
              <w:spacing w:before="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fails to be at the parolee’s residence during curfew.</w:t>
            </w:r>
          </w:p>
          <w:p w:rsidR="00DD65C8" w:rsidRPr="00EB0262" w:rsidRDefault="00DD65C8" w:rsidP="00EB0262">
            <w:pPr>
              <w:pStyle w:val="ListParagraph"/>
              <w:numPr>
                <w:ilvl w:val="0"/>
                <w:numId w:val="25"/>
              </w:numPr>
              <w:spacing w:before="120"/>
              <w:ind w:left="357" w:hanging="357"/>
              <w:contextualSpacing w:val="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absconds from the parolee’s residence.</w:t>
            </w:r>
          </w:p>
        </w:tc>
      </w:tr>
      <w:tr w:rsidR="00DD65C8" w:rsidRPr="00EB0262" w:rsidTr="001846C4">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EB0262">
            <w:pPr>
              <w:pStyle w:val="ListParagraph"/>
              <w:spacing w:before="120"/>
              <w:ind w:left="0"/>
              <w:contextualSpacing w:val="0"/>
              <w:rPr>
                <w:rFonts w:cs="Helvetica"/>
                <w:sz w:val="20"/>
                <w:szCs w:val="20"/>
              </w:rPr>
            </w:pPr>
            <w:r w:rsidRPr="00EB0262">
              <w:rPr>
                <w:rFonts w:cs="Helvetica"/>
                <w:sz w:val="20"/>
                <w:szCs w:val="20"/>
              </w:rPr>
              <w:t xml:space="preserve">The parolee fails to comply with the rules of electronic monitoring. </w:t>
            </w:r>
          </w:p>
          <w:p w:rsidR="00DD65C8" w:rsidRPr="00EB0262" w:rsidRDefault="00DD65C8" w:rsidP="00EB0262">
            <w:pPr>
              <w:pStyle w:val="ListParagraph"/>
              <w:numPr>
                <w:ilvl w:val="0"/>
                <w:numId w:val="25"/>
              </w:numPr>
              <w:spacing w:before="120"/>
              <w:ind w:left="0" w:hanging="357"/>
              <w:contextualSpacing w:val="0"/>
              <w:rPr>
                <w:rFonts w:cs="Helvetica"/>
                <w:i/>
                <w:sz w:val="20"/>
                <w:szCs w:val="20"/>
              </w:rPr>
            </w:pPr>
            <w:r w:rsidRPr="00EB0262">
              <w:rPr>
                <w:rFonts w:cs="Helvetica"/>
                <w:i/>
                <w:sz w:val="20"/>
                <w:szCs w:val="20"/>
              </w:rPr>
              <w:t>For example:</w:t>
            </w:r>
          </w:p>
          <w:p w:rsidR="00DD65C8" w:rsidRPr="00EB0262" w:rsidRDefault="00DD65C8" w:rsidP="00EB0262">
            <w:pPr>
              <w:pStyle w:val="ListParagraph"/>
              <w:numPr>
                <w:ilvl w:val="0"/>
                <w:numId w:val="25"/>
              </w:numPr>
              <w:spacing w:before="120"/>
              <w:ind w:left="0" w:hanging="357"/>
              <w:contextualSpacing w:val="0"/>
              <w:rPr>
                <w:rFonts w:cs="Helvetica"/>
                <w:i/>
                <w:sz w:val="20"/>
                <w:szCs w:val="20"/>
              </w:rPr>
            </w:pPr>
            <w:r w:rsidRPr="00EB0262">
              <w:rPr>
                <w:rFonts w:cs="Helvetica"/>
                <w:i/>
                <w:sz w:val="20"/>
                <w:szCs w:val="20"/>
              </w:rPr>
              <w:t>1.  The parolee fails to charge the electronic monitoring device.</w:t>
            </w:r>
          </w:p>
          <w:p w:rsidR="00DD65C8" w:rsidRPr="00EB0262" w:rsidRDefault="00DD65C8" w:rsidP="00EB0262">
            <w:pPr>
              <w:pStyle w:val="ListParagraph"/>
              <w:numPr>
                <w:ilvl w:val="0"/>
                <w:numId w:val="25"/>
              </w:numPr>
              <w:spacing w:before="120"/>
              <w:ind w:left="0" w:hanging="357"/>
              <w:contextualSpacing w:val="0"/>
              <w:rPr>
                <w:rFonts w:cs="Helvetica"/>
                <w:i/>
                <w:sz w:val="20"/>
                <w:szCs w:val="20"/>
              </w:rPr>
            </w:pPr>
            <w:r w:rsidRPr="00EB0262">
              <w:rPr>
                <w:rFonts w:cs="Helvetica"/>
                <w:i/>
                <w:sz w:val="20"/>
                <w:szCs w:val="20"/>
              </w:rPr>
              <w:t>2. The parolee tampers with the electronic monitoring device or the equipment installed at the parolee’s residence for the efficient operation of the electronic monitoring device.</w:t>
            </w:r>
          </w:p>
          <w:p w:rsidR="00DD65C8" w:rsidRPr="00EB0262" w:rsidRDefault="00DD65C8" w:rsidP="00EB0262">
            <w:pPr>
              <w:pStyle w:val="ListParagraph"/>
              <w:numPr>
                <w:ilvl w:val="0"/>
                <w:numId w:val="25"/>
              </w:numPr>
              <w:spacing w:before="120"/>
              <w:ind w:left="0" w:hanging="357"/>
              <w:contextualSpacing w:val="0"/>
              <w:rPr>
                <w:rFonts w:cs="Helvetica"/>
                <w:i/>
                <w:sz w:val="20"/>
                <w:szCs w:val="20"/>
              </w:rPr>
            </w:pPr>
            <w:r w:rsidRPr="00EB0262">
              <w:rPr>
                <w:rFonts w:cs="Helvetica"/>
                <w:i/>
                <w:sz w:val="20"/>
                <w:szCs w:val="20"/>
              </w:rPr>
              <w:t>3. The parolee removes the electronic monitoring device from the parolee’s body.</w:t>
            </w:r>
          </w:p>
          <w:p w:rsidR="00DD65C8" w:rsidRPr="00EB0262" w:rsidRDefault="00DD65C8" w:rsidP="00DD65C8">
            <w:pPr>
              <w:pStyle w:val="ListParagraph"/>
              <w:ind w:left="360"/>
              <w:rPr>
                <w:rFonts w:cs="Helvetica"/>
                <w:sz w:val="20"/>
                <w:szCs w:val="20"/>
              </w:rPr>
            </w:pPr>
          </w:p>
        </w:tc>
        <w:tc>
          <w:tcPr>
            <w:tcW w:w="817" w:type="pct"/>
            <w:tcBorders>
              <w:left w:val="single" w:sz="4" w:space="0" w:color="auto"/>
            </w:tcBorders>
            <w:shd w:val="clear" w:color="auto" w:fill="C6D9F1" w:themeFill="text2" w:themeFillTint="33"/>
          </w:tcPr>
          <w:p w:rsidR="00DD65C8" w:rsidRPr="00EB0262" w:rsidRDefault="00DD65C8" w:rsidP="00DD65C8">
            <w:pPr>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962" w:type="pct"/>
            <w:shd w:val="clear" w:color="auto" w:fill="C6D9F1" w:themeFill="text2" w:themeFillTint="33"/>
          </w:tcPr>
          <w:p w:rsidR="00DD65C8" w:rsidRPr="00EB0262" w:rsidRDefault="00DD65C8" w:rsidP="00EB0262">
            <w:pPr>
              <w:pStyle w:val="ListParagraph"/>
              <w:numPr>
                <w:ilvl w:val="0"/>
                <w:numId w:val="29"/>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fails to charge the electronic monitoring device.</w:t>
            </w:r>
          </w:p>
          <w:p w:rsidR="00DD65C8" w:rsidRPr="00EB0262" w:rsidRDefault="00DD65C8" w:rsidP="00EB0262">
            <w:pPr>
              <w:pStyle w:val="ListParagraph"/>
              <w:numPr>
                <w:ilvl w:val="0"/>
                <w:numId w:val="29"/>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tinkers or tampers with the electronic monitoring device in circumstances where:</w:t>
            </w:r>
          </w:p>
          <w:p w:rsidR="00DD65C8" w:rsidRPr="00EB0262" w:rsidRDefault="00DD65C8" w:rsidP="00EB0262">
            <w:pPr>
              <w:pStyle w:val="ListParagraph"/>
              <w:numPr>
                <w:ilvl w:val="0"/>
                <w:numId w:val="30"/>
              </w:numPr>
              <w:spacing w:before="120"/>
              <w:ind w:left="714"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an alert about a strap tamper is received by Community Corrections;</w:t>
            </w:r>
          </w:p>
          <w:p w:rsidR="00DD65C8" w:rsidRPr="00EB0262" w:rsidRDefault="00DD65C8" w:rsidP="00E5238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answers the call of Community Corrections;</w:t>
            </w:r>
          </w:p>
          <w:p w:rsidR="00DD65C8" w:rsidRPr="00EB0262" w:rsidRDefault="00DD65C8" w:rsidP="00E5238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remains at home for the compliance officers to refit the device;</w:t>
            </w:r>
          </w:p>
          <w:p w:rsidR="00DD65C8" w:rsidRPr="00EB0262" w:rsidRDefault="00DD65C8" w:rsidP="00E5238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does not disengage; and</w:t>
            </w:r>
          </w:p>
          <w:p w:rsidR="00DD65C8" w:rsidRPr="00EB0262" w:rsidRDefault="00DD65C8" w:rsidP="00E5238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police are not required to apprehend the parolee.</w:t>
            </w:r>
          </w:p>
          <w:p w:rsidR="00DD65C8" w:rsidRPr="00EB0262" w:rsidRDefault="00DD65C8" w:rsidP="00DD65C8">
            <w:pPr>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960" w:type="pct"/>
            <w:shd w:val="clear" w:color="auto" w:fill="C6D9F1" w:themeFill="text2" w:themeFillTint="33"/>
          </w:tcPr>
          <w:p w:rsidR="00DD65C8" w:rsidRPr="00EB0262" w:rsidRDefault="00DD65C8" w:rsidP="00DD65C8">
            <w:pPr>
              <w:pStyle w:val="ListParagraph"/>
              <w:ind w:left="360"/>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1011" w:type="pct"/>
            <w:shd w:val="clear" w:color="auto" w:fill="C6D9F1" w:themeFill="text2" w:themeFillTint="33"/>
          </w:tcPr>
          <w:p w:rsidR="00DD65C8" w:rsidRPr="00EB0262" w:rsidRDefault="00DD65C8" w:rsidP="00EB0262">
            <w:pPr>
              <w:pStyle w:val="ListParagraph"/>
              <w:numPr>
                <w:ilvl w:val="0"/>
                <w:numId w:val="28"/>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tampers with or removes the electronic monitoring device from the parolee’s body.</w:t>
            </w:r>
          </w:p>
          <w:p w:rsidR="00DD65C8" w:rsidRPr="00EB0262" w:rsidRDefault="00DD65C8" w:rsidP="00EB0262">
            <w:pPr>
              <w:pStyle w:val="ListParagraph"/>
              <w:numPr>
                <w:ilvl w:val="0"/>
                <w:numId w:val="28"/>
              </w:numPr>
              <w:spacing w:before="120"/>
              <w:ind w:left="357" w:hanging="357"/>
              <w:contextualSpacing w:val="0"/>
              <w:cnfStyle w:val="000000000000" w:firstRow="0" w:lastRow="0" w:firstColumn="0" w:lastColumn="0" w:oddVBand="0" w:evenVBand="0" w:oddHBand="0" w:evenHBand="0" w:firstRowFirstColumn="0" w:firstRowLastColumn="0" w:lastRowFirstColumn="0" w:lastRowLastColumn="0"/>
              <w:rPr>
                <w:rFonts w:cs="Helvetica"/>
                <w:sz w:val="20"/>
                <w:szCs w:val="20"/>
              </w:rPr>
            </w:pPr>
            <w:r w:rsidRPr="00EB0262">
              <w:rPr>
                <w:rFonts w:cs="Helvetica"/>
                <w:sz w:val="20"/>
                <w:szCs w:val="20"/>
              </w:rPr>
              <w:t>The parolee tampers with or removes the equipment at the parolee’s residence that is installed for the efficient operation of the electronic monitoring device.</w:t>
            </w:r>
          </w:p>
          <w:p w:rsidR="00DD65C8" w:rsidRPr="00EB0262" w:rsidRDefault="00DD65C8" w:rsidP="00DD65C8">
            <w:pPr>
              <w:pStyle w:val="ListParagraph"/>
              <w:cnfStyle w:val="000000000000" w:firstRow="0" w:lastRow="0" w:firstColumn="0" w:lastColumn="0" w:oddVBand="0" w:evenVBand="0" w:oddHBand="0" w:evenHBand="0" w:firstRowFirstColumn="0" w:firstRowLastColumn="0" w:lastRowFirstColumn="0" w:lastRowLastColumn="0"/>
              <w:rPr>
                <w:rFonts w:cs="Helvetica"/>
                <w:sz w:val="20"/>
                <w:szCs w:val="20"/>
              </w:rPr>
            </w:pPr>
          </w:p>
        </w:tc>
      </w:tr>
      <w:tr w:rsidR="00DD65C8" w:rsidRPr="00EB0262" w:rsidTr="0018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DD65C8" w:rsidRPr="00EB0262" w:rsidRDefault="00DD65C8" w:rsidP="00EB0262">
            <w:pPr>
              <w:pStyle w:val="ListParagraph"/>
              <w:numPr>
                <w:ilvl w:val="0"/>
                <w:numId w:val="25"/>
              </w:numPr>
              <w:spacing w:before="120"/>
              <w:ind w:left="0" w:hanging="357"/>
              <w:contextualSpacing w:val="0"/>
              <w:rPr>
                <w:rFonts w:cs="Helvetica"/>
                <w:sz w:val="20"/>
                <w:szCs w:val="20"/>
              </w:rPr>
            </w:pPr>
            <w:r w:rsidRPr="00EB0262">
              <w:rPr>
                <w:rFonts w:cs="Helvetica"/>
                <w:sz w:val="20"/>
                <w:szCs w:val="20"/>
              </w:rPr>
              <w:t>The parolee fails to attend court in accordance with a direction of the Parole Officer.</w:t>
            </w:r>
          </w:p>
        </w:tc>
        <w:tc>
          <w:tcPr>
            <w:tcW w:w="817" w:type="pct"/>
            <w:tcBorders>
              <w:left w:val="single" w:sz="4" w:space="0" w:color="auto"/>
            </w:tcBorders>
            <w:shd w:val="clear" w:color="auto" w:fill="C6D9F1" w:themeFill="text2" w:themeFillTint="33"/>
          </w:tcPr>
          <w:p w:rsidR="00DD65C8" w:rsidRPr="00EB0262" w:rsidRDefault="00DD65C8" w:rsidP="00EB0262">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is late but attends court on the appointed date for the parolee’s court hearing.</w:t>
            </w:r>
          </w:p>
        </w:tc>
        <w:tc>
          <w:tcPr>
            <w:tcW w:w="962" w:type="pct"/>
            <w:shd w:val="clear" w:color="auto" w:fill="C6D9F1" w:themeFill="text2" w:themeFillTint="33"/>
          </w:tcPr>
          <w:p w:rsidR="00DD65C8" w:rsidRPr="00EB0262" w:rsidRDefault="00DD65C8" w:rsidP="00DD65C8">
            <w:pPr>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960" w:type="pct"/>
            <w:shd w:val="clear" w:color="auto" w:fill="C6D9F1" w:themeFill="text2" w:themeFillTint="33"/>
          </w:tcPr>
          <w:p w:rsidR="00DD65C8" w:rsidRPr="00EB0262" w:rsidRDefault="00DD65C8" w:rsidP="00EB0262">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fails to attend court on the date of the parolee’s court hearing without reasonable excuse, in circumstances where a warrant of apprehension is not issued and it is not necessary to arrest the parolee to bring the parolee before the court.</w:t>
            </w:r>
          </w:p>
        </w:tc>
        <w:tc>
          <w:tcPr>
            <w:tcW w:w="1011" w:type="pct"/>
            <w:shd w:val="clear" w:color="auto" w:fill="C6D9F1" w:themeFill="text2" w:themeFillTint="33"/>
          </w:tcPr>
          <w:p w:rsidR="00DD65C8" w:rsidRPr="00EB0262" w:rsidRDefault="00DD65C8" w:rsidP="00EB0262">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EB0262">
              <w:rPr>
                <w:rFonts w:cs="Helvetica"/>
                <w:sz w:val="20"/>
                <w:szCs w:val="20"/>
              </w:rPr>
              <w:t>The parolee fails to attend court on the date of the parolee’s court hearing without reasonable excuse, and a warrant of apprehension is issued or the parolee is arrested and brought before the court.</w:t>
            </w:r>
          </w:p>
          <w:p w:rsidR="00DD65C8" w:rsidRPr="00EB0262" w:rsidRDefault="00DD65C8" w:rsidP="00DD65C8">
            <w:pPr>
              <w:cnfStyle w:val="000000100000" w:firstRow="0" w:lastRow="0" w:firstColumn="0" w:lastColumn="0" w:oddVBand="0" w:evenVBand="0" w:oddHBand="1" w:evenHBand="0" w:firstRowFirstColumn="0" w:firstRowLastColumn="0" w:lastRowFirstColumn="0" w:lastRowLastColumn="0"/>
              <w:rPr>
                <w:rFonts w:cs="Helvetica"/>
                <w:sz w:val="20"/>
                <w:szCs w:val="20"/>
              </w:rPr>
            </w:pPr>
          </w:p>
        </w:tc>
      </w:tr>
    </w:tbl>
    <w:p w:rsidR="00DD65C8" w:rsidRPr="00812793" w:rsidRDefault="00DD65C8" w:rsidP="00DD65C8"/>
    <w:p w:rsidR="00DD65C8" w:rsidRPr="00812793" w:rsidRDefault="00DD65C8" w:rsidP="00DD65C8"/>
    <w:p w:rsidR="009744EE" w:rsidRDefault="009744EE" w:rsidP="009744EE">
      <w:pPr>
        <w:jc w:val="center"/>
        <w:rPr>
          <w:rFonts w:ascii="Bookman" w:hAnsi="Bookman"/>
          <w:b/>
          <w:sz w:val="20"/>
          <w:szCs w:val="20"/>
          <w:lang w:val="en-AU" w:eastAsia="en-AU"/>
        </w:rPr>
      </w:pPr>
    </w:p>
    <w:p w:rsidR="009744EE" w:rsidRPr="009744EE" w:rsidRDefault="00D5611D" w:rsidP="00D5611D">
      <w:pPr>
        <w:pageBreakBefore/>
        <w:widowControl w:val="0"/>
        <w:spacing w:line="360" w:lineRule="auto"/>
        <w:jc w:val="center"/>
        <w:rPr>
          <w:rFonts w:cs="Helvetica"/>
          <w:szCs w:val="24"/>
        </w:rPr>
      </w:pPr>
      <w:r w:rsidRPr="009744EE">
        <w:rPr>
          <w:rFonts w:cs="Helvetica"/>
          <w:b/>
          <w:szCs w:val="24"/>
        </w:rPr>
        <w:t>Northern Territory of Australia</w:t>
      </w:r>
    </w:p>
    <w:p w:rsidR="009744EE" w:rsidRPr="009744EE" w:rsidRDefault="009744EE" w:rsidP="00D5611D">
      <w:pPr>
        <w:pStyle w:val="Heading1"/>
        <w:spacing w:before="0" w:line="360" w:lineRule="auto"/>
        <w:jc w:val="center"/>
        <w:rPr>
          <w:rFonts w:cs="Helvetica"/>
          <w:i/>
          <w:sz w:val="24"/>
          <w:szCs w:val="24"/>
        </w:rPr>
      </w:pPr>
      <w:r w:rsidRPr="009744EE">
        <w:rPr>
          <w:rFonts w:cs="Helvetica"/>
          <w:i/>
          <w:sz w:val="24"/>
          <w:szCs w:val="24"/>
        </w:rPr>
        <w:t>Petroleum Act</w:t>
      </w:r>
    </w:p>
    <w:p w:rsidR="009744EE" w:rsidRPr="009744EE" w:rsidRDefault="00D5611D" w:rsidP="00D5611D">
      <w:pPr>
        <w:spacing w:line="360" w:lineRule="auto"/>
        <w:jc w:val="center"/>
        <w:rPr>
          <w:rFonts w:cs="Helvetica"/>
          <w:szCs w:val="24"/>
        </w:rPr>
      </w:pPr>
      <w:r w:rsidRPr="009744EE">
        <w:rPr>
          <w:rFonts w:cs="Helvetica"/>
          <w:szCs w:val="24"/>
        </w:rPr>
        <w:t>Release of Information under Section 61(8)</w:t>
      </w:r>
    </w:p>
    <w:p w:rsidR="009744EE" w:rsidRPr="009744EE" w:rsidRDefault="009744EE" w:rsidP="00D5611D">
      <w:pPr>
        <w:spacing w:after="120"/>
        <w:rPr>
          <w:rFonts w:cs="Helvetica"/>
          <w:szCs w:val="24"/>
        </w:rPr>
      </w:pPr>
      <w:r w:rsidRPr="009744EE">
        <w:rPr>
          <w:rFonts w:cs="Helvetica"/>
          <w:szCs w:val="24"/>
        </w:rPr>
        <w:t xml:space="preserve">I, </w:t>
      </w:r>
      <w:r w:rsidR="00D5611D" w:rsidRPr="009744EE">
        <w:rPr>
          <w:rFonts w:cs="Helvetica"/>
          <w:szCs w:val="24"/>
        </w:rPr>
        <w:t>Vicki Lorraine Jackson</w:t>
      </w:r>
      <w:r w:rsidRPr="009744EE">
        <w:rPr>
          <w:rFonts w:cs="Helvetica"/>
          <w:szCs w:val="24"/>
        </w:rPr>
        <w:t xml:space="preserve">, the Delegate of the Minister for Primary Industries and Resources, in pursuance of section 61(8) of the </w:t>
      </w:r>
      <w:r w:rsidRPr="009744EE">
        <w:rPr>
          <w:rFonts w:cs="Helvetica"/>
          <w:i/>
          <w:szCs w:val="24"/>
        </w:rPr>
        <w:t>Petroleum Act</w:t>
      </w:r>
      <w:r w:rsidRPr="009744EE">
        <w:rPr>
          <w:rFonts w:cs="Helvetica"/>
          <w:szCs w:val="24"/>
        </w:rPr>
        <w:t xml:space="preserve"> -</w:t>
      </w:r>
    </w:p>
    <w:p w:rsidR="009744EE" w:rsidRPr="009744EE" w:rsidRDefault="009744EE" w:rsidP="00D5611D">
      <w:pPr>
        <w:numPr>
          <w:ilvl w:val="0"/>
          <w:numId w:val="36"/>
        </w:numPr>
        <w:spacing w:line="360" w:lineRule="auto"/>
        <w:ind w:left="709" w:hanging="709"/>
        <w:rPr>
          <w:rFonts w:cs="Helvetica"/>
          <w:szCs w:val="24"/>
        </w:rPr>
      </w:pPr>
      <w:r w:rsidRPr="009744EE">
        <w:rPr>
          <w:rFonts w:cs="Helvetica"/>
          <w:szCs w:val="24"/>
        </w:rPr>
        <w:t>notify that I propose to make the information specified in the Schedule available or publicly known;</w:t>
      </w:r>
    </w:p>
    <w:p w:rsidR="009744EE" w:rsidRPr="009744EE" w:rsidRDefault="009744EE" w:rsidP="006A3E6A">
      <w:pPr>
        <w:numPr>
          <w:ilvl w:val="0"/>
          <w:numId w:val="36"/>
        </w:numPr>
        <w:spacing w:after="120"/>
        <w:ind w:left="709" w:hanging="709"/>
        <w:rPr>
          <w:rFonts w:cs="Helvetica"/>
          <w:szCs w:val="24"/>
        </w:rPr>
      </w:pPr>
      <w:r w:rsidRPr="009744EE">
        <w:rPr>
          <w:rFonts w:cs="Helvetica"/>
          <w:szCs w:val="24"/>
        </w:rPr>
        <w:t>invite interested persons to give to me, within 45 days after the publication of this notice, a notice objecting to the whole or any part of the information being made available or publicly known; and</w:t>
      </w:r>
    </w:p>
    <w:p w:rsidR="009744EE" w:rsidRPr="009744EE" w:rsidRDefault="009744EE" w:rsidP="00D5611D">
      <w:pPr>
        <w:numPr>
          <w:ilvl w:val="0"/>
          <w:numId w:val="36"/>
        </w:numPr>
        <w:spacing w:after="120"/>
        <w:ind w:left="709" w:hanging="709"/>
        <w:rPr>
          <w:rFonts w:cs="Helvetica"/>
          <w:szCs w:val="24"/>
        </w:rPr>
      </w:pPr>
      <w:r w:rsidRPr="009744EE">
        <w:rPr>
          <w:rFonts w:cs="Helvetica"/>
          <w:szCs w:val="24"/>
        </w:rPr>
        <w:t>notify that if a person does not make an objection in accordance with this invitation, the person will be taken to have consented to the information being made available or publicly known.</w:t>
      </w:r>
    </w:p>
    <w:p w:rsidR="009744EE" w:rsidRPr="009744EE" w:rsidRDefault="009744EE" w:rsidP="006A3E6A">
      <w:pPr>
        <w:pStyle w:val="Heading2"/>
        <w:spacing w:line="360" w:lineRule="auto"/>
        <w:jc w:val="center"/>
        <w:rPr>
          <w:rFonts w:cs="Helvetica"/>
          <w:sz w:val="24"/>
          <w:szCs w:val="24"/>
        </w:rPr>
      </w:pPr>
      <w:r w:rsidRPr="009744EE">
        <w:rPr>
          <w:rFonts w:cs="Helvetica"/>
          <w:sz w:val="24"/>
          <w:szCs w:val="24"/>
        </w:rPr>
        <w:t>N</w:t>
      </w:r>
      <w:r w:rsidR="00D5611D" w:rsidRPr="009744EE">
        <w:rPr>
          <w:rFonts w:cs="Helvetica"/>
          <w:sz w:val="24"/>
          <w:szCs w:val="24"/>
        </w:rPr>
        <w:t>ote</w:t>
      </w:r>
    </w:p>
    <w:p w:rsidR="009744EE" w:rsidRPr="009744EE" w:rsidRDefault="009744EE" w:rsidP="00D5611D">
      <w:pPr>
        <w:numPr>
          <w:ilvl w:val="0"/>
          <w:numId w:val="37"/>
        </w:numPr>
        <w:spacing w:after="120"/>
        <w:rPr>
          <w:rFonts w:cs="Helvetica"/>
          <w:szCs w:val="24"/>
        </w:rPr>
      </w:pPr>
      <w:r w:rsidRPr="009744EE">
        <w:rPr>
          <w:rFonts w:cs="Helvetica"/>
          <w:szCs w:val="24"/>
        </w:rPr>
        <w:t>A notice objecting to information being made available or publicly known shall set out the person’s reasons for making the objection.</w:t>
      </w:r>
    </w:p>
    <w:p w:rsidR="009744EE" w:rsidRPr="009744EE" w:rsidRDefault="009744EE" w:rsidP="00D5611D">
      <w:pPr>
        <w:numPr>
          <w:ilvl w:val="0"/>
          <w:numId w:val="37"/>
        </w:numPr>
        <w:spacing w:line="360" w:lineRule="auto"/>
        <w:rPr>
          <w:rFonts w:cs="Helvetica"/>
          <w:szCs w:val="24"/>
        </w:rPr>
      </w:pPr>
      <w:r w:rsidRPr="009744EE">
        <w:rPr>
          <w:rFonts w:cs="Helvetica"/>
          <w:szCs w:val="24"/>
        </w:rPr>
        <w:t>A person may not object to information being made available or publicly known under this -</w:t>
      </w:r>
    </w:p>
    <w:p w:rsidR="009744EE" w:rsidRPr="009744EE" w:rsidRDefault="009744EE" w:rsidP="00D5611D">
      <w:pPr>
        <w:numPr>
          <w:ilvl w:val="1"/>
          <w:numId w:val="37"/>
        </w:numPr>
        <w:spacing w:line="360" w:lineRule="auto"/>
        <w:rPr>
          <w:rFonts w:cs="Helvetica"/>
          <w:szCs w:val="24"/>
        </w:rPr>
      </w:pPr>
      <w:r w:rsidRPr="009744EE">
        <w:rPr>
          <w:rFonts w:cs="Helvetica"/>
          <w:szCs w:val="24"/>
        </w:rPr>
        <w:t>a trade secret; or</w:t>
      </w:r>
    </w:p>
    <w:p w:rsidR="009744EE" w:rsidRPr="009744EE" w:rsidRDefault="009744EE" w:rsidP="00D5611D">
      <w:pPr>
        <w:numPr>
          <w:ilvl w:val="1"/>
          <w:numId w:val="37"/>
        </w:numPr>
        <w:spacing w:after="120"/>
        <w:rPr>
          <w:rFonts w:cs="Helvetica"/>
          <w:szCs w:val="24"/>
        </w:rPr>
      </w:pPr>
      <w:r w:rsidRPr="009744EE">
        <w:rPr>
          <w:rFonts w:cs="Helvetica"/>
          <w:szCs w:val="24"/>
        </w:rPr>
        <w:t>any other information the disclosure of which would, or could reasonably be expected to, adversely affect the person in respect of the lawful business, commercial or financial affairs of the person.</w:t>
      </w:r>
    </w:p>
    <w:p w:rsidR="009744EE" w:rsidRPr="009744EE" w:rsidRDefault="009744EE" w:rsidP="00D5611D">
      <w:pPr>
        <w:spacing w:after="120"/>
        <w:rPr>
          <w:rFonts w:cs="Helvetica"/>
          <w:szCs w:val="24"/>
        </w:rPr>
      </w:pPr>
      <w:r w:rsidRPr="009744EE">
        <w:rPr>
          <w:rFonts w:cs="Helvetica"/>
          <w:szCs w:val="24"/>
        </w:rPr>
        <w:t>Dated: 22 September 2017</w:t>
      </w:r>
    </w:p>
    <w:p w:rsidR="009744EE" w:rsidRDefault="009744EE" w:rsidP="00D5611D">
      <w:pPr>
        <w:spacing w:after="360"/>
        <w:rPr>
          <w:rFonts w:cs="Helvetica"/>
          <w:szCs w:val="24"/>
        </w:rPr>
      </w:pPr>
      <w:r w:rsidRPr="009744EE">
        <w:rPr>
          <w:rFonts w:cs="Helvetica"/>
          <w:szCs w:val="24"/>
        </w:rPr>
        <w:t xml:space="preserve">Made under the </w:t>
      </w:r>
      <w:r w:rsidRPr="009744EE">
        <w:rPr>
          <w:rFonts w:cs="Helvetica"/>
          <w:i/>
          <w:szCs w:val="24"/>
        </w:rPr>
        <w:t>Petroleum Act</w:t>
      </w:r>
      <w:r w:rsidRPr="009744EE">
        <w:rPr>
          <w:rFonts w:cs="Helvetica"/>
          <w:szCs w:val="24"/>
        </w:rPr>
        <w:t xml:space="preserve"> of the Northern Territory of Australia</w:t>
      </w:r>
    </w:p>
    <w:p w:rsidR="005D3960" w:rsidRPr="009744EE" w:rsidRDefault="005D3960" w:rsidP="005D3960">
      <w:pPr>
        <w:spacing w:before="240"/>
        <w:jc w:val="right"/>
        <w:rPr>
          <w:rFonts w:cs="Helvetica"/>
          <w:szCs w:val="24"/>
        </w:rPr>
      </w:pPr>
      <w:r>
        <w:rPr>
          <w:rFonts w:cs="Helvetica"/>
          <w:szCs w:val="24"/>
        </w:rPr>
        <w:t>V. L. Jackson</w:t>
      </w:r>
    </w:p>
    <w:p w:rsidR="009744EE" w:rsidRPr="009744EE" w:rsidRDefault="009744EE" w:rsidP="005D3960">
      <w:pPr>
        <w:jc w:val="right"/>
        <w:rPr>
          <w:rFonts w:cs="Helvetica"/>
          <w:szCs w:val="24"/>
        </w:rPr>
      </w:pPr>
      <w:r w:rsidRPr="009744EE">
        <w:rPr>
          <w:rFonts w:cs="Helvetica"/>
          <w:szCs w:val="24"/>
        </w:rPr>
        <w:t>Delegate of the Minister for Primary Industries and Resources</w:t>
      </w:r>
    </w:p>
    <w:p w:rsidR="009744EE" w:rsidRPr="009744EE" w:rsidRDefault="009744EE" w:rsidP="009744EE">
      <w:pPr>
        <w:jc w:val="right"/>
        <w:rPr>
          <w:rFonts w:cs="Helvetica"/>
          <w:szCs w:val="24"/>
        </w:rPr>
      </w:pPr>
      <w:r w:rsidRPr="009744EE">
        <w:rPr>
          <w:rFonts w:cs="Helvetica"/>
          <w:szCs w:val="24"/>
        </w:rPr>
        <w:t>Pursuant to Instrument of Delegation Dated 11 October 2016</w:t>
      </w:r>
    </w:p>
    <w:p w:rsidR="009744EE" w:rsidRPr="009744EE" w:rsidRDefault="009744EE" w:rsidP="00D5611D">
      <w:pPr>
        <w:pageBreakBefore/>
        <w:widowControl w:val="0"/>
        <w:spacing w:after="120"/>
        <w:jc w:val="center"/>
        <w:rPr>
          <w:rFonts w:cs="Helvetica"/>
          <w:b/>
          <w:szCs w:val="24"/>
        </w:rPr>
      </w:pPr>
      <w:r w:rsidRPr="009744EE">
        <w:rPr>
          <w:rFonts w:cs="Helvetica"/>
          <w:b/>
          <w:szCs w:val="24"/>
        </w:rPr>
        <w:t>S</w:t>
      </w:r>
      <w:r w:rsidR="00D5611D" w:rsidRPr="009744EE">
        <w:rPr>
          <w:rFonts w:cs="Helvetica"/>
          <w:b/>
          <w:szCs w:val="24"/>
        </w:rPr>
        <w:t>chedule</w:t>
      </w:r>
    </w:p>
    <w:tbl>
      <w:tblPr>
        <w:tblW w:w="13270" w:type="dxa"/>
        <w:tblInd w:w="93" w:type="dxa"/>
        <w:tblLook w:val="04A0" w:firstRow="1" w:lastRow="0" w:firstColumn="1" w:lastColumn="0" w:noHBand="0" w:noVBand="1"/>
        <w:tblCaption w:val="Schedule"/>
        <w:tblDescription w:val="Release of information"/>
      </w:tblPr>
      <w:tblGrid>
        <w:gridCol w:w="2000"/>
        <w:gridCol w:w="1529"/>
        <w:gridCol w:w="4368"/>
        <w:gridCol w:w="2298"/>
        <w:gridCol w:w="2031"/>
        <w:gridCol w:w="1044"/>
      </w:tblGrid>
      <w:tr w:rsidR="009744EE" w:rsidRPr="009744EE" w:rsidTr="00D5611D">
        <w:trPr>
          <w:trHeight w:val="430"/>
        </w:trPr>
        <w:tc>
          <w:tcPr>
            <w:tcW w:w="2000" w:type="dxa"/>
            <w:tcBorders>
              <w:top w:val="single" w:sz="8" w:space="0" w:color="auto"/>
              <w:left w:val="single" w:sz="8" w:space="0" w:color="auto"/>
              <w:bottom w:val="single" w:sz="8" w:space="0" w:color="auto"/>
              <w:right w:val="single" w:sz="8" w:space="0" w:color="auto"/>
            </w:tcBorders>
            <w:noWrap/>
            <w:vAlign w:val="center"/>
            <w:hideMark/>
          </w:tcPr>
          <w:p w:rsidR="009744EE" w:rsidRPr="009744EE" w:rsidRDefault="009744EE">
            <w:pPr>
              <w:rPr>
                <w:rFonts w:cs="Helvetica"/>
                <w:b/>
                <w:bCs/>
                <w:color w:val="000000"/>
                <w:szCs w:val="24"/>
              </w:rPr>
            </w:pPr>
            <w:r w:rsidRPr="009744EE">
              <w:rPr>
                <w:rFonts w:cs="Helvetica"/>
                <w:b/>
                <w:bCs/>
                <w:color w:val="000000"/>
                <w:szCs w:val="24"/>
              </w:rPr>
              <w:t>PR</w:t>
            </w:r>
          </w:p>
        </w:tc>
        <w:tc>
          <w:tcPr>
            <w:tcW w:w="1529"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b/>
                <w:bCs/>
                <w:color w:val="000000"/>
                <w:szCs w:val="24"/>
              </w:rPr>
            </w:pPr>
            <w:r w:rsidRPr="009744EE">
              <w:rPr>
                <w:rFonts w:cs="Helvetica"/>
                <w:b/>
                <w:bCs/>
                <w:color w:val="000000"/>
                <w:szCs w:val="24"/>
              </w:rPr>
              <w:t>Tenure</w:t>
            </w:r>
          </w:p>
        </w:tc>
        <w:tc>
          <w:tcPr>
            <w:tcW w:w="4368"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b/>
                <w:bCs/>
                <w:color w:val="000000"/>
                <w:szCs w:val="24"/>
              </w:rPr>
            </w:pPr>
            <w:r w:rsidRPr="009744EE">
              <w:rPr>
                <w:rFonts w:cs="Helvetica"/>
                <w:b/>
                <w:bCs/>
                <w:color w:val="000000"/>
                <w:szCs w:val="24"/>
              </w:rPr>
              <w:t>Onshore Interpretive data, Reports and Samples</w:t>
            </w:r>
          </w:p>
        </w:tc>
        <w:tc>
          <w:tcPr>
            <w:tcW w:w="2298"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b/>
                <w:bCs/>
                <w:color w:val="000000"/>
                <w:szCs w:val="24"/>
              </w:rPr>
            </w:pPr>
            <w:r w:rsidRPr="009744EE">
              <w:rPr>
                <w:rFonts w:cs="Helvetica"/>
                <w:b/>
                <w:bCs/>
                <w:color w:val="000000"/>
                <w:szCs w:val="24"/>
              </w:rPr>
              <w:t>Release Date</w:t>
            </w:r>
          </w:p>
        </w:tc>
        <w:tc>
          <w:tcPr>
            <w:tcW w:w="2031"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b/>
                <w:bCs/>
                <w:color w:val="000000"/>
                <w:szCs w:val="24"/>
              </w:rPr>
            </w:pPr>
            <w:r w:rsidRPr="009744EE">
              <w:rPr>
                <w:rFonts w:cs="Helvetica"/>
                <w:b/>
                <w:bCs/>
                <w:color w:val="000000"/>
                <w:szCs w:val="24"/>
              </w:rPr>
              <w:t>Legislation</w:t>
            </w:r>
          </w:p>
        </w:tc>
        <w:tc>
          <w:tcPr>
            <w:tcW w:w="1044"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b/>
                <w:bCs/>
                <w:color w:val="000000"/>
                <w:szCs w:val="24"/>
              </w:rPr>
            </w:pPr>
            <w:r w:rsidRPr="009744EE">
              <w:rPr>
                <w:rFonts w:cs="Helvetica"/>
                <w:b/>
                <w:bCs/>
                <w:color w:val="000000"/>
                <w:szCs w:val="24"/>
              </w:rPr>
              <w:t>Notes</w:t>
            </w:r>
          </w:p>
        </w:tc>
      </w:tr>
      <w:tr w:rsidR="009744EE" w:rsidRPr="009744EE" w:rsidTr="00D5611D">
        <w:trPr>
          <w:trHeight w:val="430"/>
        </w:trPr>
        <w:tc>
          <w:tcPr>
            <w:tcW w:w="2000" w:type="dxa"/>
            <w:tcBorders>
              <w:top w:val="single" w:sz="8" w:space="0" w:color="auto"/>
              <w:left w:val="single" w:sz="8" w:space="0" w:color="auto"/>
              <w:bottom w:val="single" w:sz="8" w:space="0" w:color="auto"/>
              <w:right w:val="single" w:sz="8" w:space="0" w:color="auto"/>
            </w:tcBorders>
            <w:noWrap/>
            <w:vAlign w:val="center"/>
            <w:hideMark/>
          </w:tcPr>
          <w:p w:rsidR="009744EE" w:rsidRPr="009744EE" w:rsidRDefault="009744EE">
            <w:pPr>
              <w:rPr>
                <w:rFonts w:cs="Helvetica"/>
                <w:bCs/>
                <w:color w:val="000000"/>
                <w:szCs w:val="24"/>
              </w:rPr>
            </w:pPr>
            <w:r w:rsidRPr="009744EE">
              <w:rPr>
                <w:rFonts w:cs="Helvetica"/>
                <w:bCs/>
                <w:color w:val="000000"/>
                <w:szCs w:val="24"/>
              </w:rPr>
              <w:t>PR2011-0107</w:t>
            </w:r>
          </w:p>
        </w:tc>
        <w:tc>
          <w:tcPr>
            <w:tcW w:w="1529"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bCs/>
                <w:color w:val="000000"/>
                <w:szCs w:val="24"/>
              </w:rPr>
            </w:pPr>
            <w:r w:rsidRPr="009744EE">
              <w:rPr>
                <w:rFonts w:cs="Helvetica"/>
                <w:bCs/>
                <w:color w:val="000000"/>
                <w:szCs w:val="24"/>
              </w:rPr>
              <w:t>EP82</w:t>
            </w:r>
          </w:p>
        </w:tc>
        <w:tc>
          <w:tcPr>
            <w:tcW w:w="4368"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bCs/>
                <w:color w:val="000000"/>
                <w:szCs w:val="24"/>
              </w:rPr>
            </w:pPr>
            <w:r w:rsidRPr="009744EE">
              <w:rPr>
                <w:rFonts w:cs="Helvetica"/>
                <w:bCs/>
                <w:color w:val="000000"/>
                <w:szCs w:val="24"/>
              </w:rPr>
              <w:t>Ooraminna 2 Well Completion Report Interpretative Data</w:t>
            </w:r>
          </w:p>
        </w:tc>
        <w:tc>
          <w:tcPr>
            <w:tcW w:w="2298"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bCs/>
                <w:color w:val="000000"/>
                <w:szCs w:val="24"/>
              </w:rPr>
            </w:pPr>
            <w:r w:rsidRPr="009744EE">
              <w:rPr>
                <w:rFonts w:cs="Helvetica"/>
                <w:bCs/>
                <w:color w:val="000000"/>
                <w:szCs w:val="24"/>
              </w:rPr>
              <w:t>07/08/2016</w:t>
            </w:r>
          </w:p>
        </w:tc>
        <w:tc>
          <w:tcPr>
            <w:tcW w:w="2031"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color w:val="000000"/>
                <w:szCs w:val="24"/>
              </w:rPr>
            </w:pPr>
            <w:r w:rsidRPr="009744EE">
              <w:rPr>
                <w:rFonts w:cs="Helvetica"/>
                <w:color w:val="000000"/>
                <w:szCs w:val="24"/>
              </w:rPr>
              <w:t xml:space="preserve">Section 61(8) </w:t>
            </w:r>
            <w:r w:rsidRPr="00D5611D">
              <w:rPr>
                <w:rFonts w:cs="Helvetica"/>
                <w:i/>
                <w:color w:val="000000"/>
                <w:szCs w:val="24"/>
              </w:rPr>
              <w:t>Petroleum Act</w:t>
            </w:r>
            <w:r w:rsidRPr="009744EE">
              <w:rPr>
                <w:rFonts w:cs="Helvetica"/>
                <w:color w:val="000000"/>
                <w:szCs w:val="24"/>
              </w:rPr>
              <w:t xml:space="preserve"> </w:t>
            </w:r>
          </w:p>
        </w:tc>
        <w:tc>
          <w:tcPr>
            <w:tcW w:w="1044"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color w:val="000000"/>
                <w:szCs w:val="24"/>
              </w:rPr>
            </w:pPr>
            <w:r w:rsidRPr="009744EE">
              <w:rPr>
                <w:rFonts w:cs="Helvetica"/>
                <w:color w:val="000000"/>
                <w:szCs w:val="24"/>
              </w:rPr>
              <w:t>Routine</w:t>
            </w:r>
          </w:p>
        </w:tc>
      </w:tr>
      <w:tr w:rsidR="009744EE" w:rsidRPr="009744EE" w:rsidTr="00D5611D">
        <w:trPr>
          <w:trHeight w:val="430"/>
        </w:trPr>
        <w:tc>
          <w:tcPr>
            <w:tcW w:w="2000" w:type="dxa"/>
            <w:tcBorders>
              <w:top w:val="single" w:sz="8" w:space="0" w:color="auto"/>
              <w:left w:val="single" w:sz="8" w:space="0" w:color="auto"/>
              <w:bottom w:val="single" w:sz="8" w:space="0" w:color="auto"/>
              <w:right w:val="single" w:sz="8" w:space="0" w:color="auto"/>
            </w:tcBorders>
            <w:noWrap/>
            <w:vAlign w:val="center"/>
            <w:hideMark/>
          </w:tcPr>
          <w:p w:rsidR="009744EE" w:rsidRPr="009744EE" w:rsidRDefault="009744EE">
            <w:pPr>
              <w:rPr>
                <w:rFonts w:cs="Helvetica"/>
                <w:bCs/>
                <w:color w:val="000000"/>
                <w:szCs w:val="24"/>
              </w:rPr>
            </w:pPr>
            <w:r w:rsidRPr="009744EE">
              <w:rPr>
                <w:rFonts w:cs="Helvetica"/>
                <w:bCs/>
                <w:color w:val="000000"/>
                <w:szCs w:val="24"/>
              </w:rPr>
              <w:t>PR2012-0015</w:t>
            </w:r>
          </w:p>
        </w:tc>
        <w:tc>
          <w:tcPr>
            <w:tcW w:w="1529"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bCs/>
                <w:color w:val="000000"/>
                <w:szCs w:val="24"/>
              </w:rPr>
            </w:pPr>
            <w:r w:rsidRPr="009744EE">
              <w:rPr>
                <w:rFonts w:cs="Helvetica"/>
                <w:bCs/>
                <w:color w:val="000000"/>
                <w:szCs w:val="24"/>
              </w:rPr>
              <w:t>EP115</w:t>
            </w:r>
          </w:p>
        </w:tc>
        <w:tc>
          <w:tcPr>
            <w:tcW w:w="4368"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bCs/>
                <w:color w:val="000000"/>
                <w:szCs w:val="24"/>
              </w:rPr>
            </w:pPr>
            <w:r w:rsidRPr="009744EE">
              <w:rPr>
                <w:rFonts w:cs="Helvetica"/>
                <w:bCs/>
                <w:color w:val="000000"/>
                <w:szCs w:val="24"/>
              </w:rPr>
              <w:t>Surprise 1 Well Completion Interpretative Data</w:t>
            </w:r>
          </w:p>
        </w:tc>
        <w:tc>
          <w:tcPr>
            <w:tcW w:w="2298"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bCs/>
                <w:color w:val="000000"/>
                <w:szCs w:val="24"/>
              </w:rPr>
            </w:pPr>
            <w:r w:rsidRPr="009744EE">
              <w:rPr>
                <w:rFonts w:cs="Helvetica"/>
                <w:bCs/>
                <w:color w:val="000000"/>
                <w:szCs w:val="24"/>
              </w:rPr>
              <w:t>05/12/2016</w:t>
            </w:r>
          </w:p>
        </w:tc>
        <w:tc>
          <w:tcPr>
            <w:tcW w:w="2031"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color w:val="000000"/>
                <w:szCs w:val="24"/>
              </w:rPr>
            </w:pPr>
            <w:r w:rsidRPr="009744EE">
              <w:rPr>
                <w:rFonts w:cs="Helvetica"/>
                <w:color w:val="000000"/>
                <w:szCs w:val="24"/>
              </w:rPr>
              <w:t xml:space="preserve">Section 61(8) </w:t>
            </w:r>
            <w:r w:rsidRPr="00D5611D">
              <w:rPr>
                <w:rFonts w:cs="Helvetica"/>
                <w:i/>
                <w:color w:val="000000"/>
                <w:szCs w:val="24"/>
              </w:rPr>
              <w:t>Petroleum Act</w:t>
            </w:r>
            <w:r w:rsidRPr="009744EE">
              <w:rPr>
                <w:rFonts w:cs="Helvetica"/>
                <w:color w:val="000000"/>
                <w:szCs w:val="24"/>
              </w:rPr>
              <w:t xml:space="preserve"> </w:t>
            </w:r>
          </w:p>
        </w:tc>
        <w:tc>
          <w:tcPr>
            <w:tcW w:w="1044"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color w:val="000000"/>
                <w:szCs w:val="24"/>
              </w:rPr>
            </w:pPr>
            <w:r w:rsidRPr="009744EE">
              <w:rPr>
                <w:rFonts w:cs="Helvetica"/>
                <w:color w:val="000000"/>
                <w:szCs w:val="24"/>
              </w:rPr>
              <w:t>Routine</w:t>
            </w:r>
          </w:p>
        </w:tc>
      </w:tr>
      <w:tr w:rsidR="009744EE" w:rsidRPr="009744EE" w:rsidTr="00D5611D">
        <w:trPr>
          <w:trHeight w:val="430"/>
        </w:trPr>
        <w:tc>
          <w:tcPr>
            <w:tcW w:w="2000" w:type="dxa"/>
            <w:tcBorders>
              <w:top w:val="single" w:sz="8" w:space="0" w:color="auto"/>
              <w:left w:val="single" w:sz="8" w:space="0" w:color="auto"/>
              <w:bottom w:val="single" w:sz="8" w:space="0" w:color="auto"/>
              <w:right w:val="single" w:sz="8" w:space="0" w:color="auto"/>
            </w:tcBorders>
            <w:noWrap/>
            <w:vAlign w:val="center"/>
            <w:hideMark/>
          </w:tcPr>
          <w:p w:rsidR="009744EE" w:rsidRPr="009744EE" w:rsidRDefault="009744EE">
            <w:pPr>
              <w:rPr>
                <w:rFonts w:cs="Helvetica"/>
                <w:bCs/>
                <w:color w:val="000000"/>
                <w:szCs w:val="24"/>
              </w:rPr>
            </w:pPr>
            <w:r w:rsidRPr="009744EE">
              <w:rPr>
                <w:rFonts w:cs="Helvetica"/>
                <w:bCs/>
                <w:color w:val="000000"/>
                <w:szCs w:val="24"/>
              </w:rPr>
              <w:t>PR2014-0085</w:t>
            </w:r>
          </w:p>
        </w:tc>
        <w:tc>
          <w:tcPr>
            <w:tcW w:w="1529"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bCs/>
                <w:color w:val="000000"/>
                <w:szCs w:val="24"/>
              </w:rPr>
            </w:pPr>
            <w:r w:rsidRPr="009744EE">
              <w:rPr>
                <w:rFonts w:cs="Helvetica"/>
                <w:bCs/>
                <w:color w:val="000000"/>
                <w:szCs w:val="24"/>
              </w:rPr>
              <w:t>EP171</w:t>
            </w:r>
          </w:p>
        </w:tc>
        <w:tc>
          <w:tcPr>
            <w:tcW w:w="4368" w:type="dxa"/>
            <w:tcBorders>
              <w:top w:val="single" w:sz="8" w:space="0" w:color="auto"/>
              <w:left w:val="nil"/>
              <w:bottom w:val="single" w:sz="8" w:space="0" w:color="auto"/>
              <w:right w:val="single" w:sz="8" w:space="0" w:color="auto"/>
            </w:tcBorders>
            <w:vAlign w:val="center"/>
            <w:hideMark/>
          </w:tcPr>
          <w:p w:rsidR="009744EE" w:rsidRPr="009744EE" w:rsidRDefault="009744EE" w:rsidP="006A3E6A">
            <w:pPr>
              <w:rPr>
                <w:rFonts w:cs="Helvetica"/>
                <w:bCs/>
                <w:color w:val="000000"/>
                <w:szCs w:val="24"/>
              </w:rPr>
            </w:pPr>
            <w:r w:rsidRPr="009744EE">
              <w:rPr>
                <w:rFonts w:cs="Helvetica"/>
                <w:bCs/>
                <w:color w:val="000000"/>
                <w:szCs w:val="24"/>
              </w:rPr>
              <w:t>Thermal insight in the McArthur Basin based on bitumen reflectance and illite</w:t>
            </w:r>
            <w:r w:rsidR="006A3E6A">
              <w:rPr>
                <w:rFonts w:cs="Helvetica"/>
                <w:bCs/>
                <w:color w:val="000000"/>
                <w:szCs w:val="24"/>
              </w:rPr>
              <w:t> </w:t>
            </w:r>
            <w:r w:rsidRPr="009744EE">
              <w:rPr>
                <w:rFonts w:cs="Helvetica"/>
                <w:bCs/>
                <w:color w:val="000000"/>
                <w:szCs w:val="24"/>
              </w:rPr>
              <w:t>crystallinity</w:t>
            </w:r>
          </w:p>
        </w:tc>
        <w:tc>
          <w:tcPr>
            <w:tcW w:w="2298"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bCs/>
                <w:color w:val="000000"/>
                <w:szCs w:val="24"/>
              </w:rPr>
            </w:pPr>
            <w:r w:rsidRPr="009744EE">
              <w:rPr>
                <w:rFonts w:cs="Helvetica"/>
                <w:bCs/>
                <w:color w:val="000000"/>
                <w:szCs w:val="24"/>
              </w:rPr>
              <w:t>13/09/2017</w:t>
            </w:r>
          </w:p>
        </w:tc>
        <w:tc>
          <w:tcPr>
            <w:tcW w:w="2031"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color w:val="000000"/>
                <w:szCs w:val="24"/>
              </w:rPr>
            </w:pPr>
            <w:r w:rsidRPr="009744EE">
              <w:rPr>
                <w:rFonts w:cs="Helvetica"/>
                <w:color w:val="000000"/>
                <w:szCs w:val="24"/>
              </w:rPr>
              <w:t xml:space="preserve">Section 61(8) </w:t>
            </w:r>
            <w:r w:rsidRPr="00D5611D">
              <w:rPr>
                <w:rFonts w:cs="Helvetica"/>
                <w:i/>
                <w:color w:val="000000"/>
                <w:szCs w:val="24"/>
              </w:rPr>
              <w:t>Petroleum Act</w:t>
            </w:r>
          </w:p>
        </w:tc>
        <w:tc>
          <w:tcPr>
            <w:tcW w:w="1044" w:type="dxa"/>
            <w:tcBorders>
              <w:top w:val="single" w:sz="8" w:space="0" w:color="auto"/>
              <w:left w:val="nil"/>
              <w:bottom w:val="single" w:sz="8" w:space="0" w:color="auto"/>
              <w:right w:val="single" w:sz="8" w:space="0" w:color="auto"/>
            </w:tcBorders>
            <w:vAlign w:val="center"/>
            <w:hideMark/>
          </w:tcPr>
          <w:p w:rsidR="009744EE" w:rsidRPr="009744EE" w:rsidRDefault="009744EE">
            <w:pPr>
              <w:rPr>
                <w:rFonts w:cs="Helvetica"/>
                <w:color w:val="000000"/>
                <w:szCs w:val="24"/>
              </w:rPr>
            </w:pPr>
            <w:r w:rsidRPr="009744EE">
              <w:rPr>
                <w:rFonts w:cs="Helvetica"/>
                <w:color w:val="000000"/>
                <w:szCs w:val="24"/>
              </w:rPr>
              <w:t>Routine</w:t>
            </w:r>
          </w:p>
        </w:tc>
      </w:tr>
      <w:tr w:rsidR="009744EE" w:rsidRPr="009744EE" w:rsidTr="00D5611D">
        <w:trPr>
          <w:trHeight w:val="290"/>
        </w:trPr>
        <w:tc>
          <w:tcPr>
            <w:tcW w:w="2000" w:type="dxa"/>
            <w:vMerge w:val="restart"/>
            <w:tcBorders>
              <w:top w:val="nil"/>
              <w:left w:val="single" w:sz="8" w:space="0" w:color="auto"/>
              <w:bottom w:val="single" w:sz="8" w:space="0" w:color="000000"/>
              <w:right w:val="single" w:sz="8" w:space="0" w:color="auto"/>
            </w:tcBorders>
            <w:noWrap/>
            <w:vAlign w:val="center"/>
            <w:hideMark/>
          </w:tcPr>
          <w:p w:rsidR="009744EE" w:rsidRPr="009744EE" w:rsidRDefault="009744EE">
            <w:pPr>
              <w:rPr>
                <w:rFonts w:cs="Helvetica"/>
                <w:color w:val="000000"/>
                <w:szCs w:val="24"/>
              </w:rPr>
            </w:pPr>
            <w:r w:rsidRPr="009744EE">
              <w:rPr>
                <w:rFonts w:cs="Helvetica"/>
                <w:color w:val="000000"/>
                <w:szCs w:val="24"/>
              </w:rPr>
              <w:t>PR2011-0126</w:t>
            </w:r>
          </w:p>
        </w:tc>
        <w:tc>
          <w:tcPr>
            <w:tcW w:w="1529" w:type="dxa"/>
            <w:vMerge w:val="restart"/>
            <w:tcBorders>
              <w:top w:val="nil"/>
              <w:left w:val="single" w:sz="8" w:space="0" w:color="auto"/>
              <w:bottom w:val="single" w:sz="8" w:space="0" w:color="000000"/>
              <w:right w:val="single" w:sz="8" w:space="0" w:color="auto"/>
            </w:tcBorders>
            <w:noWrap/>
            <w:vAlign w:val="center"/>
            <w:hideMark/>
          </w:tcPr>
          <w:p w:rsidR="009744EE" w:rsidRPr="009744EE" w:rsidRDefault="009744EE">
            <w:pPr>
              <w:rPr>
                <w:rFonts w:cs="Helvetica"/>
                <w:color w:val="000000"/>
                <w:szCs w:val="24"/>
              </w:rPr>
            </w:pPr>
            <w:r w:rsidRPr="009744EE">
              <w:rPr>
                <w:rFonts w:cs="Helvetica"/>
                <w:color w:val="000000"/>
                <w:szCs w:val="24"/>
              </w:rPr>
              <w:t>EP107</w:t>
            </w:r>
          </w:p>
        </w:tc>
        <w:tc>
          <w:tcPr>
            <w:tcW w:w="4368" w:type="dxa"/>
            <w:vMerge w:val="restart"/>
            <w:tcBorders>
              <w:top w:val="nil"/>
              <w:left w:val="single" w:sz="8" w:space="0" w:color="auto"/>
              <w:bottom w:val="single" w:sz="8" w:space="0" w:color="000000"/>
              <w:right w:val="single" w:sz="8" w:space="0" w:color="auto"/>
            </w:tcBorders>
            <w:noWrap/>
            <w:vAlign w:val="center"/>
            <w:hideMark/>
          </w:tcPr>
          <w:p w:rsidR="009744EE" w:rsidRPr="009744EE" w:rsidRDefault="009744EE">
            <w:pPr>
              <w:rPr>
                <w:rFonts w:cs="Helvetica"/>
                <w:color w:val="000000"/>
                <w:szCs w:val="24"/>
              </w:rPr>
            </w:pPr>
            <w:r w:rsidRPr="009744EE">
              <w:rPr>
                <w:rFonts w:cs="Helvetica"/>
                <w:color w:val="000000"/>
                <w:szCs w:val="24"/>
              </w:rPr>
              <w:t>CBM 107-002 Well Completion Report Interpretative</w:t>
            </w:r>
          </w:p>
        </w:tc>
        <w:tc>
          <w:tcPr>
            <w:tcW w:w="2298" w:type="dxa"/>
            <w:vMerge w:val="restart"/>
            <w:tcBorders>
              <w:top w:val="nil"/>
              <w:left w:val="single" w:sz="8" w:space="0" w:color="auto"/>
              <w:bottom w:val="single" w:sz="8" w:space="0" w:color="000000"/>
              <w:right w:val="single" w:sz="8" w:space="0" w:color="auto"/>
            </w:tcBorders>
            <w:noWrap/>
            <w:vAlign w:val="center"/>
            <w:hideMark/>
          </w:tcPr>
          <w:p w:rsidR="009744EE" w:rsidRPr="009744EE" w:rsidRDefault="009744EE">
            <w:pPr>
              <w:rPr>
                <w:rFonts w:cs="Helvetica"/>
                <w:color w:val="000000"/>
                <w:szCs w:val="24"/>
              </w:rPr>
            </w:pPr>
            <w:r w:rsidRPr="009744EE">
              <w:rPr>
                <w:rFonts w:cs="Helvetica"/>
                <w:color w:val="000000"/>
                <w:szCs w:val="24"/>
              </w:rPr>
              <w:t>5/10/2016</w:t>
            </w:r>
          </w:p>
        </w:tc>
        <w:tc>
          <w:tcPr>
            <w:tcW w:w="2031" w:type="dxa"/>
            <w:vMerge w:val="restart"/>
            <w:tcBorders>
              <w:top w:val="nil"/>
              <w:left w:val="single" w:sz="8" w:space="0" w:color="auto"/>
              <w:bottom w:val="single" w:sz="8" w:space="0" w:color="000000"/>
              <w:right w:val="single" w:sz="8" w:space="0" w:color="auto"/>
            </w:tcBorders>
            <w:noWrap/>
            <w:vAlign w:val="center"/>
            <w:hideMark/>
          </w:tcPr>
          <w:p w:rsidR="009744EE" w:rsidRPr="009744EE" w:rsidRDefault="009744EE">
            <w:pPr>
              <w:rPr>
                <w:rFonts w:cs="Helvetica"/>
                <w:color w:val="000000"/>
                <w:szCs w:val="24"/>
              </w:rPr>
            </w:pPr>
            <w:r w:rsidRPr="009744EE">
              <w:rPr>
                <w:rFonts w:cs="Helvetica"/>
                <w:color w:val="000000"/>
                <w:szCs w:val="24"/>
              </w:rPr>
              <w:t xml:space="preserve">Section 61(8) </w:t>
            </w:r>
            <w:r w:rsidRPr="00D5611D">
              <w:rPr>
                <w:rFonts w:cs="Helvetica"/>
                <w:i/>
                <w:color w:val="000000"/>
                <w:szCs w:val="24"/>
              </w:rPr>
              <w:t>Petroleum Act</w:t>
            </w:r>
          </w:p>
        </w:tc>
        <w:tc>
          <w:tcPr>
            <w:tcW w:w="1044" w:type="dxa"/>
            <w:vMerge w:val="restart"/>
            <w:tcBorders>
              <w:top w:val="nil"/>
              <w:left w:val="single" w:sz="8" w:space="0" w:color="auto"/>
              <w:bottom w:val="single" w:sz="8" w:space="0" w:color="000000"/>
              <w:right w:val="single" w:sz="8" w:space="0" w:color="auto"/>
            </w:tcBorders>
            <w:noWrap/>
            <w:vAlign w:val="center"/>
            <w:hideMark/>
          </w:tcPr>
          <w:p w:rsidR="009744EE" w:rsidRPr="009744EE" w:rsidRDefault="009744EE">
            <w:pPr>
              <w:rPr>
                <w:rFonts w:cs="Helvetica"/>
                <w:color w:val="000000"/>
                <w:szCs w:val="24"/>
              </w:rPr>
            </w:pPr>
            <w:r w:rsidRPr="009744EE">
              <w:rPr>
                <w:rFonts w:cs="Helvetica"/>
                <w:color w:val="000000"/>
                <w:szCs w:val="24"/>
              </w:rPr>
              <w:t>Routine</w:t>
            </w:r>
          </w:p>
        </w:tc>
      </w:tr>
      <w:tr w:rsidR="009744EE" w:rsidRPr="009744EE" w:rsidTr="006A3E6A">
        <w:trPr>
          <w:trHeight w:val="300"/>
        </w:trPr>
        <w:tc>
          <w:tcPr>
            <w:tcW w:w="0" w:type="auto"/>
            <w:vMerge/>
            <w:tcBorders>
              <w:top w:val="nil"/>
              <w:left w:val="single" w:sz="8" w:space="0" w:color="auto"/>
              <w:bottom w:val="single" w:sz="8" w:space="0" w:color="000000"/>
              <w:right w:val="single" w:sz="8" w:space="0" w:color="auto"/>
            </w:tcBorders>
            <w:vAlign w:val="center"/>
            <w:hideMark/>
          </w:tcPr>
          <w:p w:rsidR="009744EE" w:rsidRPr="009744EE" w:rsidRDefault="009744EE">
            <w:pPr>
              <w:rPr>
                <w:rFonts w:cs="Helvetica"/>
                <w:color w:val="000000"/>
                <w:szCs w:val="24"/>
              </w:rPr>
            </w:pPr>
          </w:p>
        </w:tc>
        <w:tc>
          <w:tcPr>
            <w:tcW w:w="0" w:type="auto"/>
            <w:vMerge/>
            <w:tcBorders>
              <w:top w:val="nil"/>
              <w:left w:val="single" w:sz="8" w:space="0" w:color="auto"/>
              <w:bottom w:val="single" w:sz="8" w:space="0" w:color="000000"/>
              <w:right w:val="single" w:sz="8" w:space="0" w:color="auto"/>
            </w:tcBorders>
            <w:vAlign w:val="center"/>
            <w:hideMark/>
          </w:tcPr>
          <w:p w:rsidR="009744EE" w:rsidRPr="009744EE" w:rsidRDefault="009744EE">
            <w:pPr>
              <w:rPr>
                <w:rFonts w:cs="Helvetica"/>
                <w:color w:val="000000"/>
                <w:szCs w:val="24"/>
              </w:rPr>
            </w:pPr>
          </w:p>
        </w:tc>
        <w:tc>
          <w:tcPr>
            <w:tcW w:w="0" w:type="auto"/>
            <w:vMerge/>
            <w:tcBorders>
              <w:top w:val="nil"/>
              <w:left w:val="single" w:sz="8" w:space="0" w:color="auto"/>
              <w:bottom w:val="single" w:sz="8" w:space="0" w:color="000000"/>
              <w:right w:val="single" w:sz="8" w:space="0" w:color="auto"/>
            </w:tcBorders>
            <w:vAlign w:val="center"/>
            <w:hideMark/>
          </w:tcPr>
          <w:p w:rsidR="009744EE" w:rsidRPr="009744EE" w:rsidRDefault="009744EE">
            <w:pPr>
              <w:rPr>
                <w:rFonts w:cs="Helvetica"/>
                <w:color w:val="000000"/>
                <w:szCs w:val="24"/>
              </w:rPr>
            </w:pPr>
          </w:p>
        </w:tc>
        <w:tc>
          <w:tcPr>
            <w:tcW w:w="0" w:type="auto"/>
            <w:vMerge/>
            <w:tcBorders>
              <w:top w:val="nil"/>
              <w:left w:val="single" w:sz="8" w:space="0" w:color="auto"/>
              <w:bottom w:val="single" w:sz="8" w:space="0" w:color="000000"/>
              <w:right w:val="single" w:sz="8" w:space="0" w:color="auto"/>
            </w:tcBorders>
            <w:vAlign w:val="center"/>
            <w:hideMark/>
          </w:tcPr>
          <w:p w:rsidR="009744EE" w:rsidRPr="009744EE" w:rsidRDefault="009744EE">
            <w:pPr>
              <w:rPr>
                <w:rFonts w:cs="Helvetica"/>
                <w:color w:val="000000"/>
                <w:szCs w:val="24"/>
              </w:rPr>
            </w:pPr>
          </w:p>
        </w:tc>
        <w:tc>
          <w:tcPr>
            <w:tcW w:w="0" w:type="auto"/>
            <w:vMerge/>
            <w:tcBorders>
              <w:top w:val="nil"/>
              <w:left w:val="single" w:sz="8" w:space="0" w:color="auto"/>
              <w:bottom w:val="single" w:sz="8" w:space="0" w:color="000000"/>
              <w:right w:val="single" w:sz="8" w:space="0" w:color="auto"/>
            </w:tcBorders>
            <w:vAlign w:val="center"/>
            <w:hideMark/>
          </w:tcPr>
          <w:p w:rsidR="009744EE" w:rsidRPr="009744EE" w:rsidRDefault="009744EE">
            <w:pPr>
              <w:rPr>
                <w:rFonts w:cs="Helvetica"/>
                <w:color w:val="000000"/>
                <w:szCs w:val="24"/>
              </w:rPr>
            </w:pPr>
          </w:p>
        </w:tc>
        <w:tc>
          <w:tcPr>
            <w:tcW w:w="0" w:type="auto"/>
            <w:vMerge/>
            <w:tcBorders>
              <w:top w:val="nil"/>
              <w:left w:val="single" w:sz="8" w:space="0" w:color="auto"/>
              <w:bottom w:val="single" w:sz="8" w:space="0" w:color="000000"/>
              <w:right w:val="single" w:sz="8" w:space="0" w:color="auto"/>
            </w:tcBorders>
            <w:vAlign w:val="center"/>
            <w:hideMark/>
          </w:tcPr>
          <w:p w:rsidR="009744EE" w:rsidRPr="009744EE" w:rsidRDefault="009744EE">
            <w:pPr>
              <w:rPr>
                <w:rFonts w:cs="Helvetica"/>
                <w:color w:val="000000"/>
                <w:szCs w:val="24"/>
              </w:rPr>
            </w:pPr>
          </w:p>
        </w:tc>
      </w:tr>
      <w:tr w:rsidR="009744EE" w:rsidRPr="009744EE" w:rsidTr="006A3E6A">
        <w:trPr>
          <w:trHeight w:val="647"/>
        </w:trPr>
        <w:tc>
          <w:tcPr>
            <w:tcW w:w="2000" w:type="dxa"/>
            <w:tcBorders>
              <w:top w:val="nil"/>
              <w:left w:val="single" w:sz="4" w:space="0" w:color="auto"/>
              <w:bottom w:val="single" w:sz="4" w:space="0" w:color="auto"/>
              <w:right w:val="single" w:sz="8" w:space="0" w:color="auto"/>
            </w:tcBorders>
            <w:vAlign w:val="center"/>
            <w:hideMark/>
          </w:tcPr>
          <w:p w:rsidR="009744EE" w:rsidRPr="009744EE" w:rsidRDefault="009744EE">
            <w:pPr>
              <w:rPr>
                <w:rFonts w:cs="Helvetica"/>
                <w:color w:val="000000"/>
                <w:szCs w:val="24"/>
              </w:rPr>
            </w:pPr>
            <w:r w:rsidRPr="009744EE">
              <w:rPr>
                <w:rFonts w:cs="Helvetica"/>
                <w:color w:val="000000"/>
                <w:szCs w:val="24"/>
              </w:rPr>
              <w:t>PR2011-0128</w:t>
            </w:r>
          </w:p>
        </w:tc>
        <w:tc>
          <w:tcPr>
            <w:tcW w:w="1529" w:type="dxa"/>
            <w:tcBorders>
              <w:top w:val="nil"/>
              <w:left w:val="single" w:sz="8" w:space="0" w:color="auto"/>
              <w:bottom w:val="single" w:sz="4" w:space="0" w:color="auto"/>
              <w:right w:val="single" w:sz="8" w:space="0" w:color="auto"/>
            </w:tcBorders>
            <w:vAlign w:val="center"/>
            <w:hideMark/>
          </w:tcPr>
          <w:p w:rsidR="009744EE" w:rsidRPr="009744EE" w:rsidRDefault="009744EE">
            <w:pPr>
              <w:rPr>
                <w:rFonts w:cs="Helvetica"/>
                <w:color w:val="000000"/>
                <w:szCs w:val="24"/>
              </w:rPr>
            </w:pPr>
            <w:r w:rsidRPr="009744EE">
              <w:rPr>
                <w:rFonts w:cs="Helvetica"/>
                <w:color w:val="000000"/>
                <w:szCs w:val="24"/>
              </w:rPr>
              <w:t>EP93</w:t>
            </w:r>
          </w:p>
        </w:tc>
        <w:tc>
          <w:tcPr>
            <w:tcW w:w="4368" w:type="dxa"/>
            <w:tcBorders>
              <w:top w:val="single" w:sz="8" w:space="0" w:color="000000"/>
              <w:left w:val="single" w:sz="8" w:space="0" w:color="auto"/>
              <w:bottom w:val="single" w:sz="4" w:space="0" w:color="auto"/>
              <w:right w:val="single" w:sz="8" w:space="0" w:color="auto"/>
            </w:tcBorders>
            <w:vAlign w:val="center"/>
            <w:hideMark/>
          </w:tcPr>
          <w:p w:rsidR="009744EE" w:rsidRPr="009744EE" w:rsidRDefault="009744EE">
            <w:pPr>
              <w:rPr>
                <w:rFonts w:cs="Helvetica"/>
                <w:color w:val="000000"/>
                <w:szCs w:val="24"/>
              </w:rPr>
            </w:pPr>
            <w:r w:rsidRPr="009744EE">
              <w:rPr>
                <w:rFonts w:cs="Helvetica"/>
                <w:color w:val="000000"/>
                <w:szCs w:val="24"/>
              </w:rPr>
              <w:t>CBM 93-002 Well Completion Report Interpretative</w:t>
            </w:r>
          </w:p>
        </w:tc>
        <w:tc>
          <w:tcPr>
            <w:tcW w:w="2298" w:type="dxa"/>
            <w:tcBorders>
              <w:top w:val="nil"/>
              <w:left w:val="single" w:sz="8" w:space="0" w:color="auto"/>
              <w:bottom w:val="single" w:sz="4" w:space="0" w:color="auto"/>
              <w:right w:val="single" w:sz="8" w:space="0" w:color="auto"/>
            </w:tcBorders>
            <w:vAlign w:val="center"/>
            <w:hideMark/>
          </w:tcPr>
          <w:p w:rsidR="009744EE" w:rsidRPr="009744EE" w:rsidRDefault="009744EE">
            <w:pPr>
              <w:rPr>
                <w:rFonts w:cs="Helvetica"/>
                <w:color w:val="000000"/>
                <w:szCs w:val="24"/>
              </w:rPr>
            </w:pPr>
            <w:r w:rsidRPr="009744EE">
              <w:rPr>
                <w:rFonts w:cs="Helvetica"/>
                <w:color w:val="000000"/>
                <w:szCs w:val="24"/>
              </w:rPr>
              <w:t>10/06/2016</w:t>
            </w:r>
          </w:p>
        </w:tc>
        <w:tc>
          <w:tcPr>
            <w:tcW w:w="2031" w:type="dxa"/>
            <w:tcBorders>
              <w:top w:val="nil"/>
              <w:left w:val="single" w:sz="8" w:space="0" w:color="auto"/>
              <w:bottom w:val="single" w:sz="4" w:space="0" w:color="auto"/>
              <w:right w:val="single" w:sz="8" w:space="0" w:color="auto"/>
            </w:tcBorders>
            <w:vAlign w:val="center"/>
            <w:hideMark/>
          </w:tcPr>
          <w:p w:rsidR="009744EE" w:rsidRPr="009744EE" w:rsidRDefault="009744EE">
            <w:pPr>
              <w:rPr>
                <w:rFonts w:cs="Helvetica"/>
                <w:color w:val="000000"/>
                <w:szCs w:val="24"/>
              </w:rPr>
            </w:pPr>
            <w:r w:rsidRPr="009744EE">
              <w:rPr>
                <w:rFonts w:cs="Helvetica"/>
                <w:color w:val="000000"/>
                <w:szCs w:val="24"/>
              </w:rPr>
              <w:t xml:space="preserve">Section 61(8) </w:t>
            </w:r>
            <w:r w:rsidRPr="00D5611D">
              <w:rPr>
                <w:rFonts w:cs="Helvetica"/>
                <w:i/>
                <w:color w:val="000000"/>
                <w:szCs w:val="24"/>
              </w:rPr>
              <w:t>Petroleum Act</w:t>
            </w:r>
          </w:p>
        </w:tc>
        <w:tc>
          <w:tcPr>
            <w:tcW w:w="1044" w:type="dxa"/>
            <w:tcBorders>
              <w:top w:val="nil"/>
              <w:left w:val="single" w:sz="8" w:space="0" w:color="auto"/>
              <w:bottom w:val="single" w:sz="4" w:space="0" w:color="auto"/>
              <w:right w:val="single" w:sz="8" w:space="0" w:color="auto"/>
            </w:tcBorders>
            <w:vAlign w:val="center"/>
            <w:hideMark/>
          </w:tcPr>
          <w:p w:rsidR="009744EE" w:rsidRPr="009744EE" w:rsidRDefault="009744EE">
            <w:pPr>
              <w:rPr>
                <w:rFonts w:cs="Helvetica"/>
                <w:color w:val="000000"/>
                <w:szCs w:val="24"/>
              </w:rPr>
            </w:pPr>
            <w:r w:rsidRPr="009744EE">
              <w:rPr>
                <w:rFonts w:cs="Helvetica"/>
                <w:color w:val="000000"/>
                <w:szCs w:val="24"/>
              </w:rPr>
              <w:t>Routine</w:t>
            </w:r>
          </w:p>
        </w:tc>
      </w:tr>
    </w:tbl>
    <w:p w:rsidR="009744EE" w:rsidRPr="009744EE" w:rsidRDefault="009744EE" w:rsidP="009744EE">
      <w:pPr>
        <w:rPr>
          <w:rFonts w:cs="Helvetica"/>
          <w:szCs w:val="24"/>
        </w:rPr>
      </w:pPr>
    </w:p>
    <w:p w:rsidR="00DD65C8" w:rsidRPr="009744EE" w:rsidRDefault="00DD65C8" w:rsidP="00DD65C8">
      <w:pPr>
        <w:rPr>
          <w:rFonts w:cs="Helvetica"/>
          <w:szCs w:val="24"/>
        </w:rPr>
      </w:pPr>
    </w:p>
    <w:p w:rsidR="00DD65C8" w:rsidRDefault="00DD65C8" w:rsidP="00892FC3">
      <w:pPr>
        <w:tabs>
          <w:tab w:val="left" w:pos="8640"/>
        </w:tabs>
        <w:spacing w:line="360" w:lineRule="auto"/>
        <w:jc w:val="right"/>
        <w:rPr>
          <w:spacing w:val="-3"/>
        </w:rPr>
      </w:pPr>
    </w:p>
    <w:sectPr w:rsidR="00DD65C8" w:rsidSect="00E52385">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0D6" w:rsidRDefault="002170D6" w:rsidP="00262753">
      <w:r>
        <w:separator/>
      </w:r>
    </w:p>
  </w:endnote>
  <w:endnote w:type="continuationSeparator" w:id="0">
    <w:p w:rsidR="002170D6" w:rsidRDefault="002170D6"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D6" w:rsidRDefault="002170D6">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2170D6" w:rsidRDefault="00217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D6" w:rsidRDefault="002170D6" w:rsidP="001E056E">
    <w:pPr>
      <w:pStyle w:val="Footer"/>
    </w:pPr>
    <w:r>
      <w:t xml:space="preserve">Page </w:t>
    </w:r>
    <w:r>
      <w:fldChar w:fldCharType="begin"/>
    </w:r>
    <w:r>
      <w:instrText xml:space="preserve"> PAGE   \* MERGEFORMAT </w:instrText>
    </w:r>
    <w:r>
      <w:fldChar w:fldCharType="separate"/>
    </w:r>
    <w:r w:rsidR="00DA2B46">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D6" w:rsidRDefault="002170D6"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0D6" w:rsidRDefault="002170D6" w:rsidP="00262753">
      <w:r>
        <w:separator/>
      </w:r>
    </w:p>
  </w:footnote>
  <w:footnote w:type="continuationSeparator" w:id="0">
    <w:p w:rsidR="002170D6" w:rsidRDefault="002170D6"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D6" w:rsidRPr="00217476" w:rsidRDefault="002170D6" w:rsidP="001E056E">
    <w:pPr>
      <w:pStyle w:val="Header"/>
    </w:pPr>
    <w:r w:rsidRPr="00246A76">
      <w:t xml:space="preserve">Northern Territory Government Gazette No. </w:t>
    </w:r>
    <w:r w:rsidR="00733CFF">
      <w:t>G39 27</w:t>
    </w:r>
    <w:r>
      <w:t xml:space="preserve"> 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72A"/>
    <w:multiLevelType w:val="hybridMultilevel"/>
    <w:tmpl w:val="DE420D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2052D3"/>
    <w:multiLevelType w:val="hybridMultilevel"/>
    <w:tmpl w:val="8DAA16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A02397"/>
    <w:multiLevelType w:val="hybridMultilevel"/>
    <w:tmpl w:val="6DE8E0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9A1586"/>
    <w:multiLevelType w:val="hybridMultilevel"/>
    <w:tmpl w:val="7DD863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555F8E"/>
    <w:multiLevelType w:val="hybridMultilevel"/>
    <w:tmpl w:val="1F625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14CDB"/>
    <w:multiLevelType w:val="hybridMultilevel"/>
    <w:tmpl w:val="6DF6F6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7" w15:restartNumberingAfterBreak="0">
    <w:nsid w:val="22A5583C"/>
    <w:multiLevelType w:val="hybridMultilevel"/>
    <w:tmpl w:val="98D6BF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13344E"/>
    <w:multiLevelType w:val="hybridMultilevel"/>
    <w:tmpl w:val="7B8E9B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202C49"/>
    <w:multiLevelType w:val="hybridMultilevel"/>
    <w:tmpl w:val="61D24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06EC9"/>
    <w:multiLevelType w:val="hybridMultilevel"/>
    <w:tmpl w:val="AF12F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C97BE7"/>
    <w:multiLevelType w:val="hybridMultilevel"/>
    <w:tmpl w:val="F0F6C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D6597A"/>
    <w:multiLevelType w:val="hybridMultilevel"/>
    <w:tmpl w:val="A0485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06C6CF6"/>
    <w:multiLevelType w:val="hybridMultilevel"/>
    <w:tmpl w:val="45260E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6"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8" w15:restartNumberingAfterBreak="0">
    <w:nsid w:val="408E429C"/>
    <w:multiLevelType w:val="hybridMultilevel"/>
    <w:tmpl w:val="C18224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0"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326821"/>
    <w:multiLevelType w:val="hybridMultilevel"/>
    <w:tmpl w:val="F0A0DF9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05C0F56"/>
    <w:multiLevelType w:val="hybridMultilevel"/>
    <w:tmpl w:val="F246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267B2"/>
    <w:multiLevelType w:val="hybridMultilevel"/>
    <w:tmpl w:val="3A9022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3B6F30"/>
    <w:multiLevelType w:val="hybridMultilevel"/>
    <w:tmpl w:val="C0DEA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7" w15:restartNumberingAfterBreak="0">
    <w:nsid w:val="65E72E32"/>
    <w:multiLevelType w:val="hybridMultilevel"/>
    <w:tmpl w:val="4A4E1A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8740291"/>
    <w:multiLevelType w:val="hybridMultilevel"/>
    <w:tmpl w:val="A7E692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8FA7A6C"/>
    <w:multiLevelType w:val="hybridMultilevel"/>
    <w:tmpl w:val="410CBBD6"/>
    <w:lvl w:ilvl="0" w:tplc="86CA62FA">
      <w:start w:val="1"/>
      <w:numFmt w:val="decimal"/>
      <w:lvlText w:val="%1."/>
      <w:lvlJc w:val="left"/>
      <w:pPr>
        <w:ind w:left="360" w:hanging="360"/>
      </w:pPr>
      <w:rPr>
        <w:rFonts w:ascii="Lato" w:eastAsiaTheme="minorHAnsi" w:hAnsi="Lato"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BF3CAC"/>
    <w:multiLevelType w:val="hybridMultilevel"/>
    <w:tmpl w:val="13DAD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7760AB"/>
    <w:multiLevelType w:val="hybridMultilevel"/>
    <w:tmpl w:val="7B7A9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A696EEB"/>
    <w:multiLevelType w:val="hybridMultilevel"/>
    <w:tmpl w:val="14CC442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C120219"/>
    <w:multiLevelType w:val="hybridMultilevel"/>
    <w:tmpl w:val="2AD496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C4416B0"/>
    <w:multiLevelType w:val="hybridMultilevel"/>
    <w:tmpl w:val="E812A7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0"/>
  </w:num>
  <w:num w:numId="2">
    <w:abstractNumId w:val="20"/>
  </w:num>
  <w:num w:numId="3">
    <w:abstractNumId w:val="26"/>
  </w:num>
  <w:num w:numId="4">
    <w:abstractNumId w:val="19"/>
  </w:num>
  <w:num w:numId="5">
    <w:abstractNumId w:val="6"/>
  </w:num>
  <w:num w:numId="6">
    <w:abstractNumId w:val="16"/>
  </w:num>
  <w:num w:numId="7">
    <w:abstractNumId w:val="17"/>
  </w:num>
  <w:num w:numId="8">
    <w:abstractNumId w:val="21"/>
  </w:num>
  <w:num w:numId="9">
    <w:abstractNumId w:val="14"/>
  </w:num>
  <w:num w:numId="10">
    <w:abstractNumId w:val="23"/>
  </w:num>
  <w:num w:numId="11">
    <w:abstractNumId w:val="32"/>
  </w:num>
  <w:num w:numId="12">
    <w:abstractNumId w:val="25"/>
  </w:num>
  <w:num w:numId="13">
    <w:abstractNumId w:val="31"/>
  </w:num>
  <w:num w:numId="14">
    <w:abstractNumId w:val="29"/>
  </w:num>
  <w:num w:numId="15">
    <w:abstractNumId w:val="36"/>
  </w:num>
  <w:num w:numId="16">
    <w:abstractNumId w:val="5"/>
  </w:num>
  <w:num w:numId="17">
    <w:abstractNumId w:val="28"/>
  </w:num>
  <w:num w:numId="18">
    <w:abstractNumId w:val="11"/>
  </w:num>
  <w:num w:numId="19">
    <w:abstractNumId w:val="0"/>
  </w:num>
  <w:num w:numId="20">
    <w:abstractNumId w:val="3"/>
  </w:num>
  <w:num w:numId="21">
    <w:abstractNumId w:val="27"/>
  </w:num>
  <w:num w:numId="22">
    <w:abstractNumId w:val="2"/>
  </w:num>
  <w:num w:numId="23">
    <w:abstractNumId w:val="35"/>
  </w:num>
  <w:num w:numId="24">
    <w:abstractNumId w:val="13"/>
  </w:num>
  <w:num w:numId="25">
    <w:abstractNumId w:val="24"/>
  </w:num>
  <w:num w:numId="26">
    <w:abstractNumId w:val="4"/>
  </w:num>
  <w:num w:numId="27">
    <w:abstractNumId w:val="7"/>
  </w:num>
  <w:num w:numId="28">
    <w:abstractNumId w:val="1"/>
  </w:num>
  <w:num w:numId="29">
    <w:abstractNumId w:val="8"/>
  </w:num>
  <w:num w:numId="30">
    <w:abstractNumId w:val="9"/>
  </w:num>
  <w:num w:numId="31">
    <w:abstractNumId w:val="12"/>
  </w:num>
  <w:num w:numId="32">
    <w:abstractNumId w:val="18"/>
  </w:num>
  <w:num w:numId="33">
    <w:abstractNumId w:val="10"/>
  </w:num>
  <w:num w:numId="34">
    <w:abstractNumId w:val="34"/>
  </w:num>
  <w:num w:numId="35">
    <w:abstractNumId w:val="22"/>
  </w:num>
  <w:num w:numId="36">
    <w:abstractNumId w:val="15"/>
    <w:lvlOverride w:ilvl="0">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430"/>
    <w:rsid w:val="00012D46"/>
    <w:rsid w:val="00012D7A"/>
    <w:rsid w:val="00013F59"/>
    <w:rsid w:val="00013FC3"/>
    <w:rsid w:val="0001488C"/>
    <w:rsid w:val="00014EC3"/>
    <w:rsid w:val="00014F52"/>
    <w:rsid w:val="00016096"/>
    <w:rsid w:val="00016A26"/>
    <w:rsid w:val="00017660"/>
    <w:rsid w:val="00017BDB"/>
    <w:rsid w:val="00020034"/>
    <w:rsid w:val="00020091"/>
    <w:rsid w:val="00023281"/>
    <w:rsid w:val="00024B14"/>
    <w:rsid w:val="00025F06"/>
    <w:rsid w:val="00026066"/>
    <w:rsid w:val="000261A3"/>
    <w:rsid w:val="000269B5"/>
    <w:rsid w:val="00026AC9"/>
    <w:rsid w:val="00026E9F"/>
    <w:rsid w:val="0002778B"/>
    <w:rsid w:val="0002798B"/>
    <w:rsid w:val="0003080C"/>
    <w:rsid w:val="00030A7F"/>
    <w:rsid w:val="0003184D"/>
    <w:rsid w:val="000323BF"/>
    <w:rsid w:val="000333BB"/>
    <w:rsid w:val="00034591"/>
    <w:rsid w:val="00034994"/>
    <w:rsid w:val="00035B56"/>
    <w:rsid w:val="00036121"/>
    <w:rsid w:val="000369D2"/>
    <w:rsid w:val="00036DE3"/>
    <w:rsid w:val="00037AEA"/>
    <w:rsid w:val="00040D30"/>
    <w:rsid w:val="00040D3B"/>
    <w:rsid w:val="00040F7C"/>
    <w:rsid w:val="00040F96"/>
    <w:rsid w:val="00041D19"/>
    <w:rsid w:val="0004201F"/>
    <w:rsid w:val="000425D6"/>
    <w:rsid w:val="000426E9"/>
    <w:rsid w:val="00042951"/>
    <w:rsid w:val="00043A32"/>
    <w:rsid w:val="00043EEA"/>
    <w:rsid w:val="00043F72"/>
    <w:rsid w:val="00044167"/>
    <w:rsid w:val="00044816"/>
    <w:rsid w:val="00045657"/>
    <w:rsid w:val="00046708"/>
    <w:rsid w:val="00046825"/>
    <w:rsid w:val="00046B22"/>
    <w:rsid w:val="00046E30"/>
    <w:rsid w:val="00047869"/>
    <w:rsid w:val="000515FF"/>
    <w:rsid w:val="00051A3F"/>
    <w:rsid w:val="00051A8A"/>
    <w:rsid w:val="00051E18"/>
    <w:rsid w:val="00051F8F"/>
    <w:rsid w:val="000530BB"/>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C24"/>
    <w:rsid w:val="000626E3"/>
    <w:rsid w:val="000627F9"/>
    <w:rsid w:val="000629B0"/>
    <w:rsid w:val="00062F32"/>
    <w:rsid w:val="000633AD"/>
    <w:rsid w:val="00063E34"/>
    <w:rsid w:val="00064CA8"/>
    <w:rsid w:val="000656E0"/>
    <w:rsid w:val="00065A02"/>
    <w:rsid w:val="00065CF2"/>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14FA"/>
    <w:rsid w:val="000816C9"/>
    <w:rsid w:val="00081F22"/>
    <w:rsid w:val="00082008"/>
    <w:rsid w:val="00082597"/>
    <w:rsid w:val="0008277A"/>
    <w:rsid w:val="00082881"/>
    <w:rsid w:val="00082931"/>
    <w:rsid w:val="000835F8"/>
    <w:rsid w:val="00083AF7"/>
    <w:rsid w:val="00083E3C"/>
    <w:rsid w:val="00085A38"/>
    <w:rsid w:val="00086997"/>
    <w:rsid w:val="00086A18"/>
    <w:rsid w:val="00086EA5"/>
    <w:rsid w:val="0008770D"/>
    <w:rsid w:val="00090395"/>
    <w:rsid w:val="00090BA2"/>
    <w:rsid w:val="00090F36"/>
    <w:rsid w:val="00091369"/>
    <w:rsid w:val="000918B5"/>
    <w:rsid w:val="00091F24"/>
    <w:rsid w:val="00092B63"/>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A63"/>
    <w:rsid w:val="000A379D"/>
    <w:rsid w:val="000A3C1A"/>
    <w:rsid w:val="000A3D5B"/>
    <w:rsid w:val="000A3D9D"/>
    <w:rsid w:val="000A4852"/>
    <w:rsid w:val="000A532C"/>
    <w:rsid w:val="000A5954"/>
    <w:rsid w:val="000A5FC4"/>
    <w:rsid w:val="000B0B21"/>
    <w:rsid w:val="000B0D7B"/>
    <w:rsid w:val="000B0E81"/>
    <w:rsid w:val="000B12FE"/>
    <w:rsid w:val="000B297F"/>
    <w:rsid w:val="000B43B1"/>
    <w:rsid w:val="000B4555"/>
    <w:rsid w:val="000B4836"/>
    <w:rsid w:val="000B4C9C"/>
    <w:rsid w:val="000B576C"/>
    <w:rsid w:val="000B62E6"/>
    <w:rsid w:val="000B6644"/>
    <w:rsid w:val="000B7259"/>
    <w:rsid w:val="000B7FD5"/>
    <w:rsid w:val="000C0740"/>
    <w:rsid w:val="000C1252"/>
    <w:rsid w:val="000C17AC"/>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D34"/>
    <w:rsid w:val="000D3D60"/>
    <w:rsid w:val="000D41F6"/>
    <w:rsid w:val="000D4330"/>
    <w:rsid w:val="000D500D"/>
    <w:rsid w:val="000D5300"/>
    <w:rsid w:val="000D7A14"/>
    <w:rsid w:val="000E19F4"/>
    <w:rsid w:val="000E1ABF"/>
    <w:rsid w:val="000E1B50"/>
    <w:rsid w:val="000E2FA1"/>
    <w:rsid w:val="000E39DD"/>
    <w:rsid w:val="000E3EC5"/>
    <w:rsid w:val="000E40B8"/>
    <w:rsid w:val="000E42D3"/>
    <w:rsid w:val="000E46A1"/>
    <w:rsid w:val="000E4DB8"/>
    <w:rsid w:val="000E4E21"/>
    <w:rsid w:val="000E5AE4"/>
    <w:rsid w:val="000E64CB"/>
    <w:rsid w:val="000E6BFC"/>
    <w:rsid w:val="000E6F62"/>
    <w:rsid w:val="000F13D2"/>
    <w:rsid w:val="000F2559"/>
    <w:rsid w:val="000F2E89"/>
    <w:rsid w:val="000F395B"/>
    <w:rsid w:val="000F3EBB"/>
    <w:rsid w:val="000F44B6"/>
    <w:rsid w:val="000F5E0E"/>
    <w:rsid w:val="000F66F4"/>
    <w:rsid w:val="000F6DE7"/>
    <w:rsid w:val="000F7F2C"/>
    <w:rsid w:val="00100C6C"/>
    <w:rsid w:val="00101724"/>
    <w:rsid w:val="00101D85"/>
    <w:rsid w:val="00102C0D"/>
    <w:rsid w:val="001032BD"/>
    <w:rsid w:val="00103964"/>
    <w:rsid w:val="00104A1D"/>
    <w:rsid w:val="00104E14"/>
    <w:rsid w:val="001054E0"/>
    <w:rsid w:val="001063DA"/>
    <w:rsid w:val="00107792"/>
    <w:rsid w:val="001103C0"/>
    <w:rsid w:val="001105A9"/>
    <w:rsid w:val="001118C3"/>
    <w:rsid w:val="00111972"/>
    <w:rsid w:val="00112302"/>
    <w:rsid w:val="00112A1D"/>
    <w:rsid w:val="00112A98"/>
    <w:rsid w:val="00112B26"/>
    <w:rsid w:val="00112C66"/>
    <w:rsid w:val="00112E6E"/>
    <w:rsid w:val="00113174"/>
    <w:rsid w:val="00113986"/>
    <w:rsid w:val="00113A9C"/>
    <w:rsid w:val="00113FDA"/>
    <w:rsid w:val="00114B84"/>
    <w:rsid w:val="001159D8"/>
    <w:rsid w:val="001167A3"/>
    <w:rsid w:val="00116836"/>
    <w:rsid w:val="00116D55"/>
    <w:rsid w:val="0011709C"/>
    <w:rsid w:val="001172E7"/>
    <w:rsid w:val="001206FF"/>
    <w:rsid w:val="00120B57"/>
    <w:rsid w:val="001217BF"/>
    <w:rsid w:val="00121B12"/>
    <w:rsid w:val="00121B24"/>
    <w:rsid w:val="00122E1D"/>
    <w:rsid w:val="0012309F"/>
    <w:rsid w:val="001232E2"/>
    <w:rsid w:val="0012430E"/>
    <w:rsid w:val="00125514"/>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33AD"/>
    <w:rsid w:val="00145491"/>
    <w:rsid w:val="00145822"/>
    <w:rsid w:val="001463C2"/>
    <w:rsid w:val="0014643B"/>
    <w:rsid w:val="00146B23"/>
    <w:rsid w:val="00146B35"/>
    <w:rsid w:val="00146D1A"/>
    <w:rsid w:val="0014716C"/>
    <w:rsid w:val="00147F6D"/>
    <w:rsid w:val="00150835"/>
    <w:rsid w:val="00151A6D"/>
    <w:rsid w:val="00151FB4"/>
    <w:rsid w:val="00152228"/>
    <w:rsid w:val="001527DB"/>
    <w:rsid w:val="00152DAB"/>
    <w:rsid w:val="00152FEA"/>
    <w:rsid w:val="0015429A"/>
    <w:rsid w:val="001554F0"/>
    <w:rsid w:val="001555AD"/>
    <w:rsid w:val="00156BD9"/>
    <w:rsid w:val="00157009"/>
    <w:rsid w:val="00157299"/>
    <w:rsid w:val="001572B3"/>
    <w:rsid w:val="001576EC"/>
    <w:rsid w:val="0015798B"/>
    <w:rsid w:val="0016022B"/>
    <w:rsid w:val="00160340"/>
    <w:rsid w:val="00160913"/>
    <w:rsid w:val="00161C65"/>
    <w:rsid w:val="00161FED"/>
    <w:rsid w:val="001622A8"/>
    <w:rsid w:val="00163D10"/>
    <w:rsid w:val="00164F43"/>
    <w:rsid w:val="0016547B"/>
    <w:rsid w:val="0016592E"/>
    <w:rsid w:val="001665D3"/>
    <w:rsid w:val="00166EBD"/>
    <w:rsid w:val="0016735F"/>
    <w:rsid w:val="0017144C"/>
    <w:rsid w:val="001717FA"/>
    <w:rsid w:val="00172820"/>
    <w:rsid w:val="001733E5"/>
    <w:rsid w:val="001746F1"/>
    <w:rsid w:val="00174F29"/>
    <w:rsid w:val="00175588"/>
    <w:rsid w:val="001759A0"/>
    <w:rsid w:val="001765A6"/>
    <w:rsid w:val="001767E6"/>
    <w:rsid w:val="00176B53"/>
    <w:rsid w:val="00176B75"/>
    <w:rsid w:val="0017713B"/>
    <w:rsid w:val="00180A58"/>
    <w:rsid w:val="00180BCA"/>
    <w:rsid w:val="00180EF4"/>
    <w:rsid w:val="00181E51"/>
    <w:rsid w:val="00182A13"/>
    <w:rsid w:val="00182EBD"/>
    <w:rsid w:val="001832D3"/>
    <w:rsid w:val="00183924"/>
    <w:rsid w:val="00183AE4"/>
    <w:rsid w:val="001844F6"/>
    <w:rsid w:val="001846C4"/>
    <w:rsid w:val="001854A8"/>
    <w:rsid w:val="0018600E"/>
    <w:rsid w:val="00186538"/>
    <w:rsid w:val="001866A6"/>
    <w:rsid w:val="00186C42"/>
    <w:rsid w:val="00187AE4"/>
    <w:rsid w:val="00187CA0"/>
    <w:rsid w:val="00187D36"/>
    <w:rsid w:val="00187D81"/>
    <w:rsid w:val="00190A71"/>
    <w:rsid w:val="00191212"/>
    <w:rsid w:val="001919F4"/>
    <w:rsid w:val="00191A18"/>
    <w:rsid w:val="001920CA"/>
    <w:rsid w:val="001934FD"/>
    <w:rsid w:val="00193715"/>
    <w:rsid w:val="00193938"/>
    <w:rsid w:val="00194028"/>
    <w:rsid w:val="001944B2"/>
    <w:rsid w:val="001955F6"/>
    <w:rsid w:val="00196AB5"/>
    <w:rsid w:val="001A0459"/>
    <w:rsid w:val="001A0552"/>
    <w:rsid w:val="001A153D"/>
    <w:rsid w:val="001A1B13"/>
    <w:rsid w:val="001A21EF"/>
    <w:rsid w:val="001A2651"/>
    <w:rsid w:val="001A2F09"/>
    <w:rsid w:val="001A3D12"/>
    <w:rsid w:val="001A59AA"/>
    <w:rsid w:val="001A617D"/>
    <w:rsid w:val="001A641C"/>
    <w:rsid w:val="001A6E25"/>
    <w:rsid w:val="001B17DF"/>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15A1"/>
    <w:rsid w:val="001C2A26"/>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97E"/>
    <w:rsid w:val="001D00D0"/>
    <w:rsid w:val="001D08C8"/>
    <w:rsid w:val="001D10C5"/>
    <w:rsid w:val="001D123A"/>
    <w:rsid w:val="001D1538"/>
    <w:rsid w:val="001D17AC"/>
    <w:rsid w:val="001D18E4"/>
    <w:rsid w:val="001D22CB"/>
    <w:rsid w:val="001D265D"/>
    <w:rsid w:val="001D3127"/>
    <w:rsid w:val="001D353A"/>
    <w:rsid w:val="001D4A0B"/>
    <w:rsid w:val="001D4CD4"/>
    <w:rsid w:val="001D5AB4"/>
    <w:rsid w:val="001D6AAF"/>
    <w:rsid w:val="001D7433"/>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A55"/>
    <w:rsid w:val="001F2B71"/>
    <w:rsid w:val="001F375B"/>
    <w:rsid w:val="001F3995"/>
    <w:rsid w:val="001F41D0"/>
    <w:rsid w:val="001F4998"/>
    <w:rsid w:val="001F4DC4"/>
    <w:rsid w:val="001F6210"/>
    <w:rsid w:val="001F700F"/>
    <w:rsid w:val="001F7F98"/>
    <w:rsid w:val="00200AC3"/>
    <w:rsid w:val="002010AD"/>
    <w:rsid w:val="002026A9"/>
    <w:rsid w:val="0020290C"/>
    <w:rsid w:val="0020358F"/>
    <w:rsid w:val="0020404B"/>
    <w:rsid w:val="0020443B"/>
    <w:rsid w:val="00204C94"/>
    <w:rsid w:val="00204D45"/>
    <w:rsid w:val="00204DEB"/>
    <w:rsid w:val="0020529E"/>
    <w:rsid w:val="002055CD"/>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263C"/>
    <w:rsid w:val="00223DE7"/>
    <w:rsid w:val="0022503C"/>
    <w:rsid w:val="00225E3B"/>
    <w:rsid w:val="00227ABE"/>
    <w:rsid w:val="00230971"/>
    <w:rsid w:val="002312F0"/>
    <w:rsid w:val="00231CA5"/>
    <w:rsid w:val="002326C7"/>
    <w:rsid w:val="00232E2C"/>
    <w:rsid w:val="002330E7"/>
    <w:rsid w:val="00233999"/>
    <w:rsid w:val="00234805"/>
    <w:rsid w:val="002356FE"/>
    <w:rsid w:val="00235D4C"/>
    <w:rsid w:val="00235DF5"/>
    <w:rsid w:val="002368D0"/>
    <w:rsid w:val="0023721B"/>
    <w:rsid w:val="00237268"/>
    <w:rsid w:val="002372CE"/>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47CE6"/>
    <w:rsid w:val="002503B1"/>
    <w:rsid w:val="0025069E"/>
    <w:rsid w:val="0025078B"/>
    <w:rsid w:val="00250CEE"/>
    <w:rsid w:val="00251362"/>
    <w:rsid w:val="00251700"/>
    <w:rsid w:val="00252114"/>
    <w:rsid w:val="00252637"/>
    <w:rsid w:val="002527F8"/>
    <w:rsid w:val="002531B4"/>
    <w:rsid w:val="00253216"/>
    <w:rsid w:val="002534F0"/>
    <w:rsid w:val="00253A6A"/>
    <w:rsid w:val="002545A5"/>
    <w:rsid w:val="00255DD3"/>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AE6"/>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F23"/>
    <w:rsid w:val="00274FFD"/>
    <w:rsid w:val="002757D3"/>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7"/>
    <w:rsid w:val="00282E60"/>
    <w:rsid w:val="00283B68"/>
    <w:rsid w:val="00283E52"/>
    <w:rsid w:val="00284C80"/>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4FF"/>
    <w:rsid w:val="002A29FC"/>
    <w:rsid w:val="002A2E37"/>
    <w:rsid w:val="002A34AF"/>
    <w:rsid w:val="002A3569"/>
    <w:rsid w:val="002A39A6"/>
    <w:rsid w:val="002A404A"/>
    <w:rsid w:val="002A4593"/>
    <w:rsid w:val="002A4B89"/>
    <w:rsid w:val="002A4FAD"/>
    <w:rsid w:val="002A50D9"/>
    <w:rsid w:val="002A5986"/>
    <w:rsid w:val="002A72E6"/>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145A"/>
    <w:rsid w:val="002C1AA7"/>
    <w:rsid w:val="002C24F2"/>
    <w:rsid w:val="002C27ED"/>
    <w:rsid w:val="002C2B51"/>
    <w:rsid w:val="002C30B0"/>
    <w:rsid w:val="002C47F7"/>
    <w:rsid w:val="002C5E1D"/>
    <w:rsid w:val="002C73B0"/>
    <w:rsid w:val="002D0E09"/>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1782"/>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93C"/>
    <w:rsid w:val="002F0AAC"/>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755"/>
    <w:rsid w:val="002F7FAB"/>
    <w:rsid w:val="00300262"/>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2D"/>
    <w:rsid w:val="00305A40"/>
    <w:rsid w:val="00305E24"/>
    <w:rsid w:val="0030696A"/>
    <w:rsid w:val="00306D4A"/>
    <w:rsid w:val="00306FA4"/>
    <w:rsid w:val="00307536"/>
    <w:rsid w:val="00307E2D"/>
    <w:rsid w:val="00310733"/>
    <w:rsid w:val="00310A42"/>
    <w:rsid w:val="00310DD5"/>
    <w:rsid w:val="00311165"/>
    <w:rsid w:val="0031131D"/>
    <w:rsid w:val="00311540"/>
    <w:rsid w:val="0031181A"/>
    <w:rsid w:val="0031199B"/>
    <w:rsid w:val="003132CF"/>
    <w:rsid w:val="00315905"/>
    <w:rsid w:val="00315E8B"/>
    <w:rsid w:val="0031662A"/>
    <w:rsid w:val="003176A9"/>
    <w:rsid w:val="003176B6"/>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279B"/>
    <w:rsid w:val="00332D91"/>
    <w:rsid w:val="003337E1"/>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5AC"/>
    <w:rsid w:val="003468F2"/>
    <w:rsid w:val="00346F61"/>
    <w:rsid w:val="003475EA"/>
    <w:rsid w:val="00347791"/>
    <w:rsid w:val="00347AFB"/>
    <w:rsid w:val="00347CCC"/>
    <w:rsid w:val="003520F6"/>
    <w:rsid w:val="003556CE"/>
    <w:rsid w:val="0035606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CEE"/>
    <w:rsid w:val="003929D2"/>
    <w:rsid w:val="00394871"/>
    <w:rsid w:val="00395152"/>
    <w:rsid w:val="003953D6"/>
    <w:rsid w:val="0039591C"/>
    <w:rsid w:val="00397746"/>
    <w:rsid w:val="00397875"/>
    <w:rsid w:val="00397B9D"/>
    <w:rsid w:val="00397BB1"/>
    <w:rsid w:val="00397F9E"/>
    <w:rsid w:val="003A0385"/>
    <w:rsid w:val="003A2340"/>
    <w:rsid w:val="003A3280"/>
    <w:rsid w:val="003A44DE"/>
    <w:rsid w:val="003A476C"/>
    <w:rsid w:val="003A48F7"/>
    <w:rsid w:val="003A4EFC"/>
    <w:rsid w:val="003A50EC"/>
    <w:rsid w:val="003A52B8"/>
    <w:rsid w:val="003A6C34"/>
    <w:rsid w:val="003A7365"/>
    <w:rsid w:val="003A7943"/>
    <w:rsid w:val="003A7A02"/>
    <w:rsid w:val="003A7C8A"/>
    <w:rsid w:val="003A7F71"/>
    <w:rsid w:val="003B0921"/>
    <w:rsid w:val="003B1088"/>
    <w:rsid w:val="003B169E"/>
    <w:rsid w:val="003B174F"/>
    <w:rsid w:val="003B2A45"/>
    <w:rsid w:val="003B34A6"/>
    <w:rsid w:val="003B374B"/>
    <w:rsid w:val="003B3D0A"/>
    <w:rsid w:val="003B430C"/>
    <w:rsid w:val="003B4696"/>
    <w:rsid w:val="003B4B3A"/>
    <w:rsid w:val="003B4B9A"/>
    <w:rsid w:val="003B51B0"/>
    <w:rsid w:val="003B5B7B"/>
    <w:rsid w:val="003B7583"/>
    <w:rsid w:val="003B7E11"/>
    <w:rsid w:val="003C0755"/>
    <w:rsid w:val="003C1002"/>
    <w:rsid w:val="003C1C22"/>
    <w:rsid w:val="003C2268"/>
    <w:rsid w:val="003C26D4"/>
    <w:rsid w:val="003C28B9"/>
    <w:rsid w:val="003C3087"/>
    <w:rsid w:val="003C3794"/>
    <w:rsid w:val="003C4B0B"/>
    <w:rsid w:val="003C54FC"/>
    <w:rsid w:val="003C7517"/>
    <w:rsid w:val="003C76AF"/>
    <w:rsid w:val="003C76E2"/>
    <w:rsid w:val="003D0B5D"/>
    <w:rsid w:val="003D25EC"/>
    <w:rsid w:val="003D2802"/>
    <w:rsid w:val="003D552D"/>
    <w:rsid w:val="003D6965"/>
    <w:rsid w:val="003D6A6D"/>
    <w:rsid w:val="003D6B01"/>
    <w:rsid w:val="003D6B82"/>
    <w:rsid w:val="003D73A6"/>
    <w:rsid w:val="003D7605"/>
    <w:rsid w:val="003D79B6"/>
    <w:rsid w:val="003E0466"/>
    <w:rsid w:val="003E06AD"/>
    <w:rsid w:val="003E07F8"/>
    <w:rsid w:val="003E195E"/>
    <w:rsid w:val="003E1AA7"/>
    <w:rsid w:val="003E1CAD"/>
    <w:rsid w:val="003E277C"/>
    <w:rsid w:val="003E28E9"/>
    <w:rsid w:val="003E3219"/>
    <w:rsid w:val="003E38CC"/>
    <w:rsid w:val="003E3905"/>
    <w:rsid w:val="003E4244"/>
    <w:rsid w:val="003E5EBB"/>
    <w:rsid w:val="003E6EE8"/>
    <w:rsid w:val="003E76A4"/>
    <w:rsid w:val="003E77A2"/>
    <w:rsid w:val="003F0FDC"/>
    <w:rsid w:val="003F20CF"/>
    <w:rsid w:val="003F213C"/>
    <w:rsid w:val="003F37E0"/>
    <w:rsid w:val="003F403B"/>
    <w:rsid w:val="003F4510"/>
    <w:rsid w:val="003F4D08"/>
    <w:rsid w:val="003F5719"/>
    <w:rsid w:val="003F5C22"/>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F30"/>
    <w:rsid w:val="00412187"/>
    <w:rsid w:val="0041271A"/>
    <w:rsid w:val="00412EE5"/>
    <w:rsid w:val="004146B5"/>
    <w:rsid w:val="004148DA"/>
    <w:rsid w:val="00414FDE"/>
    <w:rsid w:val="0041548E"/>
    <w:rsid w:val="004155AA"/>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91E"/>
    <w:rsid w:val="00425F42"/>
    <w:rsid w:val="00426569"/>
    <w:rsid w:val="00427BF0"/>
    <w:rsid w:val="00427D51"/>
    <w:rsid w:val="004303DE"/>
    <w:rsid w:val="00430478"/>
    <w:rsid w:val="00430690"/>
    <w:rsid w:val="0043170B"/>
    <w:rsid w:val="00432413"/>
    <w:rsid w:val="0043241B"/>
    <w:rsid w:val="004337D0"/>
    <w:rsid w:val="0043394C"/>
    <w:rsid w:val="00433A7A"/>
    <w:rsid w:val="00434201"/>
    <w:rsid w:val="00434384"/>
    <w:rsid w:val="004349A5"/>
    <w:rsid w:val="00435239"/>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149D"/>
    <w:rsid w:val="00451924"/>
    <w:rsid w:val="0045192E"/>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2EE"/>
    <w:rsid w:val="004712D4"/>
    <w:rsid w:val="00471C8A"/>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09C"/>
    <w:rsid w:val="004B076B"/>
    <w:rsid w:val="004B15EC"/>
    <w:rsid w:val="004B19BA"/>
    <w:rsid w:val="004B262A"/>
    <w:rsid w:val="004B2BE4"/>
    <w:rsid w:val="004B42D8"/>
    <w:rsid w:val="004B515E"/>
    <w:rsid w:val="004B529A"/>
    <w:rsid w:val="004C05A1"/>
    <w:rsid w:val="004C117C"/>
    <w:rsid w:val="004C14FA"/>
    <w:rsid w:val="004C15D7"/>
    <w:rsid w:val="004C277A"/>
    <w:rsid w:val="004C2A37"/>
    <w:rsid w:val="004C3155"/>
    <w:rsid w:val="004C5E63"/>
    <w:rsid w:val="004C62EA"/>
    <w:rsid w:val="004C6C48"/>
    <w:rsid w:val="004C6FA3"/>
    <w:rsid w:val="004C78AF"/>
    <w:rsid w:val="004D0751"/>
    <w:rsid w:val="004D0E22"/>
    <w:rsid w:val="004D0FA0"/>
    <w:rsid w:val="004D19FA"/>
    <w:rsid w:val="004D32EE"/>
    <w:rsid w:val="004D36C9"/>
    <w:rsid w:val="004D36CD"/>
    <w:rsid w:val="004D4EB8"/>
    <w:rsid w:val="004D5138"/>
    <w:rsid w:val="004D6148"/>
    <w:rsid w:val="004D684A"/>
    <w:rsid w:val="004D6E9A"/>
    <w:rsid w:val="004D7170"/>
    <w:rsid w:val="004D7699"/>
    <w:rsid w:val="004E014A"/>
    <w:rsid w:val="004E0C91"/>
    <w:rsid w:val="004E0FF3"/>
    <w:rsid w:val="004E109D"/>
    <w:rsid w:val="004E1F77"/>
    <w:rsid w:val="004E21E0"/>
    <w:rsid w:val="004E2386"/>
    <w:rsid w:val="004E2B3B"/>
    <w:rsid w:val="004E359B"/>
    <w:rsid w:val="004E3757"/>
    <w:rsid w:val="004E3A2F"/>
    <w:rsid w:val="004E3AB8"/>
    <w:rsid w:val="004E3F71"/>
    <w:rsid w:val="004E4039"/>
    <w:rsid w:val="004E471B"/>
    <w:rsid w:val="004E5378"/>
    <w:rsid w:val="004E55E5"/>
    <w:rsid w:val="004E570C"/>
    <w:rsid w:val="004E6247"/>
    <w:rsid w:val="004E6500"/>
    <w:rsid w:val="004E71C6"/>
    <w:rsid w:val="004E75E8"/>
    <w:rsid w:val="004E7FA6"/>
    <w:rsid w:val="004F09C2"/>
    <w:rsid w:val="004F0A1E"/>
    <w:rsid w:val="004F0BFD"/>
    <w:rsid w:val="004F0CDA"/>
    <w:rsid w:val="004F11EB"/>
    <w:rsid w:val="004F1922"/>
    <w:rsid w:val="004F2069"/>
    <w:rsid w:val="004F2A93"/>
    <w:rsid w:val="004F2DD1"/>
    <w:rsid w:val="004F436C"/>
    <w:rsid w:val="004F473F"/>
    <w:rsid w:val="004F4D05"/>
    <w:rsid w:val="004F4E90"/>
    <w:rsid w:val="004F4FBA"/>
    <w:rsid w:val="004F4FF6"/>
    <w:rsid w:val="004F5331"/>
    <w:rsid w:val="004F54B4"/>
    <w:rsid w:val="004F5A08"/>
    <w:rsid w:val="004F5BFE"/>
    <w:rsid w:val="004F63C6"/>
    <w:rsid w:val="004F6C9F"/>
    <w:rsid w:val="004F6E7A"/>
    <w:rsid w:val="004F7718"/>
    <w:rsid w:val="00501053"/>
    <w:rsid w:val="005016E3"/>
    <w:rsid w:val="0050328D"/>
    <w:rsid w:val="005034C7"/>
    <w:rsid w:val="005040FD"/>
    <w:rsid w:val="0050568E"/>
    <w:rsid w:val="005065E5"/>
    <w:rsid w:val="005072D2"/>
    <w:rsid w:val="005074C5"/>
    <w:rsid w:val="005076BB"/>
    <w:rsid w:val="00507764"/>
    <w:rsid w:val="00507ABE"/>
    <w:rsid w:val="00511FA6"/>
    <w:rsid w:val="005123CA"/>
    <w:rsid w:val="005124BD"/>
    <w:rsid w:val="0051332A"/>
    <w:rsid w:val="00513330"/>
    <w:rsid w:val="0051348A"/>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26B"/>
    <w:rsid w:val="0052062E"/>
    <w:rsid w:val="00520737"/>
    <w:rsid w:val="00521586"/>
    <w:rsid w:val="005219A3"/>
    <w:rsid w:val="00521C30"/>
    <w:rsid w:val="00521E41"/>
    <w:rsid w:val="00521F70"/>
    <w:rsid w:val="0052206C"/>
    <w:rsid w:val="0052210B"/>
    <w:rsid w:val="00522160"/>
    <w:rsid w:val="005225F6"/>
    <w:rsid w:val="00522DF0"/>
    <w:rsid w:val="005238A1"/>
    <w:rsid w:val="00524AD0"/>
    <w:rsid w:val="0052538D"/>
    <w:rsid w:val="00525658"/>
    <w:rsid w:val="0052599D"/>
    <w:rsid w:val="00525EAA"/>
    <w:rsid w:val="00526439"/>
    <w:rsid w:val="00527542"/>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A99"/>
    <w:rsid w:val="005454D3"/>
    <w:rsid w:val="005466D1"/>
    <w:rsid w:val="00546E29"/>
    <w:rsid w:val="005474D3"/>
    <w:rsid w:val="00550599"/>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7104"/>
    <w:rsid w:val="005771A1"/>
    <w:rsid w:val="00577721"/>
    <w:rsid w:val="00577AD2"/>
    <w:rsid w:val="00577E23"/>
    <w:rsid w:val="00580811"/>
    <w:rsid w:val="00580B8D"/>
    <w:rsid w:val="00580C8C"/>
    <w:rsid w:val="00581910"/>
    <w:rsid w:val="00581974"/>
    <w:rsid w:val="005820BB"/>
    <w:rsid w:val="00582C44"/>
    <w:rsid w:val="00582C49"/>
    <w:rsid w:val="00583507"/>
    <w:rsid w:val="005840CD"/>
    <w:rsid w:val="00584823"/>
    <w:rsid w:val="005848F8"/>
    <w:rsid w:val="005858CC"/>
    <w:rsid w:val="00586648"/>
    <w:rsid w:val="005866DD"/>
    <w:rsid w:val="00586A65"/>
    <w:rsid w:val="00587C37"/>
    <w:rsid w:val="00590E1F"/>
    <w:rsid w:val="00591898"/>
    <w:rsid w:val="00591F62"/>
    <w:rsid w:val="00592B86"/>
    <w:rsid w:val="005931EF"/>
    <w:rsid w:val="00593896"/>
    <w:rsid w:val="00593BCF"/>
    <w:rsid w:val="0059490B"/>
    <w:rsid w:val="00594B58"/>
    <w:rsid w:val="00595229"/>
    <w:rsid w:val="0059564A"/>
    <w:rsid w:val="00596BAA"/>
    <w:rsid w:val="00596D16"/>
    <w:rsid w:val="00597F28"/>
    <w:rsid w:val="005A012E"/>
    <w:rsid w:val="005A05B3"/>
    <w:rsid w:val="005A0D2E"/>
    <w:rsid w:val="005A1705"/>
    <w:rsid w:val="005A1723"/>
    <w:rsid w:val="005A189D"/>
    <w:rsid w:val="005A2285"/>
    <w:rsid w:val="005A34BF"/>
    <w:rsid w:val="005A3570"/>
    <w:rsid w:val="005A381A"/>
    <w:rsid w:val="005A3DDA"/>
    <w:rsid w:val="005A5B45"/>
    <w:rsid w:val="005A6F21"/>
    <w:rsid w:val="005B0F06"/>
    <w:rsid w:val="005B1185"/>
    <w:rsid w:val="005B1246"/>
    <w:rsid w:val="005B20E2"/>
    <w:rsid w:val="005B24AF"/>
    <w:rsid w:val="005B3A8E"/>
    <w:rsid w:val="005B3BF3"/>
    <w:rsid w:val="005B4A7F"/>
    <w:rsid w:val="005B4C84"/>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A29"/>
    <w:rsid w:val="005D2B4D"/>
    <w:rsid w:val="005D2F5A"/>
    <w:rsid w:val="005D3752"/>
    <w:rsid w:val="005D3757"/>
    <w:rsid w:val="005D3960"/>
    <w:rsid w:val="005D4696"/>
    <w:rsid w:val="005D4B2A"/>
    <w:rsid w:val="005D4CA1"/>
    <w:rsid w:val="005D4D60"/>
    <w:rsid w:val="005D597C"/>
    <w:rsid w:val="005D61C7"/>
    <w:rsid w:val="005D733C"/>
    <w:rsid w:val="005D7B82"/>
    <w:rsid w:val="005D7C3D"/>
    <w:rsid w:val="005D7D0B"/>
    <w:rsid w:val="005E022D"/>
    <w:rsid w:val="005E0DB3"/>
    <w:rsid w:val="005E0FC5"/>
    <w:rsid w:val="005E1561"/>
    <w:rsid w:val="005E169A"/>
    <w:rsid w:val="005E1900"/>
    <w:rsid w:val="005E2038"/>
    <w:rsid w:val="005E318A"/>
    <w:rsid w:val="005E3787"/>
    <w:rsid w:val="005E455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4BA6"/>
    <w:rsid w:val="005F56E6"/>
    <w:rsid w:val="005F6055"/>
    <w:rsid w:val="005F66B2"/>
    <w:rsid w:val="005F72AB"/>
    <w:rsid w:val="005F790B"/>
    <w:rsid w:val="006002F4"/>
    <w:rsid w:val="006004F5"/>
    <w:rsid w:val="00600F3B"/>
    <w:rsid w:val="00601141"/>
    <w:rsid w:val="0060167A"/>
    <w:rsid w:val="0060465A"/>
    <w:rsid w:val="0060625D"/>
    <w:rsid w:val="0060657B"/>
    <w:rsid w:val="00606E8F"/>
    <w:rsid w:val="006076F2"/>
    <w:rsid w:val="00607738"/>
    <w:rsid w:val="00607CB7"/>
    <w:rsid w:val="00607E50"/>
    <w:rsid w:val="00610205"/>
    <w:rsid w:val="006102D1"/>
    <w:rsid w:val="00610D86"/>
    <w:rsid w:val="00612B48"/>
    <w:rsid w:val="00612D1C"/>
    <w:rsid w:val="00613851"/>
    <w:rsid w:val="00613A7C"/>
    <w:rsid w:val="00613FCD"/>
    <w:rsid w:val="0061420C"/>
    <w:rsid w:val="006146D0"/>
    <w:rsid w:val="00614A6A"/>
    <w:rsid w:val="00614F9D"/>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52C1"/>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16E6"/>
    <w:rsid w:val="00651722"/>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459"/>
    <w:rsid w:val="00665645"/>
    <w:rsid w:val="00667282"/>
    <w:rsid w:val="00667BF4"/>
    <w:rsid w:val="00670A72"/>
    <w:rsid w:val="00670FAD"/>
    <w:rsid w:val="0067592D"/>
    <w:rsid w:val="00676A92"/>
    <w:rsid w:val="00677C27"/>
    <w:rsid w:val="006802A2"/>
    <w:rsid w:val="00681567"/>
    <w:rsid w:val="0068164A"/>
    <w:rsid w:val="006817AF"/>
    <w:rsid w:val="00681B10"/>
    <w:rsid w:val="00681CF1"/>
    <w:rsid w:val="00682093"/>
    <w:rsid w:val="0068244A"/>
    <w:rsid w:val="0068315E"/>
    <w:rsid w:val="00683585"/>
    <w:rsid w:val="00684F4D"/>
    <w:rsid w:val="00685417"/>
    <w:rsid w:val="00685766"/>
    <w:rsid w:val="00685999"/>
    <w:rsid w:val="006860F8"/>
    <w:rsid w:val="00686FFD"/>
    <w:rsid w:val="00687690"/>
    <w:rsid w:val="00690D3C"/>
    <w:rsid w:val="0069199C"/>
    <w:rsid w:val="00692C88"/>
    <w:rsid w:val="0069348E"/>
    <w:rsid w:val="006939F1"/>
    <w:rsid w:val="00694F61"/>
    <w:rsid w:val="00695A2D"/>
    <w:rsid w:val="00696853"/>
    <w:rsid w:val="006979D1"/>
    <w:rsid w:val="00697DE9"/>
    <w:rsid w:val="006A0419"/>
    <w:rsid w:val="006A06EB"/>
    <w:rsid w:val="006A0C26"/>
    <w:rsid w:val="006A2462"/>
    <w:rsid w:val="006A26AC"/>
    <w:rsid w:val="006A2751"/>
    <w:rsid w:val="006A33B9"/>
    <w:rsid w:val="006A3932"/>
    <w:rsid w:val="006A3E6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C0736"/>
    <w:rsid w:val="006C07A9"/>
    <w:rsid w:val="006C0F05"/>
    <w:rsid w:val="006C24EB"/>
    <w:rsid w:val="006C2D1C"/>
    <w:rsid w:val="006C2DE2"/>
    <w:rsid w:val="006C309D"/>
    <w:rsid w:val="006C3531"/>
    <w:rsid w:val="006C37F0"/>
    <w:rsid w:val="006C4A92"/>
    <w:rsid w:val="006C5039"/>
    <w:rsid w:val="006C54BC"/>
    <w:rsid w:val="006C6A27"/>
    <w:rsid w:val="006C7361"/>
    <w:rsid w:val="006D02F1"/>
    <w:rsid w:val="006D06D5"/>
    <w:rsid w:val="006D077C"/>
    <w:rsid w:val="006D081C"/>
    <w:rsid w:val="006D0FD8"/>
    <w:rsid w:val="006D1063"/>
    <w:rsid w:val="006D1324"/>
    <w:rsid w:val="006D1B46"/>
    <w:rsid w:val="006D2CF5"/>
    <w:rsid w:val="006D37A7"/>
    <w:rsid w:val="006D3E58"/>
    <w:rsid w:val="006D44BD"/>
    <w:rsid w:val="006D4576"/>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728"/>
    <w:rsid w:val="006E1CD6"/>
    <w:rsid w:val="006E1DB8"/>
    <w:rsid w:val="006E2F82"/>
    <w:rsid w:val="006E3CE3"/>
    <w:rsid w:val="006E4292"/>
    <w:rsid w:val="006E4FA1"/>
    <w:rsid w:val="006E58EA"/>
    <w:rsid w:val="006E7EEF"/>
    <w:rsid w:val="006F02F3"/>
    <w:rsid w:val="006F0A77"/>
    <w:rsid w:val="006F0DB8"/>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6643"/>
    <w:rsid w:val="007069EF"/>
    <w:rsid w:val="00706D4D"/>
    <w:rsid w:val="007075CF"/>
    <w:rsid w:val="007075DB"/>
    <w:rsid w:val="00710F18"/>
    <w:rsid w:val="00711184"/>
    <w:rsid w:val="00712146"/>
    <w:rsid w:val="00712ADA"/>
    <w:rsid w:val="00713029"/>
    <w:rsid w:val="0071319B"/>
    <w:rsid w:val="0071325D"/>
    <w:rsid w:val="00713E04"/>
    <w:rsid w:val="007148B0"/>
    <w:rsid w:val="00714FF5"/>
    <w:rsid w:val="0071616A"/>
    <w:rsid w:val="00717785"/>
    <w:rsid w:val="00717DAD"/>
    <w:rsid w:val="007201A7"/>
    <w:rsid w:val="00720614"/>
    <w:rsid w:val="00720841"/>
    <w:rsid w:val="00720E43"/>
    <w:rsid w:val="007211DE"/>
    <w:rsid w:val="00721BB7"/>
    <w:rsid w:val="00722A60"/>
    <w:rsid w:val="00722A99"/>
    <w:rsid w:val="00722E8C"/>
    <w:rsid w:val="00722EE3"/>
    <w:rsid w:val="0072321D"/>
    <w:rsid w:val="007239B5"/>
    <w:rsid w:val="00724F71"/>
    <w:rsid w:val="00725A00"/>
    <w:rsid w:val="00725AEA"/>
    <w:rsid w:val="007267BC"/>
    <w:rsid w:val="00727B1A"/>
    <w:rsid w:val="00727E23"/>
    <w:rsid w:val="007300DD"/>
    <w:rsid w:val="0073023A"/>
    <w:rsid w:val="007302C9"/>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4B0"/>
    <w:rsid w:val="0073791D"/>
    <w:rsid w:val="00737DE8"/>
    <w:rsid w:val="007401E3"/>
    <w:rsid w:val="00740516"/>
    <w:rsid w:val="007409AE"/>
    <w:rsid w:val="00741BA7"/>
    <w:rsid w:val="00742208"/>
    <w:rsid w:val="00742CEC"/>
    <w:rsid w:val="007433DD"/>
    <w:rsid w:val="0074377A"/>
    <w:rsid w:val="00743D66"/>
    <w:rsid w:val="0074511F"/>
    <w:rsid w:val="00745943"/>
    <w:rsid w:val="00746115"/>
    <w:rsid w:val="007471C9"/>
    <w:rsid w:val="007478AE"/>
    <w:rsid w:val="00747981"/>
    <w:rsid w:val="00747C2C"/>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8E4"/>
    <w:rsid w:val="007630D8"/>
    <w:rsid w:val="007633B6"/>
    <w:rsid w:val="00764455"/>
    <w:rsid w:val="00764771"/>
    <w:rsid w:val="00764A27"/>
    <w:rsid w:val="007654C7"/>
    <w:rsid w:val="0076564D"/>
    <w:rsid w:val="00766729"/>
    <w:rsid w:val="007674CC"/>
    <w:rsid w:val="00767582"/>
    <w:rsid w:val="007676AD"/>
    <w:rsid w:val="00770B8A"/>
    <w:rsid w:val="00771158"/>
    <w:rsid w:val="007714FF"/>
    <w:rsid w:val="00771908"/>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E54"/>
    <w:rsid w:val="0078457F"/>
    <w:rsid w:val="0078479D"/>
    <w:rsid w:val="007851FB"/>
    <w:rsid w:val="0078680E"/>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664"/>
    <w:rsid w:val="007B4A03"/>
    <w:rsid w:val="007B5764"/>
    <w:rsid w:val="007B5F96"/>
    <w:rsid w:val="007B602C"/>
    <w:rsid w:val="007B6389"/>
    <w:rsid w:val="007B6854"/>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CEF"/>
    <w:rsid w:val="007D0D9F"/>
    <w:rsid w:val="007D1F19"/>
    <w:rsid w:val="007D1FC2"/>
    <w:rsid w:val="007D2707"/>
    <w:rsid w:val="007D2B07"/>
    <w:rsid w:val="007D3624"/>
    <w:rsid w:val="007D398D"/>
    <w:rsid w:val="007D3BA9"/>
    <w:rsid w:val="007D454D"/>
    <w:rsid w:val="007D57B8"/>
    <w:rsid w:val="007D59C4"/>
    <w:rsid w:val="007D6432"/>
    <w:rsid w:val="007D66EC"/>
    <w:rsid w:val="007D6AA6"/>
    <w:rsid w:val="007D749C"/>
    <w:rsid w:val="007D74B6"/>
    <w:rsid w:val="007D787D"/>
    <w:rsid w:val="007D7F2B"/>
    <w:rsid w:val="007E03DC"/>
    <w:rsid w:val="007E0642"/>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F6E"/>
    <w:rsid w:val="007F4700"/>
    <w:rsid w:val="007F5238"/>
    <w:rsid w:val="007F55F0"/>
    <w:rsid w:val="007F63C7"/>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185"/>
    <w:rsid w:val="00805D03"/>
    <w:rsid w:val="00805E54"/>
    <w:rsid w:val="008062E5"/>
    <w:rsid w:val="00806501"/>
    <w:rsid w:val="00807484"/>
    <w:rsid w:val="008103CE"/>
    <w:rsid w:val="00810BB1"/>
    <w:rsid w:val="00811CF2"/>
    <w:rsid w:val="008139B3"/>
    <w:rsid w:val="0081414E"/>
    <w:rsid w:val="00815A1A"/>
    <w:rsid w:val="008160D1"/>
    <w:rsid w:val="00816465"/>
    <w:rsid w:val="0081652B"/>
    <w:rsid w:val="0082007C"/>
    <w:rsid w:val="008201C7"/>
    <w:rsid w:val="00820662"/>
    <w:rsid w:val="00821319"/>
    <w:rsid w:val="00822155"/>
    <w:rsid w:val="00823C93"/>
    <w:rsid w:val="0082427A"/>
    <w:rsid w:val="00824AF1"/>
    <w:rsid w:val="00824F9B"/>
    <w:rsid w:val="00825035"/>
    <w:rsid w:val="00825F35"/>
    <w:rsid w:val="00830155"/>
    <w:rsid w:val="0083027F"/>
    <w:rsid w:val="0083083E"/>
    <w:rsid w:val="0083192D"/>
    <w:rsid w:val="00831944"/>
    <w:rsid w:val="00831C34"/>
    <w:rsid w:val="00832119"/>
    <w:rsid w:val="0083305C"/>
    <w:rsid w:val="008330AE"/>
    <w:rsid w:val="0083333C"/>
    <w:rsid w:val="00833564"/>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5004"/>
    <w:rsid w:val="0087509E"/>
    <w:rsid w:val="008760F0"/>
    <w:rsid w:val="0087630B"/>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6537"/>
    <w:rsid w:val="00886F70"/>
    <w:rsid w:val="00887540"/>
    <w:rsid w:val="00887AC5"/>
    <w:rsid w:val="0089047B"/>
    <w:rsid w:val="008904A9"/>
    <w:rsid w:val="008910A5"/>
    <w:rsid w:val="00891D20"/>
    <w:rsid w:val="00892910"/>
    <w:rsid w:val="00892FC3"/>
    <w:rsid w:val="0089371B"/>
    <w:rsid w:val="0089378B"/>
    <w:rsid w:val="00893BA0"/>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10CA"/>
    <w:rsid w:val="008A1612"/>
    <w:rsid w:val="008A1C6A"/>
    <w:rsid w:val="008A21FB"/>
    <w:rsid w:val="008A228D"/>
    <w:rsid w:val="008A2406"/>
    <w:rsid w:val="008A2BC5"/>
    <w:rsid w:val="008A2C37"/>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720"/>
    <w:rsid w:val="008B5AAF"/>
    <w:rsid w:val="008B600D"/>
    <w:rsid w:val="008B654E"/>
    <w:rsid w:val="008B683B"/>
    <w:rsid w:val="008B6C7D"/>
    <w:rsid w:val="008B72D9"/>
    <w:rsid w:val="008B774A"/>
    <w:rsid w:val="008C0286"/>
    <w:rsid w:val="008C02B9"/>
    <w:rsid w:val="008C06F1"/>
    <w:rsid w:val="008C143F"/>
    <w:rsid w:val="008C1786"/>
    <w:rsid w:val="008C17DB"/>
    <w:rsid w:val="008C1AE3"/>
    <w:rsid w:val="008C1CB9"/>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71BB"/>
    <w:rsid w:val="008E02A4"/>
    <w:rsid w:val="008E02FD"/>
    <w:rsid w:val="008E0300"/>
    <w:rsid w:val="008E05EA"/>
    <w:rsid w:val="008E1258"/>
    <w:rsid w:val="008E1E65"/>
    <w:rsid w:val="008E2310"/>
    <w:rsid w:val="008E3498"/>
    <w:rsid w:val="008E356B"/>
    <w:rsid w:val="008E3F53"/>
    <w:rsid w:val="008E457B"/>
    <w:rsid w:val="008E4B28"/>
    <w:rsid w:val="008E4CDB"/>
    <w:rsid w:val="008E504C"/>
    <w:rsid w:val="008E579F"/>
    <w:rsid w:val="008E673F"/>
    <w:rsid w:val="008E6BD7"/>
    <w:rsid w:val="008E726B"/>
    <w:rsid w:val="008E7DB1"/>
    <w:rsid w:val="008F0D0A"/>
    <w:rsid w:val="008F0D87"/>
    <w:rsid w:val="008F1A61"/>
    <w:rsid w:val="008F1F7E"/>
    <w:rsid w:val="008F2954"/>
    <w:rsid w:val="008F2C1A"/>
    <w:rsid w:val="008F2DA7"/>
    <w:rsid w:val="008F3781"/>
    <w:rsid w:val="008F3842"/>
    <w:rsid w:val="008F66A0"/>
    <w:rsid w:val="008F6F00"/>
    <w:rsid w:val="008F70A5"/>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27F"/>
    <w:rsid w:val="00925B92"/>
    <w:rsid w:val="00926C59"/>
    <w:rsid w:val="00927276"/>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FA2"/>
    <w:rsid w:val="00953564"/>
    <w:rsid w:val="009537AA"/>
    <w:rsid w:val="00953C08"/>
    <w:rsid w:val="00953CB4"/>
    <w:rsid w:val="00954582"/>
    <w:rsid w:val="00954B5B"/>
    <w:rsid w:val="009550CB"/>
    <w:rsid w:val="00955252"/>
    <w:rsid w:val="0095561C"/>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7B60"/>
    <w:rsid w:val="0097123A"/>
    <w:rsid w:val="00972140"/>
    <w:rsid w:val="00972716"/>
    <w:rsid w:val="00972880"/>
    <w:rsid w:val="009735B8"/>
    <w:rsid w:val="00973CF2"/>
    <w:rsid w:val="009744EE"/>
    <w:rsid w:val="00974799"/>
    <w:rsid w:val="009751BB"/>
    <w:rsid w:val="00975C1D"/>
    <w:rsid w:val="00975DD6"/>
    <w:rsid w:val="0097648C"/>
    <w:rsid w:val="00976A81"/>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9F"/>
    <w:rsid w:val="00994FE1"/>
    <w:rsid w:val="00995005"/>
    <w:rsid w:val="00995022"/>
    <w:rsid w:val="00995BB1"/>
    <w:rsid w:val="009971D9"/>
    <w:rsid w:val="00997E3D"/>
    <w:rsid w:val="009A06A2"/>
    <w:rsid w:val="009A076E"/>
    <w:rsid w:val="009A0A04"/>
    <w:rsid w:val="009A0BDB"/>
    <w:rsid w:val="009A1F29"/>
    <w:rsid w:val="009A2587"/>
    <w:rsid w:val="009A38BA"/>
    <w:rsid w:val="009A41D9"/>
    <w:rsid w:val="009A48A6"/>
    <w:rsid w:val="009A5B4F"/>
    <w:rsid w:val="009A5F23"/>
    <w:rsid w:val="009A707A"/>
    <w:rsid w:val="009A7623"/>
    <w:rsid w:val="009A7A6E"/>
    <w:rsid w:val="009B0040"/>
    <w:rsid w:val="009B01E5"/>
    <w:rsid w:val="009B07FF"/>
    <w:rsid w:val="009B085D"/>
    <w:rsid w:val="009B0C4A"/>
    <w:rsid w:val="009B1404"/>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5B36"/>
    <w:rsid w:val="009C6C04"/>
    <w:rsid w:val="009D2B7D"/>
    <w:rsid w:val="009D3332"/>
    <w:rsid w:val="009D337E"/>
    <w:rsid w:val="009D41C5"/>
    <w:rsid w:val="009D4BFD"/>
    <w:rsid w:val="009D4CA4"/>
    <w:rsid w:val="009D51C7"/>
    <w:rsid w:val="009D5A07"/>
    <w:rsid w:val="009D5E3D"/>
    <w:rsid w:val="009D6BBB"/>
    <w:rsid w:val="009D7957"/>
    <w:rsid w:val="009E1352"/>
    <w:rsid w:val="009E146E"/>
    <w:rsid w:val="009E14F5"/>
    <w:rsid w:val="009E2D32"/>
    <w:rsid w:val="009E32A3"/>
    <w:rsid w:val="009E4020"/>
    <w:rsid w:val="009E44DE"/>
    <w:rsid w:val="009E47D4"/>
    <w:rsid w:val="009E4E07"/>
    <w:rsid w:val="009E5217"/>
    <w:rsid w:val="009E525C"/>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643B"/>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6E8"/>
    <w:rsid w:val="00A31BA9"/>
    <w:rsid w:val="00A31C1D"/>
    <w:rsid w:val="00A33F9F"/>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0640"/>
    <w:rsid w:val="00A41980"/>
    <w:rsid w:val="00A41E86"/>
    <w:rsid w:val="00A42BC6"/>
    <w:rsid w:val="00A4339A"/>
    <w:rsid w:val="00A433B0"/>
    <w:rsid w:val="00A441D4"/>
    <w:rsid w:val="00A463AC"/>
    <w:rsid w:val="00A4676E"/>
    <w:rsid w:val="00A4677F"/>
    <w:rsid w:val="00A46A68"/>
    <w:rsid w:val="00A4796C"/>
    <w:rsid w:val="00A479FA"/>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32F4"/>
    <w:rsid w:val="00A64127"/>
    <w:rsid w:val="00A64AF7"/>
    <w:rsid w:val="00A65C15"/>
    <w:rsid w:val="00A67A57"/>
    <w:rsid w:val="00A7041C"/>
    <w:rsid w:val="00A70A2F"/>
    <w:rsid w:val="00A70BC0"/>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0DC8"/>
    <w:rsid w:val="00AA1327"/>
    <w:rsid w:val="00AA1394"/>
    <w:rsid w:val="00AA1A76"/>
    <w:rsid w:val="00AA1B31"/>
    <w:rsid w:val="00AA1BFD"/>
    <w:rsid w:val="00AA1EAB"/>
    <w:rsid w:val="00AA2F05"/>
    <w:rsid w:val="00AA3254"/>
    <w:rsid w:val="00AA39AA"/>
    <w:rsid w:val="00AA479D"/>
    <w:rsid w:val="00AA4BE6"/>
    <w:rsid w:val="00AA51F9"/>
    <w:rsid w:val="00AA538D"/>
    <w:rsid w:val="00AA5E5C"/>
    <w:rsid w:val="00AA6446"/>
    <w:rsid w:val="00AB03D9"/>
    <w:rsid w:val="00AB10A1"/>
    <w:rsid w:val="00AB1324"/>
    <w:rsid w:val="00AB1AFA"/>
    <w:rsid w:val="00AB1BF9"/>
    <w:rsid w:val="00AB2C53"/>
    <w:rsid w:val="00AB3197"/>
    <w:rsid w:val="00AB31E6"/>
    <w:rsid w:val="00AB3CF0"/>
    <w:rsid w:val="00AB3FCA"/>
    <w:rsid w:val="00AB55AD"/>
    <w:rsid w:val="00AB6296"/>
    <w:rsid w:val="00AB6371"/>
    <w:rsid w:val="00AB6B4D"/>
    <w:rsid w:val="00AB6EF8"/>
    <w:rsid w:val="00AB6FE1"/>
    <w:rsid w:val="00AB72EE"/>
    <w:rsid w:val="00AB79CD"/>
    <w:rsid w:val="00AB7B4C"/>
    <w:rsid w:val="00AB7C45"/>
    <w:rsid w:val="00AB7CA3"/>
    <w:rsid w:val="00AC026A"/>
    <w:rsid w:val="00AC2596"/>
    <w:rsid w:val="00AC2944"/>
    <w:rsid w:val="00AC3730"/>
    <w:rsid w:val="00AC411B"/>
    <w:rsid w:val="00AC4FFF"/>
    <w:rsid w:val="00AC51B2"/>
    <w:rsid w:val="00AC5B8D"/>
    <w:rsid w:val="00AC6876"/>
    <w:rsid w:val="00AC751C"/>
    <w:rsid w:val="00AC791B"/>
    <w:rsid w:val="00AC7BA1"/>
    <w:rsid w:val="00AD0011"/>
    <w:rsid w:val="00AD0978"/>
    <w:rsid w:val="00AD16C2"/>
    <w:rsid w:val="00AD23CC"/>
    <w:rsid w:val="00AD28E7"/>
    <w:rsid w:val="00AD2D31"/>
    <w:rsid w:val="00AD3064"/>
    <w:rsid w:val="00AD3782"/>
    <w:rsid w:val="00AD3885"/>
    <w:rsid w:val="00AD3C64"/>
    <w:rsid w:val="00AD550C"/>
    <w:rsid w:val="00AD5FFF"/>
    <w:rsid w:val="00AD6C2E"/>
    <w:rsid w:val="00AD6D7B"/>
    <w:rsid w:val="00AD7A38"/>
    <w:rsid w:val="00AD7E52"/>
    <w:rsid w:val="00AE1144"/>
    <w:rsid w:val="00AE1198"/>
    <w:rsid w:val="00AE2523"/>
    <w:rsid w:val="00AE27DE"/>
    <w:rsid w:val="00AE2F4F"/>
    <w:rsid w:val="00AE30B0"/>
    <w:rsid w:val="00AE3F1F"/>
    <w:rsid w:val="00AE403F"/>
    <w:rsid w:val="00AE4C2F"/>
    <w:rsid w:val="00AE7445"/>
    <w:rsid w:val="00AE7D38"/>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70F"/>
    <w:rsid w:val="00B1079B"/>
    <w:rsid w:val="00B10F9B"/>
    <w:rsid w:val="00B10FEE"/>
    <w:rsid w:val="00B11E7D"/>
    <w:rsid w:val="00B12C35"/>
    <w:rsid w:val="00B133DA"/>
    <w:rsid w:val="00B13682"/>
    <w:rsid w:val="00B139D2"/>
    <w:rsid w:val="00B1405F"/>
    <w:rsid w:val="00B141F4"/>
    <w:rsid w:val="00B14233"/>
    <w:rsid w:val="00B14F15"/>
    <w:rsid w:val="00B159D4"/>
    <w:rsid w:val="00B15D09"/>
    <w:rsid w:val="00B160BC"/>
    <w:rsid w:val="00B160D4"/>
    <w:rsid w:val="00B1615D"/>
    <w:rsid w:val="00B177AB"/>
    <w:rsid w:val="00B17D03"/>
    <w:rsid w:val="00B2122A"/>
    <w:rsid w:val="00B214AD"/>
    <w:rsid w:val="00B21803"/>
    <w:rsid w:val="00B21CDC"/>
    <w:rsid w:val="00B227C3"/>
    <w:rsid w:val="00B22EE3"/>
    <w:rsid w:val="00B23BEB"/>
    <w:rsid w:val="00B24357"/>
    <w:rsid w:val="00B26428"/>
    <w:rsid w:val="00B264A6"/>
    <w:rsid w:val="00B26867"/>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0592"/>
    <w:rsid w:val="00B519E7"/>
    <w:rsid w:val="00B51ADD"/>
    <w:rsid w:val="00B51C61"/>
    <w:rsid w:val="00B51D2E"/>
    <w:rsid w:val="00B51D7F"/>
    <w:rsid w:val="00B53092"/>
    <w:rsid w:val="00B5311D"/>
    <w:rsid w:val="00B537B9"/>
    <w:rsid w:val="00B537D4"/>
    <w:rsid w:val="00B53E13"/>
    <w:rsid w:val="00B54013"/>
    <w:rsid w:val="00B54066"/>
    <w:rsid w:val="00B54465"/>
    <w:rsid w:val="00B545FE"/>
    <w:rsid w:val="00B54B9C"/>
    <w:rsid w:val="00B54F39"/>
    <w:rsid w:val="00B5500C"/>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0573"/>
    <w:rsid w:val="00B80BD2"/>
    <w:rsid w:val="00B814E2"/>
    <w:rsid w:val="00B82D9A"/>
    <w:rsid w:val="00B834D4"/>
    <w:rsid w:val="00B843C0"/>
    <w:rsid w:val="00B8467F"/>
    <w:rsid w:val="00B853F2"/>
    <w:rsid w:val="00B8563F"/>
    <w:rsid w:val="00B85644"/>
    <w:rsid w:val="00B86E53"/>
    <w:rsid w:val="00B87C6F"/>
    <w:rsid w:val="00B9041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C4C"/>
    <w:rsid w:val="00BE6B77"/>
    <w:rsid w:val="00BE7086"/>
    <w:rsid w:val="00BF0532"/>
    <w:rsid w:val="00BF0834"/>
    <w:rsid w:val="00BF0B1B"/>
    <w:rsid w:val="00BF0B5C"/>
    <w:rsid w:val="00BF1E6F"/>
    <w:rsid w:val="00BF2B1F"/>
    <w:rsid w:val="00BF3F53"/>
    <w:rsid w:val="00BF447D"/>
    <w:rsid w:val="00BF4F82"/>
    <w:rsid w:val="00BF5D85"/>
    <w:rsid w:val="00BF5FC8"/>
    <w:rsid w:val="00BF6825"/>
    <w:rsid w:val="00BF6D3C"/>
    <w:rsid w:val="00BF746D"/>
    <w:rsid w:val="00BF785F"/>
    <w:rsid w:val="00BF78B5"/>
    <w:rsid w:val="00C0103E"/>
    <w:rsid w:val="00C01110"/>
    <w:rsid w:val="00C02458"/>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579D"/>
    <w:rsid w:val="00C157F8"/>
    <w:rsid w:val="00C159C2"/>
    <w:rsid w:val="00C16030"/>
    <w:rsid w:val="00C164D0"/>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4153"/>
    <w:rsid w:val="00C242B6"/>
    <w:rsid w:val="00C24671"/>
    <w:rsid w:val="00C249E6"/>
    <w:rsid w:val="00C25922"/>
    <w:rsid w:val="00C25D3B"/>
    <w:rsid w:val="00C263A8"/>
    <w:rsid w:val="00C306CC"/>
    <w:rsid w:val="00C31F93"/>
    <w:rsid w:val="00C32291"/>
    <w:rsid w:val="00C334B5"/>
    <w:rsid w:val="00C334FA"/>
    <w:rsid w:val="00C336C5"/>
    <w:rsid w:val="00C33A93"/>
    <w:rsid w:val="00C33ACB"/>
    <w:rsid w:val="00C33C1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50894"/>
    <w:rsid w:val="00C51221"/>
    <w:rsid w:val="00C52205"/>
    <w:rsid w:val="00C52A69"/>
    <w:rsid w:val="00C52B29"/>
    <w:rsid w:val="00C52FD4"/>
    <w:rsid w:val="00C533DB"/>
    <w:rsid w:val="00C5342D"/>
    <w:rsid w:val="00C538EE"/>
    <w:rsid w:val="00C53EE2"/>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767"/>
    <w:rsid w:val="00C84A05"/>
    <w:rsid w:val="00C84BE8"/>
    <w:rsid w:val="00C84C03"/>
    <w:rsid w:val="00C84D6B"/>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407B"/>
    <w:rsid w:val="00CA448D"/>
    <w:rsid w:val="00CA4613"/>
    <w:rsid w:val="00CA5F84"/>
    <w:rsid w:val="00CA64DE"/>
    <w:rsid w:val="00CA68E0"/>
    <w:rsid w:val="00CA7157"/>
    <w:rsid w:val="00CA736B"/>
    <w:rsid w:val="00CB0391"/>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C0233"/>
    <w:rsid w:val="00CC0654"/>
    <w:rsid w:val="00CC0B15"/>
    <w:rsid w:val="00CC1777"/>
    <w:rsid w:val="00CC18B8"/>
    <w:rsid w:val="00CC3402"/>
    <w:rsid w:val="00CC3829"/>
    <w:rsid w:val="00CC4A29"/>
    <w:rsid w:val="00CC5C74"/>
    <w:rsid w:val="00CC5C80"/>
    <w:rsid w:val="00CD00AB"/>
    <w:rsid w:val="00CD089A"/>
    <w:rsid w:val="00CD1214"/>
    <w:rsid w:val="00CD13AA"/>
    <w:rsid w:val="00CD15EC"/>
    <w:rsid w:val="00CD1B37"/>
    <w:rsid w:val="00CD1D81"/>
    <w:rsid w:val="00CD2A36"/>
    <w:rsid w:val="00CD3365"/>
    <w:rsid w:val="00CD35FF"/>
    <w:rsid w:val="00CD39BC"/>
    <w:rsid w:val="00CD4F7C"/>
    <w:rsid w:val="00CD5244"/>
    <w:rsid w:val="00CD52EF"/>
    <w:rsid w:val="00CD53B2"/>
    <w:rsid w:val="00CD580B"/>
    <w:rsid w:val="00CD64E9"/>
    <w:rsid w:val="00CD6E40"/>
    <w:rsid w:val="00CD7123"/>
    <w:rsid w:val="00CD7188"/>
    <w:rsid w:val="00CD7A6E"/>
    <w:rsid w:val="00CD7C55"/>
    <w:rsid w:val="00CE05DF"/>
    <w:rsid w:val="00CE1124"/>
    <w:rsid w:val="00CE21B6"/>
    <w:rsid w:val="00CE2C89"/>
    <w:rsid w:val="00CE32E6"/>
    <w:rsid w:val="00CE3C3B"/>
    <w:rsid w:val="00CE4390"/>
    <w:rsid w:val="00CE6401"/>
    <w:rsid w:val="00CE71B9"/>
    <w:rsid w:val="00CE7418"/>
    <w:rsid w:val="00CE7930"/>
    <w:rsid w:val="00CE7B47"/>
    <w:rsid w:val="00CE7F4B"/>
    <w:rsid w:val="00CF0BF3"/>
    <w:rsid w:val="00CF14F8"/>
    <w:rsid w:val="00CF1C12"/>
    <w:rsid w:val="00CF2CDD"/>
    <w:rsid w:val="00CF3ADF"/>
    <w:rsid w:val="00CF4FD3"/>
    <w:rsid w:val="00CF525E"/>
    <w:rsid w:val="00CF536E"/>
    <w:rsid w:val="00CF5FD3"/>
    <w:rsid w:val="00CF67F7"/>
    <w:rsid w:val="00CF698F"/>
    <w:rsid w:val="00CF6CB1"/>
    <w:rsid w:val="00CF7513"/>
    <w:rsid w:val="00CF77D5"/>
    <w:rsid w:val="00CF788A"/>
    <w:rsid w:val="00CF7D7C"/>
    <w:rsid w:val="00D003F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C8F"/>
    <w:rsid w:val="00D07D16"/>
    <w:rsid w:val="00D10FB0"/>
    <w:rsid w:val="00D1153A"/>
    <w:rsid w:val="00D1154A"/>
    <w:rsid w:val="00D14565"/>
    <w:rsid w:val="00D1513A"/>
    <w:rsid w:val="00D161E8"/>
    <w:rsid w:val="00D163C3"/>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538B"/>
    <w:rsid w:val="00D3687D"/>
    <w:rsid w:val="00D36E43"/>
    <w:rsid w:val="00D3735D"/>
    <w:rsid w:val="00D37C0D"/>
    <w:rsid w:val="00D4196D"/>
    <w:rsid w:val="00D42502"/>
    <w:rsid w:val="00D434EC"/>
    <w:rsid w:val="00D44FA9"/>
    <w:rsid w:val="00D45420"/>
    <w:rsid w:val="00D4550F"/>
    <w:rsid w:val="00D45AD9"/>
    <w:rsid w:val="00D46A1A"/>
    <w:rsid w:val="00D4744B"/>
    <w:rsid w:val="00D478E4"/>
    <w:rsid w:val="00D51786"/>
    <w:rsid w:val="00D519A9"/>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F11"/>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7457"/>
    <w:rsid w:val="00D87C3F"/>
    <w:rsid w:val="00D9056C"/>
    <w:rsid w:val="00D91150"/>
    <w:rsid w:val="00D9125A"/>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4FA"/>
    <w:rsid w:val="00DA2B46"/>
    <w:rsid w:val="00DA2C17"/>
    <w:rsid w:val="00DA433E"/>
    <w:rsid w:val="00DA44E3"/>
    <w:rsid w:val="00DA4CBE"/>
    <w:rsid w:val="00DA4CC4"/>
    <w:rsid w:val="00DA50C8"/>
    <w:rsid w:val="00DA66CE"/>
    <w:rsid w:val="00DA7150"/>
    <w:rsid w:val="00DA73BF"/>
    <w:rsid w:val="00DB0687"/>
    <w:rsid w:val="00DB08A9"/>
    <w:rsid w:val="00DB0FA4"/>
    <w:rsid w:val="00DB11A6"/>
    <w:rsid w:val="00DB235B"/>
    <w:rsid w:val="00DB2C6F"/>
    <w:rsid w:val="00DB312C"/>
    <w:rsid w:val="00DB3AF6"/>
    <w:rsid w:val="00DB42F1"/>
    <w:rsid w:val="00DB47DE"/>
    <w:rsid w:val="00DB4E2F"/>
    <w:rsid w:val="00DB52AC"/>
    <w:rsid w:val="00DB5AAA"/>
    <w:rsid w:val="00DB6044"/>
    <w:rsid w:val="00DB6663"/>
    <w:rsid w:val="00DB67A2"/>
    <w:rsid w:val="00DB68CD"/>
    <w:rsid w:val="00DB6A39"/>
    <w:rsid w:val="00DC17AE"/>
    <w:rsid w:val="00DC1991"/>
    <w:rsid w:val="00DC1E60"/>
    <w:rsid w:val="00DC2CCC"/>
    <w:rsid w:val="00DC3308"/>
    <w:rsid w:val="00DC370E"/>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6E"/>
    <w:rsid w:val="00DD4A55"/>
    <w:rsid w:val="00DD4CD6"/>
    <w:rsid w:val="00DD4CF2"/>
    <w:rsid w:val="00DD5525"/>
    <w:rsid w:val="00DD5EFE"/>
    <w:rsid w:val="00DD65C8"/>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14F2"/>
    <w:rsid w:val="00DF1FE2"/>
    <w:rsid w:val="00DF34F0"/>
    <w:rsid w:val="00DF386C"/>
    <w:rsid w:val="00DF3FA5"/>
    <w:rsid w:val="00DF4E81"/>
    <w:rsid w:val="00DF64CC"/>
    <w:rsid w:val="00DF698B"/>
    <w:rsid w:val="00DF7271"/>
    <w:rsid w:val="00E00B47"/>
    <w:rsid w:val="00E00CAF"/>
    <w:rsid w:val="00E01EF4"/>
    <w:rsid w:val="00E02D19"/>
    <w:rsid w:val="00E02EEA"/>
    <w:rsid w:val="00E033D4"/>
    <w:rsid w:val="00E03BDC"/>
    <w:rsid w:val="00E045F3"/>
    <w:rsid w:val="00E048EA"/>
    <w:rsid w:val="00E04D2C"/>
    <w:rsid w:val="00E051C6"/>
    <w:rsid w:val="00E05A46"/>
    <w:rsid w:val="00E06AE5"/>
    <w:rsid w:val="00E06B39"/>
    <w:rsid w:val="00E07844"/>
    <w:rsid w:val="00E07CD8"/>
    <w:rsid w:val="00E1026C"/>
    <w:rsid w:val="00E11032"/>
    <w:rsid w:val="00E12E67"/>
    <w:rsid w:val="00E13F78"/>
    <w:rsid w:val="00E14323"/>
    <w:rsid w:val="00E14B48"/>
    <w:rsid w:val="00E159A4"/>
    <w:rsid w:val="00E16259"/>
    <w:rsid w:val="00E1652A"/>
    <w:rsid w:val="00E1794E"/>
    <w:rsid w:val="00E20715"/>
    <w:rsid w:val="00E20D95"/>
    <w:rsid w:val="00E20F69"/>
    <w:rsid w:val="00E2110B"/>
    <w:rsid w:val="00E21A08"/>
    <w:rsid w:val="00E21A5A"/>
    <w:rsid w:val="00E21FD0"/>
    <w:rsid w:val="00E2252E"/>
    <w:rsid w:val="00E22EC6"/>
    <w:rsid w:val="00E23021"/>
    <w:rsid w:val="00E2381C"/>
    <w:rsid w:val="00E23C11"/>
    <w:rsid w:val="00E23F5E"/>
    <w:rsid w:val="00E23FDF"/>
    <w:rsid w:val="00E2467E"/>
    <w:rsid w:val="00E26476"/>
    <w:rsid w:val="00E264C6"/>
    <w:rsid w:val="00E26F78"/>
    <w:rsid w:val="00E27B91"/>
    <w:rsid w:val="00E27F03"/>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137E"/>
    <w:rsid w:val="00E4259E"/>
    <w:rsid w:val="00E425CD"/>
    <w:rsid w:val="00E426DF"/>
    <w:rsid w:val="00E4287B"/>
    <w:rsid w:val="00E42B0B"/>
    <w:rsid w:val="00E43002"/>
    <w:rsid w:val="00E433EF"/>
    <w:rsid w:val="00E43E33"/>
    <w:rsid w:val="00E44158"/>
    <w:rsid w:val="00E44A9E"/>
    <w:rsid w:val="00E4507B"/>
    <w:rsid w:val="00E454CF"/>
    <w:rsid w:val="00E46F73"/>
    <w:rsid w:val="00E46FC2"/>
    <w:rsid w:val="00E472DB"/>
    <w:rsid w:val="00E474AA"/>
    <w:rsid w:val="00E47594"/>
    <w:rsid w:val="00E503A5"/>
    <w:rsid w:val="00E50409"/>
    <w:rsid w:val="00E50956"/>
    <w:rsid w:val="00E51075"/>
    <w:rsid w:val="00E52385"/>
    <w:rsid w:val="00E528D8"/>
    <w:rsid w:val="00E52DDA"/>
    <w:rsid w:val="00E53BD6"/>
    <w:rsid w:val="00E53DB1"/>
    <w:rsid w:val="00E54A96"/>
    <w:rsid w:val="00E55001"/>
    <w:rsid w:val="00E56958"/>
    <w:rsid w:val="00E569A3"/>
    <w:rsid w:val="00E5712F"/>
    <w:rsid w:val="00E571C3"/>
    <w:rsid w:val="00E5773F"/>
    <w:rsid w:val="00E6047F"/>
    <w:rsid w:val="00E60D8E"/>
    <w:rsid w:val="00E62303"/>
    <w:rsid w:val="00E62322"/>
    <w:rsid w:val="00E6247A"/>
    <w:rsid w:val="00E62F10"/>
    <w:rsid w:val="00E63A2D"/>
    <w:rsid w:val="00E6468F"/>
    <w:rsid w:val="00E652D6"/>
    <w:rsid w:val="00E657FC"/>
    <w:rsid w:val="00E6625D"/>
    <w:rsid w:val="00E662D8"/>
    <w:rsid w:val="00E66D50"/>
    <w:rsid w:val="00E6782C"/>
    <w:rsid w:val="00E67D29"/>
    <w:rsid w:val="00E67EB6"/>
    <w:rsid w:val="00E71177"/>
    <w:rsid w:val="00E715B1"/>
    <w:rsid w:val="00E715E7"/>
    <w:rsid w:val="00E71798"/>
    <w:rsid w:val="00E72FDF"/>
    <w:rsid w:val="00E73770"/>
    <w:rsid w:val="00E741BA"/>
    <w:rsid w:val="00E74C94"/>
    <w:rsid w:val="00E74EFE"/>
    <w:rsid w:val="00E75450"/>
    <w:rsid w:val="00E75A6A"/>
    <w:rsid w:val="00E7750C"/>
    <w:rsid w:val="00E777E6"/>
    <w:rsid w:val="00E77CDC"/>
    <w:rsid w:val="00E8019D"/>
    <w:rsid w:val="00E80C4A"/>
    <w:rsid w:val="00E81C8F"/>
    <w:rsid w:val="00E824B6"/>
    <w:rsid w:val="00E82719"/>
    <w:rsid w:val="00E82A5D"/>
    <w:rsid w:val="00E82D3F"/>
    <w:rsid w:val="00E837A0"/>
    <w:rsid w:val="00E83BEC"/>
    <w:rsid w:val="00E83E3D"/>
    <w:rsid w:val="00E83F8D"/>
    <w:rsid w:val="00E84403"/>
    <w:rsid w:val="00E84684"/>
    <w:rsid w:val="00E84728"/>
    <w:rsid w:val="00E847CD"/>
    <w:rsid w:val="00E84B22"/>
    <w:rsid w:val="00E84B6C"/>
    <w:rsid w:val="00E84C3F"/>
    <w:rsid w:val="00E85425"/>
    <w:rsid w:val="00E85AB8"/>
    <w:rsid w:val="00E869B5"/>
    <w:rsid w:val="00E86A7E"/>
    <w:rsid w:val="00E91F53"/>
    <w:rsid w:val="00E9294B"/>
    <w:rsid w:val="00E93708"/>
    <w:rsid w:val="00E93A39"/>
    <w:rsid w:val="00E9430D"/>
    <w:rsid w:val="00E943CB"/>
    <w:rsid w:val="00E944FB"/>
    <w:rsid w:val="00E94BB2"/>
    <w:rsid w:val="00E94E8F"/>
    <w:rsid w:val="00E96817"/>
    <w:rsid w:val="00E96EDD"/>
    <w:rsid w:val="00E9784E"/>
    <w:rsid w:val="00E9787F"/>
    <w:rsid w:val="00E97A27"/>
    <w:rsid w:val="00EA0909"/>
    <w:rsid w:val="00EA11EF"/>
    <w:rsid w:val="00EA17B3"/>
    <w:rsid w:val="00EA18B2"/>
    <w:rsid w:val="00EA1C82"/>
    <w:rsid w:val="00EA1D17"/>
    <w:rsid w:val="00EA256F"/>
    <w:rsid w:val="00EA2D44"/>
    <w:rsid w:val="00EA2DC2"/>
    <w:rsid w:val="00EA308C"/>
    <w:rsid w:val="00EA34F5"/>
    <w:rsid w:val="00EA3B98"/>
    <w:rsid w:val="00EA3C86"/>
    <w:rsid w:val="00EA5202"/>
    <w:rsid w:val="00EA5F48"/>
    <w:rsid w:val="00EA64D3"/>
    <w:rsid w:val="00EA66B8"/>
    <w:rsid w:val="00EA6AFF"/>
    <w:rsid w:val="00EA72AE"/>
    <w:rsid w:val="00EA7AC5"/>
    <w:rsid w:val="00EA7DB2"/>
    <w:rsid w:val="00EB0262"/>
    <w:rsid w:val="00EB0C10"/>
    <w:rsid w:val="00EB2241"/>
    <w:rsid w:val="00EB386D"/>
    <w:rsid w:val="00EB3C86"/>
    <w:rsid w:val="00EB4E56"/>
    <w:rsid w:val="00EB5A34"/>
    <w:rsid w:val="00EB6627"/>
    <w:rsid w:val="00EB6EA4"/>
    <w:rsid w:val="00EB72B1"/>
    <w:rsid w:val="00EC093A"/>
    <w:rsid w:val="00EC12E6"/>
    <w:rsid w:val="00EC1E21"/>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3048"/>
    <w:rsid w:val="00EE31A5"/>
    <w:rsid w:val="00EE3621"/>
    <w:rsid w:val="00EE3F58"/>
    <w:rsid w:val="00EE419C"/>
    <w:rsid w:val="00EE4227"/>
    <w:rsid w:val="00EE44FA"/>
    <w:rsid w:val="00EE483A"/>
    <w:rsid w:val="00EE4B08"/>
    <w:rsid w:val="00EE5139"/>
    <w:rsid w:val="00EE5265"/>
    <w:rsid w:val="00EE53A7"/>
    <w:rsid w:val="00EE660A"/>
    <w:rsid w:val="00EE6930"/>
    <w:rsid w:val="00EF0A46"/>
    <w:rsid w:val="00EF0BA6"/>
    <w:rsid w:val="00EF14C1"/>
    <w:rsid w:val="00EF1859"/>
    <w:rsid w:val="00EF1AD4"/>
    <w:rsid w:val="00EF323D"/>
    <w:rsid w:val="00EF3727"/>
    <w:rsid w:val="00EF3AC9"/>
    <w:rsid w:val="00EF40B4"/>
    <w:rsid w:val="00EF6823"/>
    <w:rsid w:val="00EF72EE"/>
    <w:rsid w:val="00F004D8"/>
    <w:rsid w:val="00F006A5"/>
    <w:rsid w:val="00F0123B"/>
    <w:rsid w:val="00F01937"/>
    <w:rsid w:val="00F03514"/>
    <w:rsid w:val="00F0365F"/>
    <w:rsid w:val="00F037BA"/>
    <w:rsid w:val="00F0383D"/>
    <w:rsid w:val="00F045B5"/>
    <w:rsid w:val="00F05437"/>
    <w:rsid w:val="00F05769"/>
    <w:rsid w:val="00F0606C"/>
    <w:rsid w:val="00F0636A"/>
    <w:rsid w:val="00F074AA"/>
    <w:rsid w:val="00F076C8"/>
    <w:rsid w:val="00F079E6"/>
    <w:rsid w:val="00F07E18"/>
    <w:rsid w:val="00F1101A"/>
    <w:rsid w:val="00F110D0"/>
    <w:rsid w:val="00F11E94"/>
    <w:rsid w:val="00F122BD"/>
    <w:rsid w:val="00F13685"/>
    <w:rsid w:val="00F13AED"/>
    <w:rsid w:val="00F13B25"/>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6327"/>
    <w:rsid w:val="00F479F0"/>
    <w:rsid w:val="00F47FB5"/>
    <w:rsid w:val="00F50AF7"/>
    <w:rsid w:val="00F51296"/>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7681"/>
    <w:rsid w:val="00F67981"/>
    <w:rsid w:val="00F67D6D"/>
    <w:rsid w:val="00F70A5E"/>
    <w:rsid w:val="00F7189B"/>
    <w:rsid w:val="00F735DD"/>
    <w:rsid w:val="00F74365"/>
    <w:rsid w:val="00F74B39"/>
    <w:rsid w:val="00F75652"/>
    <w:rsid w:val="00F75683"/>
    <w:rsid w:val="00F761FD"/>
    <w:rsid w:val="00F76F1E"/>
    <w:rsid w:val="00F7729B"/>
    <w:rsid w:val="00F77A5E"/>
    <w:rsid w:val="00F77BB0"/>
    <w:rsid w:val="00F80C79"/>
    <w:rsid w:val="00F8245D"/>
    <w:rsid w:val="00F83436"/>
    <w:rsid w:val="00F8374E"/>
    <w:rsid w:val="00F83CE3"/>
    <w:rsid w:val="00F841E8"/>
    <w:rsid w:val="00F85220"/>
    <w:rsid w:val="00F8590F"/>
    <w:rsid w:val="00F85AC2"/>
    <w:rsid w:val="00F85CEB"/>
    <w:rsid w:val="00F862F7"/>
    <w:rsid w:val="00F86DC0"/>
    <w:rsid w:val="00F9089E"/>
    <w:rsid w:val="00F91B4A"/>
    <w:rsid w:val="00F92BB6"/>
    <w:rsid w:val="00F931E3"/>
    <w:rsid w:val="00F936A7"/>
    <w:rsid w:val="00F95E0D"/>
    <w:rsid w:val="00F961E1"/>
    <w:rsid w:val="00F962C7"/>
    <w:rsid w:val="00F96CDD"/>
    <w:rsid w:val="00FA0017"/>
    <w:rsid w:val="00FA0120"/>
    <w:rsid w:val="00FA01A5"/>
    <w:rsid w:val="00FA10C8"/>
    <w:rsid w:val="00FA126F"/>
    <w:rsid w:val="00FA131C"/>
    <w:rsid w:val="00FA1A26"/>
    <w:rsid w:val="00FA2CEE"/>
    <w:rsid w:val="00FA3657"/>
    <w:rsid w:val="00FA4196"/>
    <w:rsid w:val="00FA4EA8"/>
    <w:rsid w:val="00FA6AA7"/>
    <w:rsid w:val="00FA7004"/>
    <w:rsid w:val="00FA733B"/>
    <w:rsid w:val="00FA73A1"/>
    <w:rsid w:val="00FA7BFF"/>
    <w:rsid w:val="00FA7CB4"/>
    <w:rsid w:val="00FA7E75"/>
    <w:rsid w:val="00FB085E"/>
    <w:rsid w:val="00FB0FB1"/>
    <w:rsid w:val="00FB10A8"/>
    <w:rsid w:val="00FB11E9"/>
    <w:rsid w:val="00FB133C"/>
    <w:rsid w:val="00FB150D"/>
    <w:rsid w:val="00FB4ABA"/>
    <w:rsid w:val="00FB51E6"/>
    <w:rsid w:val="00FB5266"/>
    <w:rsid w:val="00FB534A"/>
    <w:rsid w:val="00FB582C"/>
    <w:rsid w:val="00FB5B4E"/>
    <w:rsid w:val="00FB5FB1"/>
    <w:rsid w:val="00FB6624"/>
    <w:rsid w:val="00FB781A"/>
    <w:rsid w:val="00FB7C85"/>
    <w:rsid w:val="00FC0C1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9FF"/>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5060"/>
    <w:rsid w:val="00FF52C0"/>
    <w:rsid w:val="00FF57A1"/>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61FB8822-47DB-4F95-8F89-649F2473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pmu.ntg@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gov.au/about-government/gazett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t.gov.au/ntg/gazett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E0EB-2CA5-46A6-8A91-A4CC061E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3631</TotalTime>
  <Pages>18</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Northern Territory Government 2017 G37</vt:lpstr>
    </vt:vector>
  </TitlesOfParts>
  <Company>NTG</Company>
  <LinksUpToDate>false</LinksUpToDate>
  <CharactersWithSpaces>21706</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G37</dc:title>
  <dc:subject/>
  <dc:creator>Northern Territory Government</dc:creator>
  <cp:keywords/>
  <dc:description/>
  <cp:lastModifiedBy>Catherine Frances Maher</cp:lastModifiedBy>
  <cp:revision>11</cp:revision>
  <cp:lastPrinted>2017-09-25T23:50:00Z</cp:lastPrinted>
  <dcterms:created xsi:type="dcterms:W3CDTF">2017-09-20T02:30:00Z</dcterms:created>
  <dcterms:modified xsi:type="dcterms:W3CDTF">2017-09-26T04:32:00Z</dcterms:modified>
</cp:coreProperties>
</file>