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9735E1">
      <w:pPr>
        <w:pStyle w:val="Gazettenoanddate"/>
        <w:tabs>
          <w:tab w:val="left" w:pos="6521"/>
          <w:tab w:val="left" w:pos="6946"/>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103FC6">
        <w:t>1</w:t>
      </w:r>
      <w:r w:rsidR="00F57CE8">
        <w:t>2</w:t>
      </w:r>
      <w:r w:rsidR="00515A51">
        <w:t>3</w:t>
      </w:r>
      <w:r w:rsidR="00053007">
        <w:tab/>
      </w:r>
      <w:r w:rsidR="00E97620">
        <w:t>2</w:t>
      </w:r>
      <w:r w:rsidR="00515A51">
        <w:t>9</w:t>
      </w:r>
      <w:r w:rsidR="004561D5">
        <w:t xml:space="preserve"> Dec</w:t>
      </w:r>
      <w:r w:rsidR="007E2DD6">
        <w:t>em</w:t>
      </w:r>
      <w:r w:rsidR="006D7F2C">
        <w:t>ber</w:t>
      </w:r>
      <w:r>
        <w:t xml:space="preserve"> 2016</w:t>
      </w:r>
    </w:p>
    <w:p w:rsidR="00515A51" w:rsidRPr="001F2D88" w:rsidRDefault="00515A51" w:rsidP="00515A51">
      <w:pPr>
        <w:tabs>
          <w:tab w:val="left" w:pos="8640"/>
        </w:tabs>
        <w:spacing w:line="360" w:lineRule="auto"/>
        <w:jc w:val="center"/>
        <w:rPr>
          <w:spacing w:val="-3"/>
        </w:rPr>
      </w:pPr>
      <w:r w:rsidRPr="00CE1DB8">
        <w:rPr>
          <w:spacing w:val="-3"/>
        </w:rPr>
        <w:t>Northern Territory of Australia</w:t>
      </w:r>
    </w:p>
    <w:p w:rsidR="00515A51" w:rsidRPr="004C196F" w:rsidRDefault="00515A51" w:rsidP="00515A51">
      <w:pPr>
        <w:spacing w:line="360" w:lineRule="auto"/>
        <w:jc w:val="center"/>
        <w:outlineLvl w:val="0"/>
        <w:rPr>
          <w:rFonts w:cs="Helvetica"/>
          <w:i/>
        </w:rPr>
      </w:pPr>
      <w:r>
        <w:rPr>
          <w:rFonts w:cs="Helvetica"/>
          <w:i/>
        </w:rPr>
        <w:t>Electricity Reform Act</w:t>
      </w:r>
    </w:p>
    <w:p w:rsidR="00515A51" w:rsidRPr="005D2BCA" w:rsidRDefault="00515A51" w:rsidP="00515A51">
      <w:pPr>
        <w:spacing w:line="360" w:lineRule="auto"/>
        <w:jc w:val="center"/>
        <w:rPr>
          <w:b/>
          <w:spacing w:val="-3"/>
        </w:rPr>
      </w:pPr>
      <w:r>
        <w:rPr>
          <w:b/>
          <w:spacing w:val="-3"/>
        </w:rPr>
        <w:t>Notice of Issue of Electricity Pricing Order</w:t>
      </w:r>
    </w:p>
    <w:p w:rsidR="00515A51" w:rsidRDefault="00515A51" w:rsidP="00515A51">
      <w:pPr>
        <w:spacing w:after="120" w:line="360" w:lineRule="auto"/>
        <w:jc w:val="both"/>
      </w:pPr>
      <w:r w:rsidRPr="00CE1DB8">
        <w:t xml:space="preserve">I, </w:t>
      </w:r>
      <w:r>
        <w:t xml:space="preserve">Nicole Susan </w:t>
      </w:r>
      <w:proofErr w:type="spellStart"/>
      <w:r>
        <w:t>Manison</w:t>
      </w:r>
      <w:proofErr w:type="spellEnd"/>
      <w:r w:rsidRPr="00CE1DB8">
        <w:t xml:space="preserve">, </w:t>
      </w:r>
      <w:r>
        <w:t>Treasurer</w:t>
      </w:r>
      <w:r w:rsidRPr="00CE1DB8">
        <w:t>, under section </w:t>
      </w:r>
      <w:r>
        <w:t xml:space="preserve">44(8) </w:t>
      </w:r>
      <w:r w:rsidRPr="00CE1DB8">
        <w:t xml:space="preserve">of the </w:t>
      </w:r>
      <w:r>
        <w:rPr>
          <w:i/>
        </w:rPr>
        <w:t xml:space="preserve">Electricity Reform </w:t>
      </w:r>
      <w:r w:rsidRPr="00643A83">
        <w:rPr>
          <w:i/>
        </w:rPr>
        <w:t>Act</w:t>
      </w:r>
      <w:r w:rsidRPr="00CE1DB8">
        <w:t xml:space="preserve">, </w:t>
      </w:r>
      <w:r>
        <w:t>give notice that:</w:t>
      </w:r>
    </w:p>
    <w:p w:rsidR="00515A51" w:rsidRDefault="00515A51" w:rsidP="00515A51">
      <w:pPr>
        <w:spacing w:after="120" w:line="360" w:lineRule="auto"/>
        <w:ind w:left="720" w:hanging="720"/>
        <w:jc w:val="both"/>
      </w:pPr>
      <w:r>
        <w:t>(a)</w:t>
      </w:r>
      <w:r>
        <w:tab/>
        <w:t xml:space="preserve">an electricity pricing order regulating prices for the sale of electricity to customers of the class prescribed by regulation 13A(d) of the </w:t>
      </w:r>
      <w:r>
        <w:rPr>
          <w:i/>
        </w:rPr>
        <w:t>Electricity Reform (Administration) Regulations</w:t>
      </w:r>
      <w:r>
        <w:t xml:space="preserve"> has been issued; and</w:t>
      </w:r>
    </w:p>
    <w:p w:rsidR="00515A51" w:rsidRDefault="00515A51" w:rsidP="00515A51">
      <w:pPr>
        <w:spacing w:after="120" w:line="360" w:lineRule="auto"/>
        <w:ind w:left="720" w:hanging="720"/>
        <w:jc w:val="both"/>
      </w:pPr>
      <w:r>
        <w:t>(b)</w:t>
      </w:r>
      <w:r>
        <w:tab/>
        <w:t xml:space="preserve">the order will have the effect of regulating prices for the sale of electricity to those customers for the period from 1 January 2017 to 30 June 2017; and </w:t>
      </w:r>
    </w:p>
    <w:p w:rsidR="00515A51" w:rsidRPr="009C77E0" w:rsidRDefault="00515A51" w:rsidP="00515A51">
      <w:pPr>
        <w:spacing w:after="120" w:line="360" w:lineRule="auto"/>
        <w:ind w:left="720" w:hanging="720"/>
        <w:jc w:val="both"/>
      </w:pPr>
      <w:r>
        <w:t>(c)</w:t>
      </w:r>
      <w:r>
        <w:tab/>
        <w:t xml:space="preserve">a copy of the order may be inspected at, and obtained from, any office of the Power and Water Corporation, Jacana Energy or any other person </w:t>
      </w:r>
      <w:proofErr w:type="spellStart"/>
      <w:r>
        <w:t>licenced</w:t>
      </w:r>
      <w:proofErr w:type="spellEnd"/>
      <w:r>
        <w:t xml:space="preserve"> under Part 3 of the </w:t>
      </w:r>
      <w:r>
        <w:rPr>
          <w:i/>
        </w:rPr>
        <w:t>Electricity Reform Act</w:t>
      </w:r>
      <w:r>
        <w:t xml:space="preserve"> to sell electricity.</w:t>
      </w:r>
    </w:p>
    <w:p w:rsidR="00515A51" w:rsidRPr="00CE1DB8" w:rsidRDefault="00515A51" w:rsidP="00515A51">
      <w:pPr>
        <w:spacing w:line="360" w:lineRule="auto"/>
      </w:pPr>
      <w:r w:rsidRPr="00CE1DB8">
        <w:t>Dated</w:t>
      </w:r>
      <w:r w:rsidR="00BC279E">
        <w:t xml:space="preserve"> 22 December 2016</w:t>
      </w:r>
    </w:p>
    <w:p w:rsidR="00BC279E" w:rsidRDefault="00BC279E" w:rsidP="00BC279E">
      <w:pPr>
        <w:tabs>
          <w:tab w:val="left" w:pos="8640"/>
        </w:tabs>
        <w:spacing w:after="0"/>
        <w:jc w:val="right"/>
        <w:rPr>
          <w:spacing w:val="-3"/>
        </w:rPr>
      </w:pPr>
      <w:r>
        <w:rPr>
          <w:spacing w:val="-3"/>
        </w:rPr>
        <w:t xml:space="preserve">N. S. </w:t>
      </w:r>
      <w:proofErr w:type="spellStart"/>
      <w:r>
        <w:rPr>
          <w:spacing w:val="-3"/>
        </w:rPr>
        <w:t>Manison</w:t>
      </w:r>
      <w:proofErr w:type="spellEnd"/>
    </w:p>
    <w:p w:rsidR="00515A51" w:rsidRPr="00CE1DB8" w:rsidRDefault="00515A51" w:rsidP="00BC279E">
      <w:pPr>
        <w:tabs>
          <w:tab w:val="left" w:pos="8640"/>
        </w:tabs>
        <w:spacing w:before="0" w:line="360" w:lineRule="auto"/>
        <w:jc w:val="right"/>
        <w:rPr>
          <w:spacing w:val="-3"/>
        </w:rPr>
      </w:pPr>
      <w:r>
        <w:rPr>
          <w:spacing w:val="-3"/>
        </w:rPr>
        <w:t>Treasurer</w:t>
      </w:r>
    </w:p>
    <w:p w:rsidR="00515A51" w:rsidRPr="001F2D88" w:rsidRDefault="00515A51" w:rsidP="000F0B75">
      <w:pPr>
        <w:pageBreakBefore/>
        <w:tabs>
          <w:tab w:val="left" w:pos="8640"/>
        </w:tabs>
        <w:spacing w:line="360" w:lineRule="auto"/>
        <w:jc w:val="center"/>
        <w:rPr>
          <w:spacing w:val="-3"/>
        </w:rPr>
      </w:pPr>
      <w:r w:rsidRPr="00CE1DB8">
        <w:rPr>
          <w:spacing w:val="-3"/>
        </w:rPr>
        <w:lastRenderedPageBreak/>
        <w:t>Northern Territory of Australia</w:t>
      </w:r>
    </w:p>
    <w:p w:rsidR="00515A51" w:rsidRPr="004C196F" w:rsidRDefault="00515A51" w:rsidP="00515A51">
      <w:pPr>
        <w:spacing w:line="360" w:lineRule="auto"/>
        <w:jc w:val="center"/>
        <w:outlineLvl w:val="0"/>
        <w:rPr>
          <w:rFonts w:cs="Helvetica"/>
          <w:i/>
        </w:rPr>
      </w:pPr>
      <w:r>
        <w:rPr>
          <w:rFonts w:cs="Helvetica"/>
          <w:i/>
        </w:rPr>
        <w:t>Electricity Reform Act</w:t>
      </w:r>
    </w:p>
    <w:p w:rsidR="00515A51" w:rsidRPr="005D2BCA" w:rsidRDefault="00515A51" w:rsidP="00515A51">
      <w:pPr>
        <w:spacing w:line="360" w:lineRule="auto"/>
        <w:jc w:val="center"/>
        <w:rPr>
          <w:b/>
          <w:spacing w:val="-3"/>
        </w:rPr>
      </w:pPr>
      <w:r>
        <w:rPr>
          <w:b/>
          <w:spacing w:val="-3"/>
        </w:rPr>
        <w:t>Issue of Electricity Pricing Order</w:t>
      </w:r>
    </w:p>
    <w:p w:rsidR="00CE1CD6" w:rsidRPr="00CE1DB8" w:rsidRDefault="00515A51" w:rsidP="00CE1CD6">
      <w:pPr>
        <w:spacing w:line="360" w:lineRule="auto"/>
      </w:pPr>
      <w:r w:rsidRPr="00CE1DB8">
        <w:t xml:space="preserve">I, </w:t>
      </w:r>
      <w:r>
        <w:t xml:space="preserve">Nicole Susan </w:t>
      </w:r>
      <w:proofErr w:type="spellStart"/>
      <w:r>
        <w:t>Manison</w:t>
      </w:r>
      <w:proofErr w:type="spellEnd"/>
      <w:r w:rsidRPr="00CE1DB8">
        <w:t xml:space="preserve">, </w:t>
      </w:r>
      <w:r>
        <w:t>Treasurer</w:t>
      </w:r>
      <w:r w:rsidRPr="00CE1DB8">
        <w:t>, under section </w:t>
      </w:r>
      <w:r>
        <w:t xml:space="preserve">44(1)(a) </w:t>
      </w:r>
      <w:r w:rsidRPr="00CE1DB8">
        <w:t xml:space="preserve">of the </w:t>
      </w:r>
      <w:r>
        <w:rPr>
          <w:i/>
        </w:rPr>
        <w:t xml:space="preserve">Electricity Reform </w:t>
      </w:r>
      <w:r w:rsidRPr="00643A83">
        <w:rPr>
          <w:i/>
        </w:rPr>
        <w:t>Act</w:t>
      </w:r>
      <w:r w:rsidRPr="00CE1DB8">
        <w:t xml:space="preserve">, </w:t>
      </w:r>
      <w:r>
        <w:t xml:space="preserve">issue the electricity pricing order set out in the Schedule, to take </w:t>
      </w:r>
      <w:r w:rsidR="00CE1CD6" w:rsidRPr="00CE1DB8">
        <w:t>Dated</w:t>
      </w:r>
      <w:r w:rsidR="00CE1CD6">
        <w:t xml:space="preserve"> 22 December 2016</w:t>
      </w:r>
    </w:p>
    <w:p w:rsidR="00CE1CD6" w:rsidRDefault="00CE1CD6" w:rsidP="00CE1CD6">
      <w:pPr>
        <w:tabs>
          <w:tab w:val="left" w:pos="8640"/>
        </w:tabs>
        <w:spacing w:after="0"/>
        <w:jc w:val="right"/>
        <w:rPr>
          <w:spacing w:val="-3"/>
        </w:rPr>
      </w:pPr>
      <w:r>
        <w:rPr>
          <w:spacing w:val="-3"/>
        </w:rPr>
        <w:t xml:space="preserve">N. S. </w:t>
      </w:r>
      <w:proofErr w:type="spellStart"/>
      <w:r>
        <w:rPr>
          <w:spacing w:val="-3"/>
        </w:rPr>
        <w:t>Manison</w:t>
      </w:r>
      <w:proofErr w:type="spellEnd"/>
    </w:p>
    <w:p w:rsidR="00CE1CD6" w:rsidRPr="00CE1DB8" w:rsidRDefault="00CE1CD6" w:rsidP="00CE1CD6">
      <w:pPr>
        <w:tabs>
          <w:tab w:val="left" w:pos="8640"/>
        </w:tabs>
        <w:spacing w:before="0" w:line="360" w:lineRule="auto"/>
        <w:jc w:val="right"/>
        <w:rPr>
          <w:spacing w:val="-3"/>
        </w:rPr>
      </w:pPr>
      <w:r>
        <w:rPr>
          <w:spacing w:val="-3"/>
        </w:rPr>
        <w:t>Treasurer</w:t>
      </w:r>
    </w:p>
    <w:p w:rsidR="00515A51" w:rsidRDefault="00515A51" w:rsidP="000F0B75">
      <w:pPr>
        <w:spacing w:line="360" w:lineRule="auto"/>
        <w:jc w:val="center"/>
        <w:rPr>
          <w:b/>
        </w:rPr>
      </w:pPr>
      <w:r>
        <w:rPr>
          <w:b/>
        </w:rPr>
        <w:t>Schedule</w:t>
      </w:r>
    </w:p>
    <w:p w:rsidR="00515A51" w:rsidRDefault="00515A51" w:rsidP="00515A51">
      <w:pPr>
        <w:spacing w:line="360" w:lineRule="auto"/>
        <w:jc w:val="center"/>
        <w:rPr>
          <w:b/>
        </w:rPr>
      </w:pPr>
      <w:r>
        <w:rPr>
          <w:b/>
        </w:rPr>
        <w:t>Electricity Pricing Order</w:t>
      </w:r>
    </w:p>
    <w:p w:rsidR="00515A51" w:rsidRDefault="00515A51" w:rsidP="000F0B75">
      <w:pPr>
        <w:spacing w:after="480"/>
        <w:jc w:val="center"/>
        <w:rPr>
          <w:i/>
        </w:rPr>
      </w:pPr>
      <w:r>
        <w:t>Customers of the class prescribed by regulation 13A(d)</w:t>
      </w:r>
      <w:r>
        <w:br/>
        <w:t xml:space="preserve">of the </w:t>
      </w:r>
      <w:r>
        <w:rPr>
          <w:i/>
        </w:rPr>
        <w:t>Electricity Reform (Administration) Regulations</w:t>
      </w:r>
    </w:p>
    <w:p w:rsidR="00515A51" w:rsidRPr="00A25D53" w:rsidRDefault="00515A51" w:rsidP="00515A51">
      <w:pPr>
        <w:tabs>
          <w:tab w:val="left" w:pos="-720"/>
        </w:tabs>
        <w:spacing w:before="120" w:after="120"/>
        <w:rPr>
          <w:b/>
          <w:caps/>
        </w:rPr>
      </w:pPr>
      <w:r w:rsidRPr="00A25D53">
        <w:rPr>
          <w:rFonts w:cs="Arial"/>
          <w:b/>
          <w:caps/>
          <w:spacing w:val="-3"/>
        </w:rPr>
        <w:t>Part</w:t>
      </w:r>
      <w:r w:rsidRPr="00A25D53">
        <w:rPr>
          <w:b/>
          <w:caps/>
        </w:rPr>
        <w:t xml:space="preserve"> 1 – Preliminary Matters</w:t>
      </w:r>
    </w:p>
    <w:p w:rsidR="00515A51" w:rsidRPr="00891260" w:rsidRDefault="00515A51" w:rsidP="00515A51">
      <w:pPr>
        <w:keepNext/>
        <w:spacing w:before="240" w:after="120"/>
        <w:jc w:val="both"/>
        <w:rPr>
          <w:rFonts w:cs="Arial"/>
          <w:b/>
        </w:rPr>
      </w:pPr>
      <w:r>
        <w:rPr>
          <w:rFonts w:cs="Arial"/>
          <w:b/>
        </w:rPr>
        <w:t>1</w:t>
      </w:r>
      <w:r w:rsidRPr="00891260">
        <w:rPr>
          <w:rFonts w:cs="Arial"/>
          <w:b/>
        </w:rPr>
        <w:tab/>
        <w:t>Definitions</w:t>
      </w:r>
    </w:p>
    <w:p w:rsidR="00515A51" w:rsidRDefault="00515A51" w:rsidP="00515A51">
      <w:pPr>
        <w:spacing w:after="120"/>
        <w:jc w:val="both"/>
        <w:rPr>
          <w:rFonts w:cs="Arial"/>
        </w:rPr>
      </w:pPr>
      <w:r>
        <w:rPr>
          <w:rFonts w:cs="Arial"/>
        </w:rPr>
        <w:tab/>
        <w:t>In this electricity pricing order:</w:t>
      </w:r>
    </w:p>
    <w:p w:rsidR="00515A51" w:rsidRDefault="00515A51" w:rsidP="00515A51">
      <w:pPr>
        <w:tabs>
          <w:tab w:val="left" w:pos="-720"/>
        </w:tabs>
        <w:spacing w:after="120"/>
        <w:ind w:left="720" w:hanging="11"/>
        <w:jc w:val="both"/>
        <w:rPr>
          <w:rFonts w:cs="Arial"/>
        </w:rPr>
      </w:pPr>
      <w:r>
        <w:rPr>
          <w:rFonts w:cs="Arial"/>
          <w:b/>
          <w:i/>
        </w:rPr>
        <w:t>billing entity</w:t>
      </w:r>
      <w:r>
        <w:rPr>
          <w:rFonts w:cs="Arial"/>
        </w:rPr>
        <w:t xml:space="preserve"> means a person licensed under Part 3 of the </w:t>
      </w:r>
      <w:r>
        <w:rPr>
          <w:rFonts w:cs="Arial"/>
          <w:i/>
        </w:rPr>
        <w:t xml:space="preserve">Electricity Reform Act </w:t>
      </w:r>
      <w:r>
        <w:rPr>
          <w:rFonts w:cs="Arial"/>
        </w:rPr>
        <w:t>to sell electricity.</w:t>
      </w:r>
    </w:p>
    <w:p w:rsidR="00515A51" w:rsidRDefault="00515A51" w:rsidP="00515A51">
      <w:pPr>
        <w:tabs>
          <w:tab w:val="left" w:pos="-720"/>
        </w:tabs>
        <w:spacing w:after="120"/>
        <w:ind w:left="720" w:hanging="11"/>
        <w:jc w:val="both"/>
        <w:rPr>
          <w:rFonts w:cs="Arial"/>
        </w:rPr>
      </w:pPr>
      <w:r>
        <w:rPr>
          <w:rFonts w:cs="Arial"/>
          <w:b/>
          <w:i/>
        </w:rPr>
        <w:t xml:space="preserve">caravan park resident tariff customer </w:t>
      </w:r>
      <w:r>
        <w:rPr>
          <w:rFonts w:cs="Arial"/>
        </w:rPr>
        <w:t>means a prescribed customer who is on-supplied electricity by the proprietor of a caravan park who is:</w:t>
      </w:r>
    </w:p>
    <w:p w:rsidR="00515A51" w:rsidRDefault="00515A51" w:rsidP="00515A51">
      <w:pPr>
        <w:tabs>
          <w:tab w:val="left" w:pos="1260"/>
        </w:tabs>
        <w:spacing w:after="120"/>
        <w:ind w:left="1260" w:hanging="540"/>
        <w:jc w:val="both"/>
        <w:rPr>
          <w:rFonts w:cs="Arial"/>
        </w:rPr>
      </w:pPr>
      <w:r>
        <w:rPr>
          <w:rFonts w:cs="Arial"/>
        </w:rPr>
        <w:t>(a)</w:t>
      </w:r>
      <w:r>
        <w:rPr>
          <w:rFonts w:cs="Arial"/>
        </w:rPr>
        <w:tab/>
        <w:t xml:space="preserve">a commercial – standard tariff customer; or </w:t>
      </w:r>
    </w:p>
    <w:p w:rsidR="00515A51" w:rsidRDefault="00515A51" w:rsidP="00515A51">
      <w:pPr>
        <w:tabs>
          <w:tab w:val="left" w:pos="1260"/>
        </w:tabs>
        <w:spacing w:after="120"/>
        <w:ind w:left="1260" w:hanging="540"/>
        <w:jc w:val="both"/>
        <w:rPr>
          <w:rFonts w:cs="Arial"/>
        </w:rPr>
      </w:pPr>
      <w:r>
        <w:rPr>
          <w:rFonts w:cs="Arial"/>
        </w:rPr>
        <w:t>(b)</w:t>
      </w:r>
      <w:r>
        <w:rPr>
          <w:rFonts w:cs="Arial"/>
        </w:rPr>
        <w:tab/>
        <w:t>a commercial – time of use tariff customer.</w:t>
      </w:r>
    </w:p>
    <w:p w:rsidR="00515A51" w:rsidRDefault="00515A51" w:rsidP="00515A51">
      <w:pPr>
        <w:tabs>
          <w:tab w:val="left" w:pos="-720"/>
        </w:tabs>
        <w:spacing w:after="120"/>
        <w:ind w:left="720" w:hanging="11"/>
        <w:jc w:val="both"/>
        <w:rPr>
          <w:rFonts w:cs="Arial"/>
        </w:rPr>
      </w:pPr>
      <w:r>
        <w:rPr>
          <w:rFonts w:cs="Arial"/>
          <w:b/>
          <w:i/>
        </w:rPr>
        <w:t xml:space="preserve">commercial – standard tariff customer </w:t>
      </w:r>
      <w:r>
        <w:rPr>
          <w:rFonts w:cs="Arial"/>
        </w:rPr>
        <w:t xml:space="preserve">means a prescribed customer who: </w:t>
      </w:r>
    </w:p>
    <w:p w:rsidR="00515A51" w:rsidRDefault="00515A51" w:rsidP="00515A51">
      <w:pPr>
        <w:tabs>
          <w:tab w:val="left" w:pos="1260"/>
        </w:tabs>
        <w:spacing w:after="120"/>
        <w:ind w:left="1260" w:hanging="540"/>
        <w:jc w:val="both"/>
        <w:rPr>
          <w:rFonts w:cs="Arial"/>
        </w:rPr>
      </w:pPr>
      <w:r>
        <w:rPr>
          <w:rFonts w:cs="Arial"/>
        </w:rPr>
        <w:t>(a)</w:t>
      </w:r>
      <w:r>
        <w:rPr>
          <w:rFonts w:cs="Arial"/>
        </w:rPr>
        <w:tab/>
        <w:t>purchases electricity for commercial use; and</w:t>
      </w:r>
    </w:p>
    <w:p w:rsidR="00515A51" w:rsidRDefault="00515A51" w:rsidP="00515A51">
      <w:pPr>
        <w:tabs>
          <w:tab w:val="left" w:pos="1260"/>
        </w:tabs>
        <w:spacing w:after="120"/>
        <w:ind w:left="1260" w:hanging="540"/>
        <w:jc w:val="both"/>
        <w:rPr>
          <w:rFonts w:cs="Arial"/>
        </w:rPr>
      </w:pPr>
      <w:r>
        <w:rPr>
          <w:rFonts w:cs="Arial"/>
        </w:rPr>
        <w:t>(b)</w:t>
      </w:r>
      <w:r>
        <w:rPr>
          <w:rFonts w:cs="Arial"/>
        </w:rPr>
        <w:tab/>
        <w:t>does not elect to pay the commercial – time of use tariff; and</w:t>
      </w:r>
    </w:p>
    <w:p w:rsidR="00515A51" w:rsidRDefault="00515A51" w:rsidP="00515A51">
      <w:pPr>
        <w:tabs>
          <w:tab w:val="left" w:pos="1260"/>
        </w:tabs>
        <w:spacing w:after="120"/>
        <w:ind w:left="1260" w:hanging="540"/>
        <w:jc w:val="both"/>
        <w:rPr>
          <w:rFonts w:cs="Arial"/>
        </w:rPr>
      </w:pPr>
      <w:r>
        <w:rPr>
          <w:rFonts w:cs="Arial"/>
        </w:rPr>
        <w:t>(c)</w:t>
      </w:r>
      <w:r>
        <w:rPr>
          <w:rFonts w:cs="Arial"/>
        </w:rPr>
        <w:tab/>
        <w:t>is not a multipurpose tariff customer.</w:t>
      </w:r>
    </w:p>
    <w:p w:rsidR="00515A51" w:rsidRDefault="00515A51" w:rsidP="00515A51">
      <w:pPr>
        <w:tabs>
          <w:tab w:val="left" w:pos="-720"/>
        </w:tabs>
        <w:spacing w:after="120"/>
        <w:ind w:left="720" w:hanging="11"/>
        <w:jc w:val="both"/>
        <w:rPr>
          <w:rFonts w:cs="Arial"/>
        </w:rPr>
      </w:pPr>
      <w:r>
        <w:rPr>
          <w:rFonts w:cs="Arial"/>
          <w:b/>
          <w:i/>
        </w:rPr>
        <w:t xml:space="preserve">commercial – time of use tariff customer </w:t>
      </w:r>
      <w:r>
        <w:rPr>
          <w:rFonts w:cs="Arial"/>
        </w:rPr>
        <w:t>means a prescribed customer who:</w:t>
      </w:r>
    </w:p>
    <w:p w:rsidR="00515A51" w:rsidRDefault="00515A51" w:rsidP="00515A51">
      <w:pPr>
        <w:tabs>
          <w:tab w:val="left" w:pos="1260"/>
        </w:tabs>
        <w:spacing w:after="120"/>
        <w:ind w:left="1260" w:hanging="540"/>
        <w:jc w:val="both"/>
        <w:rPr>
          <w:rFonts w:cs="Arial"/>
        </w:rPr>
      </w:pPr>
      <w:r>
        <w:rPr>
          <w:rFonts w:cs="Arial"/>
        </w:rPr>
        <w:t>(a)</w:t>
      </w:r>
      <w:r>
        <w:rPr>
          <w:rFonts w:cs="Arial"/>
        </w:rPr>
        <w:tab/>
        <w:t>purchases electricity for commercial use; and</w:t>
      </w:r>
    </w:p>
    <w:p w:rsidR="00515A51" w:rsidRDefault="00515A51" w:rsidP="00515A51">
      <w:pPr>
        <w:tabs>
          <w:tab w:val="left" w:pos="1260"/>
        </w:tabs>
        <w:spacing w:after="120"/>
        <w:ind w:left="1260" w:hanging="540"/>
        <w:jc w:val="both"/>
        <w:rPr>
          <w:rFonts w:cs="Arial"/>
        </w:rPr>
      </w:pPr>
      <w:r>
        <w:rPr>
          <w:rFonts w:cs="Arial"/>
        </w:rPr>
        <w:lastRenderedPageBreak/>
        <w:t>(b)</w:t>
      </w:r>
      <w:r>
        <w:rPr>
          <w:rFonts w:cs="Arial"/>
        </w:rPr>
        <w:tab/>
        <w:t>elects to pay the commercial – time of use tariff for a period of not less than 12 months; and</w:t>
      </w:r>
    </w:p>
    <w:p w:rsidR="00515A51" w:rsidRDefault="00515A51" w:rsidP="00515A51">
      <w:pPr>
        <w:tabs>
          <w:tab w:val="left" w:pos="1260"/>
        </w:tabs>
        <w:spacing w:after="120"/>
        <w:ind w:left="1260" w:hanging="540"/>
        <w:jc w:val="both"/>
        <w:rPr>
          <w:rFonts w:cs="Arial"/>
        </w:rPr>
      </w:pPr>
      <w:r>
        <w:rPr>
          <w:rFonts w:cs="Arial"/>
        </w:rPr>
        <w:t>(c)</w:t>
      </w:r>
      <w:r>
        <w:rPr>
          <w:rFonts w:cs="Arial"/>
        </w:rPr>
        <w:tab/>
        <w:t>is not a multipurpose tariff customer.</w:t>
      </w:r>
    </w:p>
    <w:p w:rsidR="00515A51" w:rsidRDefault="00515A51" w:rsidP="00515A51">
      <w:pPr>
        <w:tabs>
          <w:tab w:val="left" w:pos="-720"/>
        </w:tabs>
        <w:spacing w:after="120"/>
        <w:ind w:left="720" w:hanging="11"/>
        <w:jc w:val="both"/>
        <w:rPr>
          <w:rFonts w:cs="Arial"/>
        </w:rPr>
      </w:pPr>
      <w:r>
        <w:rPr>
          <w:rFonts w:cs="Arial"/>
          <w:b/>
          <w:i/>
        </w:rPr>
        <w:t>commercial use</w:t>
      </w:r>
      <w:r>
        <w:rPr>
          <w:rFonts w:cs="Arial"/>
        </w:rPr>
        <w:t>, of electricity, means the electricity is consumed on premises used for conducting a business or for conducting the activities of a public benevolent institution (</w:t>
      </w:r>
      <w:proofErr w:type="spellStart"/>
      <w:r w:rsidRPr="00626D79">
        <w:rPr>
          <w:rFonts w:cs="Arial"/>
        </w:rPr>
        <w:t>PBI</w:t>
      </w:r>
      <w:proofErr w:type="spellEnd"/>
      <w:r w:rsidRPr="00626D79">
        <w:rPr>
          <w:rFonts w:cs="Arial"/>
        </w:rPr>
        <w:t>)</w:t>
      </w:r>
      <w:r>
        <w:rPr>
          <w:rFonts w:cs="Arial"/>
        </w:rPr>
        <w:t xml:space="preserve"> tariff customer.</w:t>
      </w:r>
    </w:p>
    <w:p w:rsidR="00515A51" w:rsidRDefault="00515A51" w:rsidP="00515A51">
      <w:pPr>
        <w:tabs>
          <w:tab w:val="left" w:pos="-720"/>
        </w:tabs>
        <w:spacing w:after="120"/>
        <w:ind w:left="720" w:hanging="11"/>
        <w:jc w:val="both"/>
        <w:rPr>
          <w:rFonts w:cs="Arial"/>
        </w:rPr>
      </w:pPr>
      <w:r>
        <w:rPr>
          <w:rFonts w:cs="Arial"/>
          <w:b/>
          <w:i/>
        </w:rPr>
        <w:t>domestic pre-payment meter tariff customer</w:t>
      </w:r>
      <w:r>
        <w:rPr>
          <w:rFonts w:cs="Arial"/>
        </w:rPr>
        <w:t xml:space="preserve"> means a prescribed customer who purchases electricity that is:</w:t>
      </w:r>
    </w:p>
    <w:p w:rsidR="00515A51" w:rsidRDefault="00515A51" w:rsidP="00515A51">
      <w:pPr>
        <w:tabs>
          <w:tab w:val="left" w:pos="1260"/>
        </w:tabs>
        <w:spacing w:after="120"/>
        <w:ind w:left="1260" w:hanging="540"/>
        <w:jc w:val="both"/>
        <w:rPr>
          <w:rFonts w:cs="Arial"/>
        </w:rPr>
      </w:pPr>
      <w:r>
        <w:rPr>
          <w:rFonts w:cs="Arial"/>
        </w:rPr>
        <w:t>(a)</w:t>
      </w:r>
      <w:r>
        <w:rPr>
          <w:rFonts w:cs="Arial"/>
        </w:rPr>
        <w:tab/>
        <w:t>primarily for domestic use; and</w:t>
      </w:r>
    </w:p>
    <w:p w:rsidR="00515A51" w:rsidRDefault="00515A51" w:rsidP="00515A51">
      <w:pPr>
        <w:tabs>
          <w:tab w:val="left" w:pos="1260"/>
        </w:tabs>
        <w:spacing w:after="120"/>
        <w:ind w:left="1260" w:hanging="540"/>
        <w:jc w:val="both"/>
        <w:rPr>
          <w:rFonts w:cs="Arial"/>
        </w:rPr>
      </w:pPr>
      <w:r>
        <w:rPr>
          <w:rFonts w:cs="Arial"/>
        </w:rPr>
        <w:t>(b)</w:t>
      </w:r>
      <w:r>
        <w:rPr>
          <w:rFonts w:cs="Arial"/>
        </w:rPr>
        <w:tab/>
        <w:t>supplied through a  pre-payment meter.</w:t>
      </w:r>
    </w:p>
    <w:p w:rsidR="00515A51" w:rsidRDefault="00515A51" w:rsidP="00515A51">
      <w:pPr>
        <w:tabs>
          <w:tab w:val="left" w:pos="-720"/>
        </w:tabs>
        <w:spacing w:after="120"/>
        <w:ind w:left="720" w:hanging="11"/>
        <w:jc w:val="both"/>
        <w:rPr>
          <w:rFonts w:cs="Arial"/>
        </w:rPr>
      </w:pPr>
      <w:r>
        <w:rPr>
          <w:rFonts w:cs="Arial"/>
          <w:b/>
          <w:i/>
        </w:rPr>
        <w:t xml:space="preserve">domestic – standard tariff customer </w:t>
      </w:r>
      <w:r>
        <w:rPr>
          <w:rFonts w:cs="Arial"/>
        </w:rPr>
        <w:t>means a prescribed customer who:</w:t>
      </w:r>
    </w:p>
    <w:p w:rsidR="00515A51" w:rsidRDefault="00515A51" w:rsidP="00515A51">
      <w:pPr>
        <w:tabs>
          <w:tab w:val="left" w:pos="1260"/>
        </w:tabs>
        <w:spacing w:after="120"/>
        <w:ind w:left="1260" w:hanging="540"/>
        <w:jc w:val="both"/>
        <w:rPr>
          <w:rFonts w:cs="Arial"/>
        </w:rPr>
      </w:pPr>
      <w:r>
        <w:rPr>
          <w:rFonts w:cs="Arial"/>
        </w:rPr>
        <w:t>(a)</w:t>
      </w:r>
      <w:r>
        <w:rPr>
          <w:rFonts w:cs="Arial"/>
        </w:rPr>
        <w:tab/>
        <w:t>purchases electricity primarily for domestic use; and</w:t>
      </w:r>
    </w:p>
    <w:p w:rsidR="00515A51" w:rsidRDefault="00515A51" w:rsidP="00515A51">
      <w:pPr>
        <w:tabs>
          <w:tab w:val="left" w:pos="1260"/>
        </w:tabs>
        <w:spacing w:after="120"/>
        <w:ind w:left="1260" w:hanging="540"/>
        <w:jc w:val="both"/>
        <w:rPr>
          <w:rFonts w:cs="Arial"/>
        </w:rPr>
      </w:pPr>
      <w:r>
        <w:rPr>
          <w:rFonts w:cs="Arial"/>
        </w:rPr>
        <w:t>(b)</w:t>
      </w:r>
      <w:r>
        <w:rPr>
          <w:rFonts w:cs="Arial"/>
        </w:rPr>
        <w:tab/>
        <w:t>does not purchase the electricity through a pre-payment meter; and</w:t>
      </w:r>
    </w:p>
    <w:p w:rsidR="00515A51" w:rsidRDefault="00515A51" w:rsidP="00515A51">
      <w:pPr>
        <w:tabs>
          <w:tab w:val="left" w:pos="1260"/>
        </w:tabs>
        <w:spacing w:after="120"/>
        <w:ind w:left="1260" w:hanging="540"/>
        <w:jc w:val="both"/>
        <w:rPr>
          <w:rFonts w:cs="Arial"/>
        </w:rPr>
      </w:pPr>
      <w:r>
        <w:rPr>
          <w:rFonts w:cs="Arial"/>
        </w:rPr>
        <w:t>(c)</w:t>
      </w:r>
      <w:r>
        <w:rPr>
          <w:rFonts w:cs="Arial"/>
        </w:rPr>
        <w:tab/>
        <w:t>does not elect to pay the domestic – time of use tariff; and</w:t>
      </w:r>
    </w:p>
    <w:p w:rsidR="00515A51" w:rsidRDefault="00515A51" w:rsidP="00515A51">
      <w:pPr>
        <w:tabs>
          <w:tab w:val="left" w:pos="1260"/>
        </w:tabs>
        <w:spacing w:after="120"/>
        <w:ind w:left="1260" w:hanging="540"/>
        <w:jc w:val="both"/>
        <w:rPr>
          <w:rFonts w:cs="Arial"/>
        </w:rPr>
      </w:pPr>
      <w:r>
        <w:rPr>
          <w:rFonts w:cs="Arial"/>
        </w:rPr>
        <w:t>(d)</w:t>
      </w:r>
      <w:r>
        <w:rPr>
          <w:rFonts w:cs="Arial"/>
        </w:rPr>
        <w:tab/>
        <w:t>is not a multipurpose tariff customer.</w:t>
      </w:r>
    </w:p>
    <w:p w:rsidR="00515A51" w:rsidRDefault="00515A51" w:rsidP="00515A51">
      <w:pPr>
        <w:tabs>
          <w:tab w:val="left" w:pos="-720"/>
        </w:tabs>
        <w:spacing w:after="120"/>
        <w:ind w:left="720" w:hanging="11"/>
        <w:jc w:val="both"/>
        <w:rPr>
          <w:rFonts w:cs="Arial"/>
        </w:rPr>
      </w:pPr>
      <w:r>
        <w:rPr>
          <w:rFonts w:cs="Arial"/>
          <w:b/>
          <w:i/>
        </w:rPr>
        <w:t>domestic – time of use tariff customer</w:t>
      </w:r>
      <w:r>
        <w:rPr>
          <w:rFonts w:cs="Arial"/>
        </w:rPr>
        <w:t xml:space="preserve"> means a prescribed customer who:</w:t>
      </w:r>
    </w:p>
    <w:p w:rsidR="00515A51" w:rsidRDefault="00515A51" w:rsidP="00515A51">
      <w:pPr>
        <w:tabs>
          <w:tab w:val="left" w:pos="1260"/>
        </w:tabs>
        <w:spacing w:after="120"/>
        <w:ind w:left="1260" w:hanging="540"/>
        <w:jc w:val="both"/>
        <w:rPr>
          <w:rFonts w:cs="Arial"/>
        </w:rPr>
      </w:pPr>
      <w:r>
        <w:rPr>
          <w:rFonts w:cs="Arial"/>
        </w:rPr>
        <w:t>(a)</w:t>
      </w:r>
      <w:r>
        <w:rPr>
          <w:rFonts w:cs="Arial"/>
        </w:rPr>
        <w:tab/>
        <w:t>purchases electricity primarily for domestic use; and</w:t>
      </w:r>
    </w:p>
    <w:p w:rsidR="00515A51" w:rsidRDefault="00515A51" w:rsidP="00515A51">
      <w:pPr>
        <w:tabs>
          <w:tab w:val="left" w:pos="1260"/>
        </w:tabs>
        <w:spacing w:after="120"/>
        <w:ind w:left="1260" w:hanging="540"/>
        <w:jc w:val="both"/>
        <w:rPr>
          <w:rFonts w:cs="Arial"/>
        </w:rPr>
      </w:pPr>
      <w:r>
        <w:rPr>
          <w:rFonts w:cs="Arial"/>
        </w:rPr>
        <w:t>(b)</w:t>
      </w:r>
      <w:r>
        <w:rPr>
          <w:rFonts w:cs="Arial"/>
        </w:rPr>
        <w:tab/>
        <w:t>elects to pay the domestic – time of use tariff for a period of not less than 12 months; and</w:t>
      </w:r>
    </w:p>
    <w:p w:rsidR="00515A51" w:rsidRDefault="00515A51" w:rsidP="00515A51">
      <w:pPr>
        <w:tabs>
          <w:tab w:val="left" w:pos="1260"/>
        </w:tabs>
        <w:spacing w:after="120"/>
        <w:ind w:left="1260" w:hanging="540"/>
        <w:jc w:val="both"/>
        <w:rPr>
          <w:rFonts w:cs="Arial"/>
        </w:rPr>
      </w:pPr>
      <w:r>
        <w:rPr>
          <w:rFonts w:cs="Arial"/>
        </w:rPr>
        <w:t>(c)</w:t>
      </w:r>
      <w:r>
        <w:rPr>
          <w:rFonts w:cs="Arial"/>
        </w:rPr>
        <w:tab/>
        <w:t>agrees to pay for any associated meter upgrade costs; and</w:t>
      </w:r>
    </w:p>
    <w:p w:rsidR="00515A51" w:rsidRDefault="00515A51" w:rsidP="00515A51">
      <w:pPr>
        <w:tabs>
          <w:tab w:val="left" w:pos="1260"/>
        </w:tabs>
        <w:spacing w:after="120"/>
        <w:ind w:left="1260" w:hanging="540"/>
        <w:jc w:val="both"/>
        <w:rPr>
          <w:rFonts w:cs="Arial"/>
        </w:rPr>
      </w:pPr>
      <w:r>
        <w:rPr>
          <w:rFonts w:cs="Arial"/>
        </w:rPr>
        <w:t>(d)</w:t>
      </w:r>
      <w:r>
        <w:rPr>
          <w:rFonts w:cs="Arial"/>
        </w:rPr>
        <w:tab/>
        <w:t>is not a multipurpose tariff customer.</w:t>
      </w:r>
    </w:p>
    <w:p w:rsidR="00515A51" w:rsidRDefault="00515A51" w:rsidP="00515A51">
      <w:pPr>
        <w:tabs>
          <w:tab w:val="left" w:pos="-720"/>
        </w:tabs>
        <w:spacing w:after="120"/>
        <w:ind w:left="720" w:hanging="11"/>
        <w:jc w:val="both"/>
        <w:rPr>
          <w:rFonts w:cs="Arial"/>
        </w:rPr>
      </w:pPr>
      <w:r>
        <w:rPr>
          <w:rFonts w:cs="Arial"/>
          <w:b/>
          <w:i/>
        </w:rPr>
        <w:t>domestic use</w:t>
      </w:r>
      <w:r>
        <w:rPr>
          <w:rFonts w:cs="Arial"/>
        </w:rPr>
        <w:t>, of electricity, means the electricity is consumed for domestic purposes on residential premises.</w:t>
      </w:r>
    </w:p>
    <w:p w:rsidR="00515A51" w:rsidRDefault="00515A51" w:rsidP="00515A51">
      <w:pPr>
        <w:tabs>
          <w:tab w:val="left" w:pos="-720"/>
        </w:tabs>
        <w:spacing w:after="120"/>
        <w:ind w:left="720" w:hanging="11"/>
        <w:jc w:val="both"/>
        <w:rPr>
          <w:rFonts w:cs="Arial"/>
        </w:rPr>
      </w:pPr>
      <w:r>
        <w:rPr>
          <w:rFonts w:cs="Arial"/>
          <w:b/>
          <w:i/>
        </w:rPr>
        <w:t>general non-metered installation customer</w:t>
      </w:r>
      <w:r>
        <w:rPr>
          <w:rFonts w:cs="Arial"/>
        </w:rPr>
        <w:t xml:space="preserve"> means a prescribed customer who purchases electricity for the non-metered supply of electricity to an electrical installation other than for street lighting.</w:t>
      </w:r>
    </w:p>
    <w:p w:rsidR="00515A51" w:rsidRDefault="00515A51" w:rsidP="00515A51">
      <w:pPr>
        <w:tabs>
          <w:tab w:val="left" w:pos="-720"/>
        </w:tabs>
        <w:spacing w:after="120"/>
        <w:ind w:left="720" w:hanging="11"/>
        <w:jc w:val="both"/>
        <w:rPr>
          <w:rFonts w:cs="Arial"/>
        </w:rPr>
      </w:pPr>
      <w:r>
        <w:rPr>
          <w:rFonts w:cs="Arial"/>
          <w:b/>
          <w:i/>
        </w:rPr>
        <w:t>kWh</w:t>
      </w:r>
      <w:r>
        <w:rPr>
          <w:rFonts w:cs="Arial"/>
        </w:rPr>
        <w:t xml:space="preserve"> means kilowatt hours.</w:t>
      </w:r>
    </w:p>
    <w:p w:rsidR="00515A51" w:rsidRDefault="00515A51" w:rsidP="00515A51">
      <w:pPr>
        <w:tabs>
          <w:tab w:val="left" w:pos="-720"/>
        </w:tabs>
        <w:spacing w:after="120"/>
        <w:ind w:left="720" w:hanging="11"/>
        <w:jc w:val="both"/>
        <w:rPr>
          <w:rFonts w:cs="Arial"/>
        </w:rPr>
      </w:pPr>
      <w:r>
        <w:rPr>
          <w:rFonts w:cs="Arial"/>
          <w:b/>
          <w:i/>
        </w:rPr>
        <w:t xml:space="preserve">multipurpose tariff customer </w:t>
      </w:r>
      <w:r>
        <w:rPr>
          <w:rFonts w:cs="Arial"/>
        </w:rPr>
        <w:t xml:space="preserve">means a prescribed customer who: </w:t>
      </w:r>
    </w:p>
    <w:p w:rsidR="00515A51" w:rsidRDefault="00515A51" w:rsidP="00515A51">
      <w:pPr>
        <w:tabs>
          <w:tab w:val="left" w:pos="1260"/>
        </w:tabs>
        <w:spacing w:after="120"/>
        <w:ind w:left="1260" w:hanging="540"/>
        <w:jc w:val="both"/>
        <w:rPr>
          <w:rFonts w:cs="Arial"/>
        </w:rPr>
      </w:pPr>
      <w:r>
        <w:rPr>
          <w:rFonts w:cs="Arial"/>
        </w:rPr>
        <w:t>(a)</w:t>
      </w:r>
      <w:r>
        <w:rPr>
          <w:rFonts w:cs="Arial"/>
        </w:rPr>
        <w:tab/>
        <w:t>purchases electricity in excess of 16 425 kWh per annum for multipurpose use; and</w:t>
      </w:r>
    </w:p>
    <w:p w:rsidR="00515A51" w:rsidRDefault="00515A51" w:rsidP="00515A51">
      <w:pPr>
        <w:tabs>
          <w:tab w:val="left" w:pos="1260"/>
        </w:tabs>
        <w:spacing w:after="120"/>
        <w:ind w:left="1260" w:hanging="540"/>
        <w:jc w:val="both"/>
        <w:rPr>
          <w:rFonts w:cs="Arial"/>
        </w:rPr>
      </w:pPr>
      <w:r>
        <w:rPr>
          <w:rFonts w:cs="Arial"/>
        </w:rPr>
        <w:t>(b)</w:t>
      </w:r>
      <w:r>
        <w:rPr>
          <w:rFonts w:cs="Arial"/>
        </w:rPr>
        <w:tab/>
        <w:t>does not purchase the electricity through a pre-payment meter.</w:t>
      </w:r>
    </w:p>
    <w:p w:rsidR="00515A51" w:rsidRDefault="00515A51" w:rsidP="000F0B75">
      <w:pPr>
        <w:keepLines/>
        <w:tabs>
          <w:tab w:val="left" w:pos="-720"/>
        </w:tabs>
        <w:spacing w:after="120"/>
        <w:ind w:left="720" w:hanging="11"/>
        <w:jc w:val="both"/>
        <w:rPr>
          <w:rFonts w:cs="Arial"/>
        </w:rPr>
      </w:pPr>
      <w:r>
        <w:rPr>
          <w:rFonts w:cs="Arial"/>
          <w:b/>
          <w:i/>
        </w:rPr>
        <w:lastRenderedPageBreak/>
        <w:t>multipurpose use</w:t>
      </w:r>
      <w:r>
        <w:rPr>
          <w:rFonts w:cs="Arial"/>
        </w:rPr>
        <w:t xml:space="preserve">, of electricity, means the electricity is consumed for both: </w:t>
      </w:r>
    </w:p>
    <w:p w:rsidR="00515A51" w:rsidRDefault="00515A51" w:rsidP="00515A51">
      <w:pPr>
        <w:tabs>
          <w:tab w:val="left" w:pos="1260"/>
        </w:tabs>
        <w:spacing w:after="120"/>
        <w:ind w:left="1260" w:hanging="540"/>
        <w:jc w:val="both"/>
        <w:rPr>
          <w:rFonts w:cs="Arial"/>
        </w:rPr>
      </w:pPr>
      <w:r>
        <w:rPr>
          <w:rFonts w:cs="Arial"/>
        </w:rPr>
        <w:t>(a)</w:t>
      </w:r>
      <w:r>
        <w:rPr>
          <w:rFonts w:cs="Arial"/>
        </w:rPr>
        <w:tab/>
        <w:t>domestic purposes on residential premises; and</w:t>
      </w:r>
    </w:p>
    <w:p w:rsidR="00515A51" w:rsidRDefault="00515A51" w:rsidP="00515A51">
      <w:pPr>
        <w:tabs>
          <w:tab w:val="left" w:pos="1260"/>
        </w:tabs>
        <w:spacing w:after="120"/>
        <w:ind w:left="1260" w:hanging="540"/>
        <w:jc w:val="both"/>
        <w:rPr>
          <w:rFonts w:cs="Arial"/>
        </w:rPr>
      </w:pPr>
      <w:r>
        <w:rPr>
          <w:rFonts w:cs="Arial"/>
        </w:rPr>
        <w:t>(b)</w:t>
      </w:r>
      <w:r>
        <w:rPr>
          <w:rFonts w:cs="Arial"/>
        </w:rPr>
        <w:tab/>
        <w:t>conducting a business on the residential premises or the land on which the premises are located (for example, for agricultural purposes).</w:t>
      </w:r>
    </w:p>
    <w:p w:rsidR="00515A51" w:rsidRDefault="00515A51" w:rsidP="00515A51">
      <w:pPr>
        <w:tabs>
          <w:tab w:val="left" w:pos="-720"/>
        </w:tabs>
        <w:spacing w:before="240" w:after="120"/>
        <w:ind w:left="720" w:hanging="11"/>
        <w:jc w:val="both"/>
        <w:rPr>
          <w:rFonts w:cs="Arial"/>
        </w:rPr>
      </w:pPr>
      <w:r>
        <w:rPr>
          <w:rFonts w:cs="Arial"/>
          <w:b/>
          <w:i/>
        </w:rPr>
        <w:t>prescribed customers</w:t>
      </w:r>
      <w:r>
        <w:rPr>
          <w:rFonts w:cs="Arial"/>
        </w:rPr>
        <w:t xml:space="preserve">, means customers of the class prescribed by regulation 13A(d) of the </w:t>
      </w:r>
      <w:r>
        <w:rPr>
          <w:rFonts w:cs="Arial"/>
          <w:i/>
        </w:rPr>
        <w:t>Electricity Reform (Administration) Regulations</w:t>
      </w:r>
      <w:r>
        <w:rPr>
          <w:rFonts w:cs="Arial"/>
        </w:rPr>
        <w:t>.</w:t>
      </w:r>
    </w:p>
    <w:p w:rsidR="00515A51" w:rsidRDefault="00515A51" w:rsidP="00515A51">
      <w:pPr>
        <w:tabs>
          <w:tab w:val="left" w:pos="-720"/>
        </w:tabs>
        <w:spacing w:before="240" w:after="120"/>
        <w:ind w:left="720" w:hanging="11"/>
        <w:jc w:val="both"/>
        <w:rPr>
          <w:rFonts w:cs="Arial"/>
        </w:rPr>
      </w:pPr>
      <w:r>
        <w:rPr>
          <w:rFonts w:cs="Arial"/>
          <w:b/>
          <w:i/>
        </w:rPr>
        <w:t xml:space="preserve">pricing period </w:t>
      </w:r>
      <w:r>
        <w:rPr>
          <w:rFonts w:cs="Arial"/>
        </w:rPr>
        <w:t>means 1 January 2017 to 30 June 2017.</w:t>
      </w:r>
    </w:p>
    <w:p w:rsidR="00515A51" w:rsidRDefault="00515A51" w:rsidP="00515A51">
      <w:pPr>
        <w:tabs>
          <w:tab w:val="left" w:pos="-720"/>
        </w:tabs>
        <w:spacing w:before="240" w:after="120"/>
        <w:ind w:left="720" w:hanging="11"/>
        <w:jc w:val="both"/>
        <w:rPr>
          <w:rFonts w:cs="Arial"/>
        </w:rPr>
      </w:pPr>
      <w:r>
        <w:rPr>
          <w:rFonts w:cs="Arial"/>
          <w:b/>
          <w:i/>
        </w:rPr>
        <w:t>public benevolent institution (</w:t>
      </w:r>
      <w:proofErr w:type="spellStart"/>
      <w:r>
        <w:rPr>
          <w:rFonts w:cs="Arial"/>
          <w:b/>
          <w:i/>
        </w:rPr>
        <w:t>PBI</w:t>
      </w:r>
      <w:proofErr w:type="spellEnd"/>
      <w:r>
        <w:rPr>
          <w:rFonts w:cs="Arial"/>
          <w:b/>
          <w:i/>
        </w:rPr>
        <w:t>) tariff customer</w:t>
      </w:r>
      <w:r>
        <w:rPr>
          <w:rFonts w:cs="Arial"/>
        </w:rPr>
        <w:t xml:space="preserve"> means a prescribed customer that is an </w:t>
      </w:r>
      <w:proofErr w:type="spellStart"/>
      <w:r>
        <w:rPr>
          <w:rFonts w:cs="Arial"/>
        </w:rPr>
        <w:t>organisation</w:t>
      </w:r>
      <w:proofErr w:type="spellEnd"/>
      <w:r>
        <w:rPr>
          <w:rFonts w:cs="Arial"/>
        </w:rPr>
        <w:t xml:space="preserve"> registered with the Australian Charities and Not-for-profits Commission (</w:t>
      </w:r>
      <w:proofErr w:type="spellStart"/>
      <w:r>
        <w:rPr>
          <w:rFonts w:cs="Arial"/>
        </w:rPr>
        <w:t>ACNC</w:t>
      </w:r>
      <w:proofErr w:type="spellEnd"/>
      <w:r>
        <w:rPr>
          <w:rFonts w:cs="Arial"/>
        </w:rPr>
        <w:t>).</w:t>
      </w:r>
    </w:p>
    <w:p w:rsidR="00515A51" w:rsidRDefault="00515A51" w:rsidP="00515A51">
      <w:pPr>
        <w:tabs>
          <w:tab w:val="left" w:pos="-720"/>
        </w:tabs>
        <w:spacing w:before="240" w:after="120"/>
        <w:ind w:left="720" w:hanging="11"/>
        <w:jc w:val="both"/>
        <w:rPr>
          <w:rFonts w:cs="Arial"/>
        </w:rPr>
      </w:pPr>
      <w:r>
        <w:rPr>
          <w:rFonts w:cs="Arial"/>
          <w:b/>
          <w:i/>
        </w:rPr>
        <w:t xml:space="preserve">residential premises </w:t>
      </w:r>
      <w:r>
        <w:rPr>
          <w:rFonts w:cs="Arial"/>
        </w:rPr>
        <w:t>does not include:</w:t>
      </w:r>
    </w:p>
    <w:p w:rsidR="00515A51" w:rsidRDefault="00515A51" w:rsidP="00515A51">
      <w:pPr>
        <w:tabs>
          <w:tab w:val="left" w:pos="1260"/>
        </w:tabs>
        <w:spacing w:after="120"/>
        <w:ind w:left="1260" w:hanging="540"/>
        <w:jc w:val="both"/>
        <w:rPr>
          <w:rFonts w:cs="Arial"/>
        </w:rPr>
      </w:pPr>
      <w:r>
        <w:rPr>
          <w:rFonts w:cs="Arial"/>
        </w:rPr>
        <w:t>(a)</w:t>
      </w:r>
      <w:r>
        <w:rPr>
          <w:rFonts w:cs="Arial"/>
        </w:rPr>
        <w:tab/>
        <w:t>a hostel, motel, hotel, guest house or caravan park; or</w:t>
      </w:r>
    </w:p>
    <w:p w:rsidR="00515A51" w:rsidRDefault="00515A51" w:rsidP="00515A51">
      <w:pPr>
        <w:tabs>
          <w:tab w:val="left" w:pos="1260"/>
        </w:tabs>
        <w:spacing w:after="120"/>
        <w:ind w:left="1260" w:hanging="540"/>
        <w:jc w:val="both"/>
        <w:rPr>
          <w:rFonts w:cs="Arial"/>
        </w:rPr>
      </w:pPr>
      <w:r>
        <w:rPr>
          <w:rFonts w:cs="Arial"/>
        </w:rPr>
        <w:t>(b)</w:t>
      </w:r>
      <w:r>
        <w:rPr>
          <w:rFonts w:cs="Arial"/>
        </w:rPr>
        <w:tab/>
        <w:t>premises on which a caretaker resides and is otherwise used for non-residential purposes.</w:t>
      </w:r>
    </w:p>
    <w:p w:rsidR="00515A51" w:rsidRPr="001D3B4C" w:rsidRDefault="00515A51" w:rsidP="00515A51">
      <w:pPr>
        <w:tabs>
          <w:tab w:val="left" w:pos="-720"/>
        </w:tabs>
        <w:spacing w:before="240" w:after="120"/>
        <w:ind w:left="720" w:hanging="11"/>
        <w:jc w:val="both"/>
        <w:rPr>
          <w:rFonts w:cs="Arial"/>
        </w:rPr>
      </w:pPr>
      <w:r>
        <w:rPr>
          <w:rFonts w:cs="Arial"/>
          <w:b/>
          <w:i/>
        </w:rPr>
        <w:t xml:space="preserve">street lighting customer </w:t>
      </w:r>
      <w:r>
        <w:rPr>
          <w:rFonts w:cs="Arial"/>
        </w:rPr>
        <w:t>means a prescribed customer who purchases electricity for the non-metered supply of electricity to an electrical installation that provides street lighting, including public lighting.</w:t>
      </w:r>
    </w:p>
    <w:p w:rsidR="00515A51" w:rsidRPr="00376E5A" w:rsidRDefault="00515A51" w:rsidP="000F0B75">
      <w:pPr>
        <w:keepNext/>
        <w:tabs>
          <w:tab w:val="left" w:pos="-720"/>
        </w:tabs>
        <w:spacing w:before="240" w:after="120"/>
        <w:ind w:left="720" w:hanging="720"/>
        <w:jc w:val="both"/>
        <w:rPr>
          <w:rFonts w:cs="Arial"/>
          <w:b/>
        </w:rPr>
      </w:pPr>
      <w:r w:rsidRPr="00376E5A">
        <w:rPr>
          <w:rFonts w:cs="Arial"/>
          <w:b/>
        </w:rPr>
        <w:t>2</w:t>
      </w:r>
      <w:r w:rsidRPr="00376E5A">
        <w:rPr>
          <w:rFonts w:cs="Arial"/>
          <w:b/>
        </w:rPr>
        <w:tab/>
        <w:t>Regulation of retail prices during pricing period</w:t>
      </w:r>
    </w:p>
    <w:p w:rsidR="00515A51" w:rsidRDefault="00515A51" w:rsidP="00515A51">
      <w:pPr>
        <w:tabs>
          <w:tab w:val="left" w:pos="-720"/>
        </w:tabs>
        <w:spacing w:after="120"/>
        <w:ind w:left="720" w:hanging="720"/>
        <w:jc w:val="both"/>
        <w:rPr>
          <w:rFonts w:cs="Arial"/>
        </w:rPr>
      </w:pPr>
      <w:r w:rsidRPr="00376E5A">
        <w:rPr>
          <w:rFonts w:cs="Arial"/>
        </w:rPr>
        <w:t>(1)</w:t>
      </w:r>
      <w:r w:rsidRPr="00376E5A">
        <w:rPr>
          <w:rFonts w:cs="Arial"/>
        </w:rPr>
        <w:tab/>
        <w:t xml:space="preserve">This electricity pricing order regulates the retail prices (inclusive of GST) </w:t>
      </w:r>
      <w:r>
        <w:rPr>
          <w:rFonts w:cs="Arial"/>
        </w:rPr>
        <w:t>a</w:t>
      </w:r>
      <w:r w:rsidRPr="00376E5A">
        <w:rPr>
          <w:rFonts w:cs="Arial"/>
        </w:rPr>
        <w:t xml:space="preserve"> </w:t>
      </w:r>
      <w:r>
        <w:rPr>
          <w:rFonts w:cs="Arial"/>
        </w:rPr>
        <w:t>billing entity</w:t>
      </w:r>
      <w:r w:rsidRPr="00376E5A">
        <w:rPr>
          <w:rFonts w:cs="Arial"/>
        </w:rPr>
        <w:t xml:space="preserve"> may charge prescribed customers for the sale of electricity, and for the provision of related services, during the pricing</w:t>
      </w:r>
      <w:r>
        <w:rPr>
          <w:rFonts w:cs="Arial"/>
        </w:rPr>
        <w:t xml:space="preserve"> period.</w:t>
      </w:r>
    </w:p>
    <w:p w:rsidR="00515A51" w:rsidRPr="00376E5A" w:rsidRDefault="00515A51" w:rsidP="00515A51">
      <w:pPr>
        <w:keepNext/>
        <w:tabs>
          <w:tab w:val="left" w:pos="-720"/>
        </w:tabs>
        <w:spacing w:after="120"/>
        <w:ind w:left="720" w:hanging="720"/>
        <w:jc w:val="both"/>
        <w:rPr>
          <w:rFonts w:cs="Arial"/>
        </w:rPr>
      </w:pPr>
      <w:r w:rsidRPr="00376E5A">
        <w:rPr>
          <w:rFonts w:cs="Arial"/>
        </w:rPr>
        <w:t>(2)</w:t>
      </w:r>
      <w:r w:rsidRPr="00376E5A">
        <w:rPr>
          <w:rFonts w:cs="Arial"/>
        </w:rPr>
        <w:tab/>
        <w:t xml:space="preserve">For </w:t>
      </w:r>
      <w:proofErr w:type="spellStart"/>
      <w:r w:rsidRPr="00376E5A">
        <w:rPr>
          <w:rFonts w:cs="Arial"/>
        </w:rPr>
        <w:t>subclause</w:t>
      </w:r>
      <w:proofErr w:type="spellEnd"/>
      <w:r w:rsidRPr="00376E5A">
        <w:rPr>
          <w:rFonts w:cs="Arial"/>
        </w:rPr>
        <w:t xml:space="preserve"> (1):</w:t>
      </w:r>
    </w:p>
    <w:p w:rsidR="00515A51" w:rsidRPr="00376E5A" w:rsidRDefault="00515A51" w:rsidP="00515A51">
      <w:pPr>
        <w:tabs>
          <w:tab w:val="left" w:pos="-720"/>
        </w:tabs>
        <w:spacing w:after="120"/>
        <w:ind w:left="1440" w:hanging="731"/>
        <w:jc w:val="both"/>
        <w:rPr>
          <w:rFonts w:cs="Arial"/>
        </w:rPr>
      </w:pPr>
      <w:r w:rsidRPr="00376E5A">
        <w:t>(a)</w:t>
      </w:r>
      <w:r w:rsidRPr="00376E5A">
        <w:tab/>
        <w:t xml:space="preserve">related services are the </w:t>
      </w:r>
      <w:r w:rsidRPr="00376E5A">
        <w:rPr>
          <w:rFonts w:cs="Arial"/>
        </w:rPr>
        <w:t xml:space="preserve">services the </w:t>
      </w:r>
      <w:r>
        <w:rPr>
          <w:rFonts w:cs="Arial"/>
        </w:rPr>
        <w:t>billing entity</w:t>
      </w:r>
      <w:r w:rsidRPr="00376E5A">
        <w:rPr>
          <w:rFonts w:cs="Arial"/>
        </w:rPr>
        <w:t xml:space="preserve"> provides to prescribed customers that are ancillary to supplying electricity to the customers; and</w:t>
      </w:r>
    </w:p>
    <w:p w:rsidR="00515A51" w:rsidRDefault="00515A51" w:rsidP="00515A51">
      <w:pPr>
        <w:tabs>
          <w:tab w:val="left" w:pos="-720"/>
        </w:tabs>
        <w:spacing w:after="240"/>
        <w:ind w:left="1440" w:hanging="731"/>
        <w:jc w:val="both"/>
        <w:rPr>
          <w:rFonts w:cs="Arial"/>
        </w:rPr>
      </w:pPr>
      <w:r w:rsidRPr="00376E5A">
        <w:rPr>
          <w:rFonts w:cs="Arial"/>
        </w:rPr>
        <w:t>(b)</w:t>
      </w:r>
      <w:r w:rsidRPr="00376E5A">
        <w:rPr>
          <w:rFonts w:cs="Arial"/>
        </w:rPr>
        <w:tab/>
        <w:t xml:space="preserve">the </w:t>
      </w:r>
      <w:r>
        <w:rPr>
          <w:rFonts w:cs="Arial"/>
        </w:rPr>
        <w:t>billing entity</w:t>
      </w:r>
      <w:r w:rsidRPr="00376E5A">
        <w:rPr>
          <w:rFonts w:cs="Arial"/>
        </w:rPr>
        <w:t xml:space="preserve"> may charge retail prices for related services that are fair and reasonable taking into consideration the costs of supplying the electricity.</w:t>
      </w:r>
    </w:p>
    <w:p w:rsidR="00515A51" w:rsidRPr="00186DEB" w:rsidRDefault="00515A51" w:rsidP="00515A51">
      <w:pPr>
        <w:tabs>
          <w:tab w:val="left" w:pos="-720"/>
        </w:tabs>
        <w:spacing w:before="120" w:after="120"/>
        <w:rPr>
          <w:rFonts w:cs="Arial"/>
          <w:b/>
          <w:spacing w:val="-3"/>
        </w:rPr>
      </w:pPr>
      <w:r w:rsidRPr="00A25D53">
        <w:rPr>
          <w:b/>
          <w:caps/>
        </w:rPr>
        <w:t>Part</w:t>
      </w:r>
      <w:r>
        <w:rPr>
          <w:rFonts w:cs="Arial"/>
          <w:b/>
          <w:spacing w:val="-3"/>
        </w:rPr>
        <w:t xml:space="preserve"> 2 – </w:t>
      </w:r>
      <w:r w:rsidRPr="00A25D53">
        <w:rPr>
          <w:b/>
          <w:caps/>
        </w:rPr>
        <w:t>General</w:t>
      </w:r>
      <w:r>
        <w:rPr>
          <w:b/>
        </w:rPr>
        <w:t xml:space="preserve"> </w:t>
      </w:r>
      <w:r w:rsidRPr="00A25D53">
        <w:rPr>
          <w:b/>
          <w:caps/>
        </w:rPr>
        <w:t>Supply</w:t>
      </w:r>
    </w:p>
    <w:p w:rsidR="00515A51" w:rsidRDefault="00515A51" w:rsidP="00515A51">
      <w:pPr>
        <w:keepNext/>
        <w:spacing w:before="240" w:after="120"/>
        <w:jc w:val="both"/>
        <w:rPr>
          <w:rFonts w:cs="Arial"/>
          <w:b/>
        </w:rPr>
      </w:pPr>
      <w:r>
        <w:rPr>
          <w:rFonts w:cs="Arial"/>
          <w:b/>
        </w:rPr>
        <w:t>3</w:t>
      </w:r>
      <w:r w:rsidRPr="00891260">
        <w:rPr>
          <w:rFonts w:cs="Arial"/>
          <w:b/>
        </w:rPr>
        <w:tab/>
      </w:r>
      <w:r>
        <w:rPr>
          <w:rFonts w:cs="Arial"/>
          <w:b/>
        </w:rPr>
        <w:t>Application of Part</w:t>
      </w:r>
    </w:p>
    <w:p w:rsidR="00515A51" w:rsidRPr="004227B5" w:rsidRDefault="00515A51" w:rsidP="00515A51">
      <w:pPr>
        <w:keepNext/>
        <w:spacing w:before="240" w:after="120"/>
        <w:jc w:val="both"/>
        <w:rPr>
          <w:rFonts w:cs="Arial"/>
        </w:rPr>
      </w:pPr>
      <w:r w:rsidRPr="004227B5">
        <w:rPr>
          <w:rFonts w:cs="Arial"/>
        </w:rPr>
        <w:t>(1)</w:t>
      </w:r>
      <w:r w:rsidRPr="004227B5">
        <w:rPr>
          <w:rFonts w:cs="Arial"/>
        </w:rPr>
        <w:tab/>
        <w:t xml:space="preserve">This </w:t>
      </w:r>
      <w:r>
        <w:rPr>
          <w:rFonts w:cs="Arial"/>
        </w:rPr>
        <w:t>Part applies in relation to the following prescribed customers:</w:t>
      </w:r>
    </w:p>
    <w:p w:rsidR="00515A51" w:rsidRDefault="00515A51" w:rsidP="00515A51">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Arial"/>
        </w:rPr>
      </w:pPr>
      <w:r>
        <w:rPr>
          <w:rFonts w:cs="Arial"/>
        </w:rPr>
        <w:t>(a)</w:t>
      </w:r>
      <w:r>
        <w:rPr>
          <w:rFonts w:cs="Arial"/>
        </w:rPr>
        <w:tab/>
        <w:t>commercial – standard tariff customers</w:t>
      </w:r>
      <w:r w:rsidRPr="00891260">
        <w:rPr>
          <w:rFonts w:cs="Arial"/>
        </w:rPr>
        <w:t>;</w:t>
      </w:r>
    </w:p>
    <w:p w:rsidR="00515A51" w:rsidRPr="00891260" w:rsidRDefault="00515A51" w:rsidP="00515A51">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Arial"/>
        </w:rPr>
      </w:pPr>
      <w:r>
        <w:rPr>
          <w:rFonts w:cs="Arial"/>
        </w:rPr>
        <w:lastRenderedPageBreak/>
        <w:t>(b)</w:t>
      </w:r>
      <w:r>
        <w:rPr>
          <w:rFonts w:cs="Arial"/>
        </w:rPr>
        <w:tab/>
      </w:r>
      <w:r w:rsidRPr="00891260">
        <w:rPr>
          <w:rFonts w:cs="Arial"/>
        </w:rPr>
        <w:t>commerci</w:t>
      </w:r>
      <w:r>
        <w:rPr>
          <w:rFonts w:cs="Arial"/>
        </w:rPr>
        <w:t>al – time of use tariff customers</w:t>
      </w:r>
      <w:r w:rsidRPr="00891260">
        <w:rPr>
          <w:rFonts w:cs="Arial"/>
        </w:rPr>
        <w:t>;</w:t>
      </w:r>
    </w:p>
    <w:p w:rsidR="00515A51" w:rsidRPr="00891260" w:rsidRDefault="00515A51" w:rsidP="00515A51">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Arial"/>
        </w:rPr>
      </w:pPr>
      <w:r>
        <w:rPr>
          <w:rFonts w:cs="Arial"/>
        </w:rPr>
        <w:t>(c)</w:t>
      </w:r>
      <w:r>
        <w:rPr>
          <w:rFonts w:cs="Arial"/>
        </w:rPr>
        <w:tab/>
        <w:t>caravan park resident tariff customers</w:t>
      </w:r>
      <w:r w:rsidRPr="00891260">
        <w:rPr>
          <w:rFonts w:cs="Arial"/>
        </w:rPr>
        <w:t>;</w:t>
      </w:r>
    </w:p>
    <w:p w:rsidR="00515A51" w:rsidRPr="00891260" w:rsidRDefault="00515A51" w:rsidP="00515A51">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Arial"/>
        </w:rPr>
      </w:pPr>
      <w:r>
        <w:rPr>
          <w:rFonts w:cs="Arial"/>
        </w:rPr>
        <w:t>(d)</w:t>
      </w:r>
      <w:r>
        <w:rPr>
          <w:rFonts w:cs="Arial"/>
        </w:rPr>
        <w:tab/>
      </w:r>
      <w:r w:rsidRPr="00891260">
        <w:rPr>
          <w:rFonts w:cs="Arial"/>
        </w:rPr>
        <w:t>dome</w:t>
      </w:r>
      <w:r>
        <w:rPr>
          <w:rFonts w:cs="Arial"/>
        </w:rPr>
        <w:t>stic – pre-payment meter tariff customers</w:t>
      </w:r>
      <w:r w:rsidRPr="00891260">
        <w:rPr>
          <w:rFonts w:cs="Arial"/>
        </w:rPr>
        <w:t>;</w:t>
      </w:r>
    </w:p>
    <w:p w:rsidR="00515A51" w:rsidRPr="00891260" w:rsidRDefault="00515A51" w:rsidP="00515A51">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Arial"/>
        </w:rPr>
      </w:pPr>
      <w:r>
        <w:rPr>
          <w:rFonts w:cs="Arial"/>
        </w:rPr>
        <w:t>(e)</w:t>
      </w:r>
      <w:r>
        <w:rPr>
          <w:rFonts w:cs="Arial"/>
        </w:rPr>
        <w:tab/>
      </w:r>
      <w:r w:rsidRPr="00891260">
        <w:rPr>
          <w:rFonts w:cs="Arial"/>
        </w:rPr>
        <w:t xml:space="preserve">domestic – standard tariff </w:t>
      </w:r>
      <w:r>
        <w:rPr>
          <w:rFonts w:cs="Arial"/>
        </w:rPr>
        <w:t>customers</w:t>
      </w:r>
      <w:r w:rsidRPr="00891260">
        <w:rPr>
          <w:rFonts w:cs="Arial"/>
        </w:rPr>
        <w:t>;</w:t>
      </w:r>
    </w:p>
    <w:p w:rsidR="00515A51" w:rsidRDefault="00515A51" w:rsidP="00515A51">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Arial"/>
        </w:rPr>
      </w:pPr>
      <w:r>
        <w:rPr>
          <w:rFonts w:cs="Arial"/>
        </w:rPr>
        <w:t>(f)</w:t>
      </w:r>
      <w:r>
        <w:rPr>
          <w:rFonts w:cs="Arial"/>
        </w:rPr>
        <w:tab/>
        <w:t>domestic – time of use tariff customers;</w:t>
      </w:r>
    </w:p>
    <w:p w:rsidR="00515A51" w:rsidRPr="007F5D4F" w:rsidRDefault="00515A51" w:rsidP="00515A51">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Arial"/>
        </w:rPr>
      </w:pPr>
      <w:r w:rsidRPr="007F5D4F">
        <w:rPr>
          <w:rFonts w:cs="Arial"/>
        </w:rPr>
        <w:t>(g)</w:t>
      </w:r>
      <w:r w:rsidRPr="007F5D4F">
        <w:rPr>
          <w:rFonts w:cs="Arial"/>
        </w:rPr>
        <w:tab/>
        <w:t>multipurpose tariff customers;</w:t>
      </w:r>
    </w:p>
    <w:p w:rsidR="00515A51" w:rsidRDefault="00515A51" w:rsidP="00515A51">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Arial"/>
        </w:rPr>
      </w:pPr>
      <w:r w:rsidRPr="007F5D4F">
        <w:rPr>
          <w:rFonts w:cs="Arial"/>
        </w:rPr>
        <w:t>(h)</w:t>
      </w:r>
      <w:r w:rsidRPr="007F5D4F">
        <w:rPr>
          <w:rFonts w:cs="Arial"/>
        </w:rPr>
        <w:tab/>
        <w:t>public benevolent institution (</w:t>
      </w:r>
      <w:proofErr w:type="spellStart"/>
      <w:r w:rsidRPr="007F5D4F">
        <w:rPr>
          <w:rFonts w:cs="Arial"/>
        </w:rPr>
        <w:t>PBI</w:t>
      </w:r>
      <w:proofErr w:type="spellEnd"/>
      <w:r w:rsidRPr="007F5D4F">
        <w:rPr>
          <w:rFonts w:cs="Arial"/>
        </w:rPr>
        <w:t>) tariff customers.</w:t>
      </w:r>
    </w:p>
    <w:p w:rsidR="00515A51" w:rsidRDefault="00515A51" w:rsidP="00515A51">
      <w:pPr>
        <w:tabs>
          <w:tab w:val="left" w:pos="-720"/>
        </w:tabs>
        <w:spacing w:before="240" w:after="120"/>
        <w:ind w:left="720" w:hanging="720"/>
        <w:jc w:val="both"/>
        <w:rPr>
          <w:rFonts w:cs="Arial"/>
        </w:rPr>
      </w:pPr>
      <w:r>
        <w:rPr>
          <w:rFonts w:cs="Arial"/>
        </w:rPr>
        <w:t>(2</w:t>
      </w:r>
      <w:r w:rsidRPr="007F5D4F">
        <w:rPr>
          <w:rFonts w:cs="Arial"/>
        </w:rPr>
        <w:t>)</w:t>
      </w:r>
      <w:r w:rsidRPr="007F5D4F">
        <w:rPr>
          <w:rFonts w:cs="Arial"/>
        </w:rPr>
        <w:tab/>
        <w:t xml:space="preserve">The </w:t>
      </w:r>
      <w:r>
        <w:rPr>
          <w:rFonts w:cs="Arial"/>
        </w:rPr>
        <w:t>billing entity</w:t>
      </w:r>
      <w:r w:rsidRPr="007F5D4F">
        <w:rPr>
          <w:rFonts w:cs="Arial"/>
        </w:rPr>
        <w:t xml:space="preserve"> must ensure that the retail prices it charges under </w:t>
      </w:r>
      <w:r>
        <w:rPr>
          <w:rFonts w:cs="Arial"/>
        </w:rPr>
        <w:t xml:space="preserve">this Part distinguish between the prescribed customers mentioned in </w:t>
      </w:r>
      <w:proofErr w:type="spellStart"/>
      <w:r>
        <w:rPr>
          <w:rFonts w:cs="Arial"/>
        </w:rPr>
        <w:t>subclause</w:t>
      </w:r>
      <w:proofErr w:type="spellEnd"/>
      <w:r>
        <w:rPr>
          <w:rFonts w:cs="Arial"/>
        </w:rPr>
        <w:t> (1).</w:t>
      </w:r>
    </w:p>
    <w:p w:rsidR="00515A51" w:rsidRPr="00891260" w:rsidRDefault="00515A51" w:rsidP="00515A51">
      <w:pPr>
        <w:keepNext/>
        <w:spacing w:before="240" w:after="120"/>
        <w:jc w:val="both"/>
        <w:rPr>
          <w:rFonts w:cs="Arial"/>
          <w:b/>
        </w:rPr>
      </w:pPr>
      <w:r>
        <w:rPr>
          <w:rFonts w:cs="Arial"/>
          <w:b/>
        </w:rPr>
        <w:t>4</w:t>
      </w:r>
      <w:r w:rsidRPr="00891260">
        <w:rPr>
          <w:rFonts w:cs="Arial"/>
          <w:b/>
        </w:rPr>
        <w:tab/>
      </w:r>
      <w:r>
        <w:rPr>
          <w:rFonts w:cs="Arial"/>
          <w:b/>
        </w:rPr>
        <w:t>Fixed daily charges for supply of electricity</w:t>
      </w:r>
    </w:p>
    <w:p w:rsidR="00515A51" w:rsidRDefault="00515A51" w:rsidP="00515A51">
      <w:pPr>
        <w:spacing w:after="120"/>
        <w:ind w:left="720" w:hanging="720"/>
        <w:jc w:val="both"/>
        <w:rPr>
          <w:rFonts w:cs="Arial"/>
        </w:rPr>
      </w:pPr>
      <w:r>
        <w:rPr>
          <w:rFonts w:cs="Arial"/>
        </w:rPr>
        <w:tab/>
        <w:t>A prescribed customer specified in the following table may be charged for the supply of electricity a fixed daily charge not exceeding the amount specified opposite the customer.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552"/>
      </w:tblGrid>
      <w:tr w:rsidR="00515A51" w:rsidRPr="00A13F78" w:rsidTr="00206848">
        <w:tc>
          <w:tcPr>
            <w:tcW w:w="4961" w:type="dxa"/>
          </w:tcPr>
          <w:p w:rsidR="00515A51" w:rsidRPr="008E62E6" w:rsidRDefault="00515A51" w:rsidP="00206848">
            <w:pPr>
              <w:spacing w:before="40" w:after="40"/>
              <w:jc w:val="center"/>
              <w:rPr>
                <w:rFonts w:ascii="Arial" w:hAnsi="Arial" w:cs="Arial"/>
                <w:sz w:val="20"/>
                <w:szCs w:val="20"/>
              </w:rPr>
            </w:pPr>
            <w:r w:rsidRPr="00C76272">
              <w:rPr>
                <w:rFonts w:ascii="Arial" w:hAnsi="Arial" w:cs="Arial"/>
                <w:b/>
                <w:sz w:val="20"/>
                <w:szCs w:val="20"/>
              </w:rPr>
              <w:t>Prescribed Customer</w:t>
            </w:r>
          </w:p>
        </w:tc>
        <w:tc>
          <w:tcPr>
            <w:tcW w:w="2552" w:type="dxa"/>
          </w:tcPr>
          <w:p w:rsidR="00515A51" w:rsidRPr="00C75335" w:rsidRDefault="00515A51" w:rsidP="00206848">
            <w:pPr>
              <w:spacing w:before="40" w:after="40"/>
              <w:jc w:val="center"/>
              <w:rPr>
                <w:rFonts w:ascii="Arial" w:hAnsi="Arial" w:cs="Arial"/>
                <w:b/>
                <w:sz w:val="20"/>
                <w:szCs w:val="20"/>
              </w:rPr>
            </w:pPr>
            <w:r w:rsidRPr="00C75335">
              <w:rPr>
                <w:rFonts w:ascii="Arial" w:hAnsi="Arial" w:cs="Arial"/>
                <w:b/>
                <w:sz w:val="20"/>
                <w:szCs w:val="20"/>
              </w:rPr>
              <w:t>Fixed Daily Charge ($)</w:t>
            </w:r>
          </w:p>
        </w:tc>
      </w:tr>
      <w:tr w:rsidR="00515A51" w:rsidRPr="00A13F78" w:rsidTr="00206848">
        <w:tc>
          <w:tcPr>
            <w:tcW w:w="4961" w:type="dxa"/>
          </w:tcPr>
          <w:p w:rsidR="00515A51" w:rsidRPr="008E62E6" w:rsidRDefault="00515A51" w:rsidP="00206848">
            <w:pPr>
              <w:spacing w:before="40" w:after="40"/>
              <w:jc w:val="both"/>
              <w:rPr>
                <w:rFonts w:ascii="Arial" w:hAnsi="Arial" w:cs="Arial"/>
                <w:sz w:val="20"/>
                <w:szCs w:val="20"/>
              </w:rPr>
            </w:pPr>
            <w:r w:rsidRPr="008E62E6">
              <w:rPr>
                <w:rFonts w:ascii="Arial" w:hAnsi="Arial" w:cs="Arial"/>
                <w:sz w:val="20"/>
                <w:szCs w:val="20"/>
              </w:rPr>
              <w:t>Commercial – standard tariff</w:t>
            </w:r>
          </w:p>
        </w:tc>
        <w:tc>
          <w:tcPr>
            <w:tcW w:w="2552" w:type="dxa"/>
          </w:tcPr>
          <w:p w:rsidR="00515A51" w:rsidRPr="008E62E6" w:rsidRDefault="00515A51" w:rsidP="00206848">
            <w:pPr>
              <w:spacing w:before="40" w:after="40"/>
              <w:jc w:val="center"/>
              <w:rPr>
                <w:rFonts w:ascii="Arial" w:hAnsi="Arial" w:cs="Arial"/>
                <w:sz w:val="20"/>
                <w:szCs w:val="20"/>
              </w:rPr>
            </w:pPr>
            <w:r>
              <w:rPr>
                <w:rFonts w:ascii="Arial" w:hAnsi="Arial" w:cs="Arial"/>
                <w:sz w:val="20"/>
                <w:szCs w:val="20"/>
              </w:rPr>
              <w:t>0.7862</w:t>
            </w:r>
          </w:p>
        </w:tc>
      </w:tr>
      <w:tr w:rsidR="00515A51" w:rsidRPr="00A13F78" w:rsidTr="00206848">
        <w:trPr>
          <w:trHeight w:val="229"/>
        </w:trPr>
        <w:tc>
          <w:tcPr>
            <w:tcW w:w="4961" w:type="dxa"/>
          </w:tcPr>
          <w:p w:rsidR="00515A51" w:rsidRPr="008E62E6" w:rsidRDefault="00515A51" w:rsidP="00206848">
            <w:pPr>
              <w:spacing w:before="40" w:after="40"/>
              <w:jc w:val="both"/>
              <w:rPr>
                <w:rFonts w:ascii="Arial" w:hAnsi="Arial" w:cs="Arial"/>
                <w:sz w:val="20"/>
                <w:szCs w:val="20"/>
              </w:rPr>
            </w:pPr>
            <w:r w:rsidRPr="008E62E6">
              <w:rPr>
                <w:rFonts w:ascii="Arial" w:hAnsi="Arial" w:cs="Arial"/>
                <w:sz w:val="20"/>
                <w:szCs w:val="20"/>
              </w:rPr>
              <w:t>Commercial – time of use tariff</w:t>
            </w:r>
          </w:p>
        </w:tc>
        <w:tc>
          <w:tcPr>
            <w:tcW w:w="2552" w:type="dxa"/>
          </w:tcPr>
          <w:p w:rsidR="00515A51" w:rsidRPr="008E62E6" w:rsidRDefault="00515A51" w:rsidP="00206848">
            <w:pPr>
              <w:spacing w:before="40" w:after="40"/>
              <w:jc w:val="center"/>
              <w:rPr>
                <w:rFonts w:ascii="Arial" w:hAnsi="Arial" w:cs="Arial"/>
                <w:sz w:val="20"/>
                <w:szCs w:val="20"/>
              </w:rPr>
            </w:pPr>
            <w:r>
              <w:rPr>
                <w:rFonts w:ascii="Arial" w:hAnsi="Arial" w:cs="Arial"/>
                <w:sz w:val="20"/>
                <w:szCs w:val="20"/>
              </w:rPr>
              <w:t>0.7862</w:t>
            </w:r>
          </w:p>
        </w:tc>
      </w:tr>
      <w:tr w:rsidR="00515A51" w:rsidRPr="00A13F78" w:rsidTr="00206848">
        <w:tc>
          <w:tcPr>
            <w:tcW w:w="4961" w:type="dxa"/>
          </w:tcPr>
          <w:p w:rsidR="00515A51" w:rsidRPr="008E62E6" w:rsidRDefault="00515A51" w:rsidP="00206848">
            <w:pPr>
              <w:spacing w:before="40" w:after="40"/>
              <w:jc w:val="both"/>
              <w:rPr>
                <w:rFonts w:ascii="Arial" w:hAnsi="Arial" w:cs="Arial"/>
                <w:sz w:val="20"/>
                <w:szCs w:val="20"/>
              </w:rPr>
            </w:pPr>
            <w:r w:rsidRPr="008E62E6">
              <w:rPr>
                <w:rFonts w:ascii="Arial" w:hAnsi="Arial" w:cs="Arial"/>
                <w:sz w:val="20"/>
                <w:szCs w:val="20"/>
              </w:rPr>
              <w:t>Domestic – standard tariff</w:t>
            </w:r>
          </w:p>
        </w:tc>
        <w:tc>
          <w:tcPr>
            <w:tcW w:w="2552" w:type="dxa"/>
          </w:tcPr>
          <w:p w:rsidR="00515A51" w:rsidRPr="008E62E6" w:rsidRDefault="00515A51" w:rsidP="00206848">
            <w:pPr>
              <w:spacing w:before="40" w:after="40"/>
              <w:jc w:val="center"/>
              <w:rPr>
                <w:rFonts w:ascii="Arial" w:hAnsi="Arial" w:cs="Arial"/>
                <w:sz w:val="20"/>
                <w:szCs w:val="20"/>
              </w:rPr>
            </w:pPr>
            <w:r>
              <w:rPr>
                <w:rFonts w:ascii="Arial" w:hAnsi="Arial" w:cs="Arial"/>
                <w:sz w:val="20"/>
                <w:szCs w:val="20"/>
              </w:rPr>
              <w:t>0.5035</w:t>
            </w:r>
          </w:p>
        </w:tc>
      </w:tr>
      <w:tr w:rsidR="00515A51" w:rsidRPr="00A13F78" w:rsidTr="00206848">
        <w:tc>
          <w:tcPr>
            <w:tcW w:w="4961" w:type="dxa"/>
          </w:tcPr>
          <w:p w:rsidR="00515A51" w:rsidRPr="008E62E6" w:rsidRDefault="00515A51" w:rsidP="00206848">
            <w:pPr>
              <w:spacing w:before="40" w:after="40"/>
              <w:jc w:val="both"/>
              <w:rPr>
                <w:rFonts w:ascii="Arial" w:hAnsi="Arial" w:cs="Arial"/>
                <w:sz w:val="20"/>
                <w:szCs w:val="20"/>
              </w:rPr>
            </w:pPr>
            <w:r w:rsidRPr="008E62E6">
              <w:rPr>
                <w:rFonts w:ascii="Arial" w:hAnsi="Arial" w:cs="Arial"/>
                <w:sz w:val="20"/>
                <w:szCs w:val="20"/>
              </w:rPr>
              <w:t>Domestic – time of use tariff</w:t>
            </w:r>
          </w:p>
        </w:tc>
        <w:tc>
          <w:tcPr>
            <w:tcW w:w="2552" w:type="dxa"/>
          </w:tcPr>
          <w:p w:rsidR="00515A51" w:rsidRPr="008E62E6" w:rsidRDefault="00515A51" w:rsidP="00206848">
            <w:pPr>
              <w:spacing w:before="40" w:after="40"/>
              <w:jc w:val="center"/>
              <w:rPr>
                <w:rFonts w:ascii="Arial" w:hAnsi="Arial" w:cs="Arial"/>
                <w:sz w:val="20"/>
                <w:szCs w:val="20"/>
              </w:rPr>
            </w:pPr>
            <w:r>
              <w:rPr>
                <w:rFonts w:ascii="Arial" w:hAnsi="Arial" w:cs="Arial"/>
                <w:sz w:val="20"/>
                <w:szCs w:val="20"/>
              </w:rPr>
              <w:t>0.5035</w:t>
            </w:r>
          </w:p>
        </w:tc>
      </w:tr>
      <w:tr w:rsidR="00515A51" w:rsidRPr="00A13F78" w:rsidTr="00206848">
        <w:tc>
          <w:tcPr>
            <w:tcW w:w="4961" w:type="dxa"/>
          </w:tcPr>
          <w:p w:rsidR="00515A51" w:rsidRPr="00A42BF3" w:rsidRDefault="00515A51" w:rsidP="00206848">
            <w:pPr>
              <w:spacing w:before="40" w:after="40"/>
              <w:jc w:val="both"/>
              <w:rPr>
                <w:rFonts w:ascii="Arial" w:hAnsi="Arial" w:cs="Arial"/>
                <w:sz w:val="20"/>
                <w:szCs w:val="20"/>
              </w:rPr>
            </w:pPr>
            <w:r w:rsidRPr="00A42BF3">
              <w:rPr>
                <w:rFonts w:ascii="Arial" w:hAnsi="Arial" w:cs="Arial"/>
                <w:sz w:val="20"/>
                <w:szCs w:val="20"/>
              </w:rPr>
              <w:t>Multipurpose tariff</w:t>
            </w:r>
          </w:p>
        </w:tc>
        <w:tc>
          <w:tcPr>
            <w:tcW w:w="2552" w:type="dxa"/>
          </w:tcPr>
          <w:p w:rsidR="00515A51" w:rsidRDefault="00515A51" w:rsidP="00206848">
            <w:pPr>
              <w:spacing w:before="40" w:after="40"/>
              <w:jc w:val="center"/>
              <w:rPr>
                <w:rFonts w:ascii="Arial" w:hAnsi="Arial" w:cs="Arial"/>
                <w:sz w:val="20"/>
                <w:szCs w:val="20"/>
              </w:rPr>
            </w:pPr>
            <w:r>
              <w:rPr>
                <w:rFonts w:ascii="Arial" w:hAnsi="Arial" w:cs="Arial"/>
                <w:sz w:val="20"/>
                <w:szCs w:val="20"/>
              </w:rPr>
              <w:t>0.5035</w:t>
            </w:r>
          </w:p>
        </w:tc>
      </w:tr>
      <w:tr w:rsidR="00515A51" w:rsidRPr="00A13F78" w:rsidTr="00206848">
        <w:tc>
          <w:tcPr>
            <w:tcW w:w="4961" w:type="dxa"/>
          </w:tcPr>
          <w:p w:rsidR="00515A51" w:rsidRPr="00A42BF3" w:rsidRDefault="00515A51" w:rsidP="00206848">
            <w:pPr>
              <w:spacing w:before="40" w:after="40"/>
              <w:jc w:val="both"/>
              <w:rPr>
                <w:rFonts w:ascii="Arial" w:hAnsi="Arial" w:cs="Arial"/>
                <w:sz w:val="20"/>
                <w:szCs w:val="20"/>
              </w:rPr>
            </w:pPr>
            <w:r w:rsidRPr="00A42BF3">
              <w:rPr>
                <w:rFonts w:ascii="Arial" w:hAnsi="Arial" w:cs="Arial"/>
                <w:sz w:val="20"/>
                <w:szCs w:val="20"/>
              </w:rPr>
              <w:t xml:space="preserve">Public benevolent </w:t>
            </w:r>
            <w:r>
              <w:rPr>
                <w:rFonts w:ascii="Arial" w:hAnsi="Arial" w:cs="Arial"/>
                <w:sz w:val="20"/>
                <w:szCs w:val="20"/>
              </w:rPr>
              <w:t xml:space="preserve">institution </w:t>
            </w:r>
            <w:r w:rsidRPr="00A42BF3">
              <w:rPr>
                <w:rFonts w:ascii="Arial" w:hAnsi="Arial" w:cs="Arial"/>
                <w:sz w:val="20"/>
                <w:szCs w:val="20"/>
              </w:rPr>
              <w:t>(</w:t>
            </w:r>
            <w:proofErr w:type="spellStart"/>
            <w:r w:rsidRPr="00A42BF3">
              <w:rPr>
                <w:rFonts w:ascii="Arial" w:hAnsi="Arial" w:cs="Arial"/>
                <w:sz w:val="20"/>
                <w:szCs w:val="20"/>
              </w:rPr>
              <w:t>PBI</w:t>
            </w:r>
            <w:proofErr w:type="spellEnd"/>
            <w:r w:rsidRPr="00A42BF3">
              <w:rPr>
                <w:rFonts w:ascii="Arial" w:hAnsi="Arial" w:cs="Arial"/>
                <w:sz w:val="20"/>
                <w:szCs w:val="20"/>
              </w:rPr>
              <w:t>) tariff</w:t>
            </w:r>
          </w:p>
        </w:tc>
        <w:tc>
          <w:tcPr>
            <w:tcW w:w="2552" w:type="dxa"/>
          </w:tcPr>
          <w:p w:rsidR="00515A51" w:rsidRDefault="00515A51" w:rsidP="00206848">
            <w:pPr>
              <w:spacing w:before="40" w:after="40"/>
              <w:jc w:val="center"/>
              <w:rPr>
                <w:rFonts w:ascii="Arial" w:hAnsi="Arial" w:cs="Arial"/>
                <w:sz w:val="20"/>
                <w:szCs w:val="20"/>
              </w:rPr>
            </w:pPr>
            <w:r>
              <w:rPr>
                <w:rFonts w:ascii="Arial" w:hAnsi="Arial" w:cs="Arial"/>
                <w:sz w:val="20"/>
                <w:szCs w:val="20"/>
              </w:rPr>
              <w:t>0.6143</w:t>
            </w:r>
          </w:p>
        </w:tc>
      </w:tr>
    </w:tbl>
    <w:p w:rsidR="00515A51" w:rsidRPr="00B31DE6" w:rsidRDefault="00515A51" w:rsidP="00874553">
      <w:pPr>
        <w:spacing w:before="240" w:after="120"/>
        <w:jc w:val="both"/>
        <w:rPr>
          <w:rFonts w:cs="Arial"/>
        </w:rPr>
      </w:pPr>
      <w:r>
        <w:rPr>
          <w:rFonts w:cs="Arial"/>
          <w:b/>
        </w:rPr>
        <w:t>5</w:t>
      </w:r>
      <w:r w:rsidRPr="00891260">
        <w:rPr>
          <w:rFonts w:cs="Arial"/>
          <w:b/>
        </w:rPr>
        <w:tab/>
      </w:r>
      <w:r>
        <w:rPr>
          <w:rFonts w:cs="Arial"/>
          <w:b/>
        </w:rPr>
        <w:t>Charges for consumption of electricity</w:t>
      </w:r>
    </w:p>
    <w:p w:rsidR="00515A51" w:rsidRDefault="00515A51" w:rsidP="00515A51">
      <w:pPr>
        <w:keepNext/>
        <w:spacing w:after="120"/>
        <w:ind w:left="720" w:hanging="720"/>
        <w:jc w:val="both"/>
        <w:rPr>
          <w:rFonts w:cs="Arial"/>
        </w:rPr>
      </w:pPr>
      <w:r>
        <w:rPr>
          <w:rFonts w:cs="Arial"/>
        </w:rPr>
        <w:tab/>
        <w:t xml:space="preserve">A prescribed customer specified in the following table may be charged </w:t>
      </w:r>
      <w:r w:rsidRPr="003302ED">
        <w:rPr>
          <w:rFonts w:cs="Arial"/>
        </w:rPr>
        <w:t>for the consumption of electricity</w:t>
      </w:r>
      <w:r>
        <w:rPr>
          <w:rFonts w:cs="Arial"/>
        </w:rPr>
        <w:t xml:space="preserve"> an amount per kWh </w:t>
      </w:r>
      <w:r w:rsidRPr="006B34C2">
        <w:rPr>
          <w:rFonts w:cs="Arial"/>
        </w:rPr>
        <w:t>that does not exceed the amount specified</w:t>
      </w:r>
      <w:r w:rsidRPr="002415E3">
        <w:rPr>
          <w:rFonts w:cs="Arial"/>
        </w:rPr>
        <w:t xml:space="preserve"> </w:t>
      </w:r>
      <w:r>
        <w:rPr>
          <w:rFonts w:cs="Arial"/>
        </w:rPr>
        <w:t>opposite the customer</w:t>
      </w:r>
      <w:r w:rsidRPr="0050179E">
        <w:rPr>
          <w:rFonts w:cs="Arial"/>
        </w:rPr>
        <w:t>.</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686"/>
      </w:tblGrid>
      <w:tr w:rsidR="00515A51" w:rsidRPr="00A13F78" w:rsidTr="00206848">
        <w:tc>
          <w:tcPr>
            <w:tcW w:w="3827" w:type="dxa"/>
          </w:tcPr>
          <w:p w:rsidR="00515A51" w:rsidRPr="008E62E6" w:rsidRDefault="00515A51" w:rsidP="00206848">
            <w:pPr>
              <w:spacing w:before="40" w:after="40"/>
              <w:jc w:val="center"/>
              <w:rPr>
                <w:rFonts w:ascii="Arial" w:hAnsi="Arial" w:cs="Arial"/>
                <w:sz w:val="20"/>
                <w:szCs w:val="20"/>
              </w:rPr>
            </w:pPr>
            <w:r w:rsidRPr="00565D6A">
              <w:rPr>
                <w:rFonts w:ascii="Arial" w:hAnsi="Arial" w:cs="Arial"/>
                <w:b/>
                <w:sz w:val="20"/>
                <w:szCs w:val="20"/>
              </w:rPr>
              <w:t>Prescribed Customer</w:t>
            </w:r>
          </w:p>
        </w:tc>
        <w:tc>
          <w:tcPr>
            <w:tcW w:w="3686" w:type="dxa"/>
          </w:tcPr>
          <w:p w:rsidR="00515A51" w:rsidRPr="00AE22A2" w:rsidRDefault="00515A51" w:rsidP="00206848">
            <w:pPr>
              <w:spacing w:before="40" w:after="40"/>
              <w:jc w:val="center"/>
              <w:rPr>
                <w:rFonts w:ascii="Arial" w:hAnsi="Arial" w:cs="Arial"/>
                <w:b/>
                <w:sz w:val="20"/>
                <w:szCs w:val="20"/>
              </w:rPr>
            </w:pPr>
            <w:r>
              <w:rPr>
                <w:rFonts w:ascii="Arial" w:hAnsi="Arial" w:cs="Arial"/>
                <w:b/>
                <w:sz w:val="20"/>
                <w:szCs w:val="20"/>
              </w:rPr>
              <w:t>Charge (cents/kW</w:t>
            </w:r>
            <w:r w:rsidRPr="00AE22A2">
              <w:rPr>
                <w:rFonts w:ascii="Arial" w:hAnsi="Arial" w:cs="Arial"/>
                <w:b/>
                <w:sz w:val="20"/>
                <w:szCs w:val="20"/>
              </w:rPr>
              <w:t>h)</w:t>
            </w:r>
          </w:p>
        </w:tc>
      </w:tr>
      <w:tr w:rsidR="00515A51" w:rsidRPr="00A13F78" w:rsidTr="00206848">
        <w:tc>
          <w:tcPr>
            <w:tcW w:w="3827" w:type="dxa"/>
          </w:tcPr>
          <w:p w:rsidR="00515A51" w:rsidRPr="008E62E6" w:rsidRDefault="00515A51" w:rsidP="00206848">
            <w:pPr>
              <w:spacing w:before="40" w:after="40"/>
              <w:jc w:val="both"/>
              <w:rPr>
                <w:rFonts w:ascii="Arial" w:hAnsi="Arial" w:cs="Arial"/>
                <w:sz w:val="20"/>
                <w:szCs w:val="20"/>
              </w:rPr>
            </w:pPr>
            <w:r w:rsidRPr="008E62E6">
              <w:rPr>
                <w:rFonts w:ascii="Arial" w:hAnsi="Arial" w:cs="Arial"/>
                <w:sz w:val="20"/>
                <w:szCs w:val="20"/>
              </w:rPr>
              <w:t>Commercial – standard tariff</w:t>
            </w:r>
          </w:p>
        </w:tc>
        <w:tc>
          <w:tcPr>
            <w:tcW w:w="3686" w:type="dxa"/>
          </w:tcPr>
          <w:p w:rsidR="00515A51" w:rsidRPr="008E62E6" w:rsidRDefault="00515A51" w:rsidP="00206848">
            <w:pPr>
              <w:spacing w:before="40" w:after="40"/>
              <w:jc w:val="center"/>
              <w:rPr>
                <w:rFonts w:ascii="Arial" w:hAnsi="Arial" w:cs="Arial"/>
                <w:sz w:val="20"/>
                <w:szCs w:val="20"/>
              </w:rPr>
            </w:pPr>
            <w:r>
              <w:rPr>
                <w:rFonts w:ascii="Arial" w:hAnsi="Arial" w:cs="Arial"/>
                <w:sz w:val="20"/>
                <w:szCs w:val="20"/>
              </w:rPr>
              <w:t>29.72</w:t>
            </w:r>
          </w:p>
        </w:tc>
      </w:tr>
      <w:tr w:rsidR="00515A51" w:rsidRPr="00A13F78" w:rsidTr="00206848">
        <w:trPr>
          <w:trHeight w:val="1550"/>
        </w:trPr>
        <w:tc>
          <w:tcPr>
            <w:tcW w:w="3827" w:type="dxa"/>
          </w:tcPr>
          <w:p w:rsidR="00515A51" w:rsidRPr="00917BDD" w:rsidRDefault="00515A51" w:rsidP="00206848">
            <w:pPr>
              <w:spacing w:before="40" w:after="40"/>
              <w:jc w:val="both"/>
              <w:rPr>
                <w:rFonts w:ascii="Arial" w:hAnsi="Arial" w:cs="Arial"/>
                <w:sz w:val="20"/>
                <w:szCs w:val="20"/>
              </w:rPr>
            </w:pPr>
            <w:r w:rsidRPr="00917BDD">
              <w:rPr>
                <w:rFonts w:ascii="Arial" w:hAnsi="Arial" w:cs="Arial"/>
                <w:sz w:val="20"/>
                <w:szCs w:val="20"/>
              </w:rPr>
              <w:t xml:space="preserve">Commercial – time of use tariff </w:t>
            </w:r>
          </w:p>
        </w:tc>
        <w:tc>
          <w:tcPr>
            <w:tcW w:w="3686" w:type="dxa"/>
          </w:tcPr>
          <w:p w:rsidR="00515A51" w:rsidRDefault="00515A51" w:rsidP="00206848">
            <w:pPr>
              <w:spacing w:before="40" w:after="120"/>
              <w:jc w:val="center"/>
              <w:rPr>
                <w:rFonts w:ascii="Arial" w:hAnsi="Arial" w:cs="Arial"/>
                <w:sz w:val="20"/>
                <w:szCs w:val="20"/>
              </w:rPr>
            </w:pPr>
            <w:r>
              <w:rPr>
                <w:rFonts w:ascii="Arial" w:hAnsi="Arial" w:cs="Arial"/>
                <w:sz w:val="20"/>
                <w:szCs w:val="20"/>
              </w:rPr>
              <w:t>38.03</w:t>
            </w:r>
            <w:r w:rsidRPr="00917BDD">
              <w:rPr>
                <w:rFonts w:ascii="Arial" w:hAnsi="Arial" w:cs="Arial"/>
                <w:sz w:val="20"/>
                <w:szCs w:val="20"/>
              </w:rPr>
              <w:br/>
              <w:t xml:space="preserve">during peak </w:t>
            </w:r>
            <w:r w:rsidRPr="00917BDD">
              <w:rPr>
                <w:rFonts w:cs="Arial"/>
                <w:sz w:val="20"/>
                <w:szCs w:val="20"/>
              </w:rPr>
              <w:t>operation</w:t>
            </w:r>
            <w:r w:rsidRPr="00917BDD">
              <w:rPr>
                <w:rFonts w:ascii="Arial" w:hAnsi="Arial" w:cs="Arial"/>
                <w:sz w:val="20"/>
                <w:szCs w:val="20"/>
              </w:rPr>
              <w:br/>
              <w:t>(6am to 6pm on all days)</w:t>
            </w:r>
          </w:p>
          <w:p w:rsidR="00515A51" w:rsidRPr="00917BDD" w:rsidRDefault="00515A51" w:rsidP="00206848">
            <w:pPr>
              <w:spacing w:before="40" w:after="40"/>
              <w:jc w:val="center"/>
              <w:rPr>
                <w:rFonts w:ascii="Arial" w:hAnsi="Arial" w:cs="Arial"/>
                <w:sz w:val="20"/>
                <w:szCs w:val="20"/>
              </w:rPr>
            </w:pPr>
            <w:r>
              <w:rPr>
                <w:rFonts w:ascii="Arial" w:hAnsi="Arial" w:cs="Arial"/>
                <w:sz w:val="20"/>
                <w:szCs w:val="20"/>
              </w:rPr>
              <w:t>21.40</w:t>
            </w:r>
            <w:r w:rsidRPr="00917BDD">
              <w:rPr>
                <w:rFonts w:ascii="Arial" w:hAnsi="Arial" w:cs="Arial"/>
                <w:sz w:val="20"/>
                <w:szCs w:val="20"/>
              </w:rPr>
              <w:br/>
              <w:t xml:space="preserve">during off-peak </w:t>
            </w:r>
            <w:r w:rsidRPr="00917BDD">
              <w:rPr>
                <w:rFonts w:cs="Arial"/>
                <w:sz w:val="20"/>
                <w:szCs w:val="20"/>
              </w:rPr>
              <w:t>operation</w:t>
            </w:r>
            <w:r w:rsidRPr="00917BDD">
              <w:rPr>
                <w:rFonts w:ascii="Arial" w:hAnsi="Arial" w:cs="Arial"/>
                <w:sz w:val="20"/>
                <w:szCs w:val="20"/>
              </w:rPr>
              <w:br/>
              <w:t>(6pm to 6am on all days)</w:t>
            </w:r>
          </w:p>
        </w:tc>
      </w:tr>
      <w:tr w:rsidR="00515A51" w:rsidRPr="00A13F78" w:rsidTr="00206848">
        <w:tc>
          <w:tcPr>
            <w:tcW w:w="3827" w:type="dxa"/>
          </w:tcPr>
          <w:p w:rsidR="00515A51" w:rsidRPr="00D04379" w:rsidRDefault="00515A51" w:rsidP="00206848">
            <w:pPr>
              <w:spacing w:before="40" w:after="40"/>
              <w:jc w:val="both"/>
              <w:rPr>
                <w:rFonts w:ascii="Arial" w:hAnsi="Arial" w:cs="Arial"/>
                <w:sz w:val="20"/>
                <w:szCs w:val="20"/>
              </w:rPr>
            </w:pPr>
            <w:r w:rsidRPr="00D04379">
              <w:rPr>
                <w:rFonts w:cs="Arial"/>
                <w:sz w:val="20"/>
                <w:szCs w:val="20"/>
              </w:rPr>
              <w:t>Caravan park resident</w:t>
            </w:r>
            <w:r>
              <w:rPr>
                <w:rFonts w:cs="Arial"/>
                <w:sz w:val="20"/>
                <w:szCs w:val="20"/>
              </w:rPr>
              <w:t xml:space="preserve"> tariff</w:t>
            </w:r>
          </w:p>
        </w:tc>
        <w:tc>
          <w:tcPr>
            <w:tcW w:w="3686" w:type="dxa"/>
          </w:tcPr>
          <w:p w:rsidR="00515A51" w:rsidRPr="00887572" w:rsidRDefault="00515A51" w:rsidP="00206848">
            <w:pPr>
              <w:spacing w:before="40" w:after="40"/>
              <w:jc w:val="center"/>
              <w:rPr>
                <w:rFonts w:ascii="Arial" w:hAnsi="Arial" w:cs="Arial"/>
                <w:sz w:val="20"/>
                <w:szCs w:val="20"/>
              </w:rPr>
            </w:pPr>
            <w:r>
              <w:rPr>
                <w:rFonts w:ascii="Arial" w:hAnsi="Arial" w:cs="Arial"/>
                <w:sz w:val="20"/>
                <w:szCs w:val="20"/>
              </w:rPr>
              <w:t>34.09</w:t>
            </w:r>
          </w:p>
        </w:tc>
      </w:tr>
      <w:tr w:rsidR="00515A51" w:rsidRPr="00A13F78" w:rsidTr="00206848">
        <w:tc>
          <w:tcPr>
            <w:tcW w:w="3827" w:type="dxa"/>
          </w:tcPr>
          <w:p w:rsidR="00515A51" w:rsidRPr="008A6951" w:rsidRDefault="00515A51" w:rsidP="00206848">
            <w:pPr>
              <w:spacing w:before="40" w:after="40"/>
              <w:jc w:val="both"/>
              <w:rPr>
                <w:rFonts w:ascii="Arial" w:hAnsi="Arial" w:cs="Arial"/>
                <w:sz w:val="20"/>
                <w:szCs w:val="20"/>
              </w:rPr>
            </w:pPr>
            <w:r w:rsidRPr="008A6951">
              <w:rPr>
                <w:rFonts w:cs="Arial"/>
                <w:sz w:val="20"/>
                <w:szCs w:val="20"/>
              </w:rPr>
              <w:t>Domestic – pre-payment meter tariff</w:t>
            </w:r>
          </w:p>
        </w:tc>
        <w:tc>
          <w:tcPr>
            <w:tcW w:w="3686" w:type="dxa"/>
          </w:tcPr>
          <w:p w:rsidR="00515A51" w:rsidRPr="00887572" w:rsidRDefault="00515A51" w:rsidP="00206848">
            <w:pPr>
              <w:spacing w:before="40" w:after="40"/>
              <w:jc w:val="center"/>
              <w:rPr>
                <w:rFonts w:ascii="Arial" w:hAnsi="Arial" w:cs="Arial"/>
                <w:sz w:val="20"/>
                <w:szCs w:val="20"/>
              </w:rPr>
            </w:pPr>
            <w:r>
              <w:rPr>
                <w:rFonts w:ascii="Arial" w:hAnsi="Arial" w:cs="Arial"/>
                <w:sz w:val="20"/>
                <w:szCs w:val="20"/>
              </w:rPr>
              <w:t>28.08</w:t>
            </w:r>
          </w:p>
        </w:tc>
      </w:tr>
      <w:tr w:rsidR="00515A51" w:rsidRPr="00A13F78" w:rsidTr="00206848">
        <w:tc>
          <w:tcPr>
            <w:tcW w:w="3827" w:type="dxa"/>
          </w:tcPr>
          <w:p w:rsidR="00515A51" w:rsidRPr="008A6951" w:rsidRDefault="00515A51" w:rsidP="00206848">
            <w:pPr>
              <w:spacing w:before="40" w:after="40"/>
              <w:rPr>
                <w:rFonts w:ascii="Arial" w:hAnsi="Arial" w:cs="Arial"/>
                <w:sz w:val="20"/>
                <w:szCs w:val="20"/>
              </w:rPr>
            </w:pPr>
            <w:r w:rsidRPr="008A6951">
              <w:rPr>
                <w:rFonts w:cs="Arial"/>
                <w:sz w:val="20"/>
                <w:szCs w:val="20"/>
              </w:rPr>
              <w:t xml:space="preserve">Domestic – standard tariff </w:t>
            </w:r>
          </w:p>
        </w:tc>
        <w:tc>
          <w:tcPr>
            <w:tcW w:w="3686" w:type="dxa"/>
          </w:tcPr>
          <w:p w:rsidR="00515A51" w:rsidRPr="00887572" w:rsidRDefault="00515A51" w:rsidP="00206848">
            <w:pPr>
              <w:spacing w:before="40" w:after="40"/>
              <w:jc w:val="center"/>
              <w:rPr>
                <w:rFonts w:ascii="Arial" w:hAnsi="Arial" w:cs="Arial"/>
                <w:sz w:val="20"/>
                <w:szCs w:val="20"/>
              </w:rPr>
            </w:pPr>
            <w:r>
              <w:rPr>
                <w:rFonts w:ascii="Arial" w:hAnsi="Arial" w:cs="Arial"/>
                <w:sz w:val="20"/>
                <w:szCs w:val="20"/>
              </w:rPr>
              <w:t>25.54</w:t>
            </w:r>
          </w:p>
        </w:tc>
      </w:tr>
      <w:tr w:rsidR="00515A51" w:rsidRPr="00A13F78" w:rsidTr="00206848">
        <w:trPr>
          <w:trHeight w:val="2010"/>
        </w:trPr>
        <w:tc>
          <w:tcPr>
            <w:tcW w:w="3827" w:type="dxa"/>
          </w:tcPr>
          <w:p w:rsidR="00515A51" w:rsidRPr="008A6951" w:rsidRDefault="00515A51" w:rsidP="00206848">
            <w:pPr>
              <w:spacing w:before="40" w:after="40"/>
              <w:jc w:val="both"/>
              <w:rPr>
                <w:rFonts w:ascii="Arial" w:hAnsi="Arial" w:cs="Arial"/>
                <w:sz w:val="20"/>
                <w:szCs w:val="20"/>
              </w:rPr>
            </w:pPr>
            <w:r w:rsidRPr="008A6951">
              <w:rPr>
                <w:rFonts w:cs="Arial"/>
                <w:sz w:val="20"/>
                <w:szCs w:val="20"/>
              </w:rPr>
              <w:lastRenderedPageBreak/>
              <w:t xml:space="preserve">Domestic – time of use tariff </w:t>
            </w:r>
          </w:p>
        </w:tc>
        <w:tc>
          <w:tcPr>
            <w:tcW w:w="3686" w:type="dxa"/>
          </w:tcPr>
          <w:p w:rsidR="00515A51" w:rsidRDefault="00515A51" w:rsidP="00206848">
            <w:pPr>
              <w:spacing w:before="40" w:after="120"/>
              <w:jc w:val="center"/>
              <w:rPr>
                <w:rFonts w:cs="Arial"/>
                <w:sz w:val="20"/>
                <w:szCs w:val="20"/>
              </w:rPr>
            </w:pPr>
            <w:r>
              <w:rPr>
                <w:rFonts w:ascii="Arial" w:hAnsi="Arial" w:cs="Arial"/>
                <w:sz w:val="20"/>
                <w:szCs w:val="20"/>
              </w:rPr>
              <w:t>30.13</w:t>
            </w:r>
            <w:r w:rsidRPr="00917BDD">
              <w:rPr>
                <w:rFonts w:ascii="Arial" w:hAnsi="Arial" w:cs="Arial"/>
                <w:sz w:val="20"/>
                <w:szCs w:val="20"/>
              </w:rPr>
              <w:br/>
            </w:r>
            <w:r w:rsidRPr="00917BDD">
              <w:rPr>
                <w:rFonts w:cs="Arial"/>
                <w:sz w:val="20"/>
                <w:szCs w:val="20"/>
              </w:rPr>
              <w:t>during peak operation</w:t>
            </w:r>
            <w:r w:rsidRPr="00917BDD">
              <w:rPr>
                <w:rFonts w:cs="Arial"/>
                <w:sz w:val="20"/>
                <w:szCs w:val="20"/>
              </w:rPr>
              <w:br/>
              <w:t>(6am to 6pm weekdays including public holidays)</w:t>
            </w:r>
          </w:p>
          <w:p w:rsidR="00515A51" w:rsidRPr="00917BDD" w:rsidRDefault="00515A51" w:rsidP="00206848">
            <w:pPr>
              <w:spacing w:before="40" w:after="40"/>
              <w:jc w:val="center"/>
              <w:rPr>
                <w:rFonts w:ascii="Arial" w:hAnsi="Arial" w:cs="Arial"/>
                <w:sz w:val="20"/>
                <w:szCs w:val="20"/>
              </w:rPr>
            </w:pPr>
            <w:r>
              <w:rPr>
                <w:rFonts w:ascii="Arial" w:hAnsi="Arial" w:cs="Arial"/>
                <w:sz w:val="20"/>
                <w:szCs w:val="20"/>
              </w:rPr>
              <w:t>22.98</w:t>
            </w:r>
            <w:r w:rsidRPr="00917BDD">
              <w:rPr>
                <w:rFonts w:ascii="Arial" w:hAnsi="Arial" w:cs="Arial"/>
                <w:sz w:val="20"/>
                <w:szCs w:val="20"/>
              </w:rPr>
              <w:br/>
            </w:r>
            <w:r w:rsidRPr="00917BDD">
              <w:rPr>
                <w:rFonts w:cs="Arial"/>
                <w:sz w:val="20"/>
                <w:szCs w:val="20"/>
              </w:rPr>
              <w:t>during off-peak operation</w:t>
            </w:r>
            <w:r w:rsidRPr="00917BDD">
              <w:rPr>
                <w:rFonts w:cs="Arial"/>
                <w:sz w:val="20"/>
                <w:szCs w:val="20"/>
              </w:rPr>
              <w:br/>
              <w:t>(6pm to 6am weekdays and all weekends)</w:t>
            </w:r>
          </w:p>
        </w:tc>
      </w:tr>
      <w:tr w:rsidR="00515A51" w:rsidRPr="000E11D8" w:rsidTr="00206848">
        <w:trPr>
          <w:trHeight w:val="1090"/>
        </w:trPr>
        <w:tc>
          <w:tcPr>
            <w:tcW w:w="3827" w:type="dxa"/>
          </w:tcPr>
          <w:p w:rsidR="00515A51" w:rsidRPr="000E11D8" w:rsidRDefault="00515A51" w:rsidP="00206848">
            <w:pPr>
              <w:spacing w:before="40" w:after="40"/>
              <w:rPr>
                <w:rFonts w:ascii="Arial" w:hAnsi="Arial" w:cs="Arial"/>
                <w:sz w:val="20"/>
                <w:szCs w:val="20"/>
              </w:rPr>
            </w:pPr>
            <w:r w:rsidRPr="000E11D8">
              <w:rPr>
                <w:rFonts w:ascii="Arial" w:hAnsi="Arial" w:cs="Arial"/>
                <w:sz w:val="20"/>
                <w:szCs w:val="20"/>
              </w:rPr>
              <w:t>Multipurpose tariff</w:t>
            </w:r>
          </w:p>
        </w:tc>
        <w:tc>
          <w:tcPr>
            <w:tcW w:w="3686" w:type="dxa"/>
          </w:tcPr>
          <w:p w:rsidR="00515A51" w:rsidRDefault="00515A51" w:rsidP="00206848">
            <w:pPr>
              <w:spacing w:before="40" w:after="120"/>
              <w:jc w:val="center"/>
              <w:rPr>
                <w:rFonts w:ascii="Arial" w:hAnsi="Arial" w:cs="Arial"/>
                <w:sz w:val="20"/>
                <w:szCs w:val="20"/>
              </w:rPr>
            </w:pPr>
            <w:r>
              <w:rPr>
                <w:rFonts w:ascii="Arial" w:hAnsi="Arial" w:cs="Arial"/>
                <w:sz w:val="20"/>
                <w:szCs w:val="20"/>
              </w:rPr>
              <w:t>25.54</w:t>
            </w:r>
            <w:r w:rsidRPr="00917BDD">
              <w:rPr>
                <w:rFonts w:ascii="Arial" w:hAnsi="Arial" w:cs="Arial"/>
                <w:sz w:val="20"/>
                <w:szCs w:val="20"/>
              </w:rPr>
              <w:br/>
              <w:t>for the first 45 kWh per day</w:t>
            </w:r>
          </w:p>
          <w:p w:rsidR="00515A51" w:rsidRPr="00917BDD" w:rsidRDefault="00515A51" w:rsidP="00206848">
            <w:pPr>
              <w:spacing w:before="40" w:after="40"/>
              <w:jc w:val="center"/>
              <w:rPr>
                <w:rFonts w:ascii="Arial" w:hAnsi="Arial" w:cs="Arial"/>
                <w:sz w:val="20"/>
                <w:szCs w:val="20"/>
              </w:rPr>
            </w:pPr>
            <w:r>
              <w:rPr>
                <w:rFonts w:ascii="Arial" w:hAnsi="Arial" w:cs="Arial"/>
                <w:sz w:val="20"/>
                <w:szCs w:val="20"/>
              </w:rPr>
              <w:t>29.72</w:t>
            </w:r>
            <w:r w:rsidRPr="00917BDD">
              <w:rPr>
                <w:rFonts w:ascii="Arial" w:hAnsi="Arial" w:cs="Arial"/>
                <w:sz w:val="20"/>
                <w:szCs w:val="20"/>
              </w:rPr>
              <w:br/>
              <w:t>above 45 kWh per day</w:t>
            </w:r>
          </w:p>
        </w:tc>
      </w:tr>
      <w:tr w:rsidR="00515A51" w:rsidRPr="00A13F78" w:rsidTr="00206848">
        <w:tc>
          <w:tcPr>
            <w:tcW w:w="3827" w:type="dxa"/>
          </w:tcPr>
          <w:p w:rsidR="00515A51" w:rsidRPr="008E62E6" w:rsidRDefault="00515A51" w:rsidP="00206848">
            <w:pPr>
              <w:spacing w:before="40" w:after="40"/>
              <w:rPr>
                <w:rFonts w:ascii="Arial" w:hAnsi="Arial" w:cs="Arial"/>
                <w:sz w:val="20"/>
                <w:szCs w:val="20"/>
              </w:rPr>
            </w:pPr>
            <w:r>
              <w:rPr>
                <w:rFonts w:ascii="Arial" w:hAnsi="Arial" w:cs="Arial"/>
                <w:sz w:val="20"/>
                <w:szCs w:val="20"/>
              </w:rPr>
              <w:t>Public benevolent institution (</w:t>
            </w:r>
            <w:proofErr w:type="spellStart"/>
            <w:r>
              <w:rPr>
                <w:rFonts w:ascii="Arial" w:hAnsi="Arial" w:cs="Arial"/>
                <w:sz w:val="20"/>
                <w:szCs w:val="20"/>
              </w:rPr>
              <w:t>PBI</w:t>
            </w:r>
            <w:proofErr w:type="spellEnd"/>
            <w:r>
              <w:rPr>
                <w:rFonts w:ascii="Arial" w:hAnsi="Arial" w:cs="Arial"/>
                <w:sz w:val="20"/>
                <w:szCs w:val="20"/>
              </w:rPr>
              <w:t>) tariff</w:t>
            </w:r>
          </w:p>
        </w:tc>
        <w:tc>
          <w:tcPr>
            <w:tcW w:w="3686" w:type="dxa"/>
          </w:tcPr>
          <w:p w:rsidR="00515A51" w:rsidRPr="00917BDD" w:rsidRDefault="00515A51" w:rsidP="00206848">
            <w:pPr>
              <w:spacing w:before="40" w:after="40"/>
              <w:jc w:val="center"/>
              <w:rPr>
                <w:rFonts w:ascii="Arial" w:hAnsi="Arial" w:cs="Arial"/>
                <w:sz w:val="20"/>
                <w:szCs w:val="20"/>
              </w:rPr>
            </w:pPr>
            <w:r>
              <w:rPr>
                <w:rFonts w:ascii="Arial" w:hAnsi="Arial" w:cs="Arial"/>
                <w:sz w:val="20"/>
                <w:szCs w:val="20"/>
              </w:rPr>
              <w:t>26.32</w:t>
            </w:r>
          </w:p>
        </w:tc>
      </w:tr>
    </w:tbl>
    <w:p w:rsidR="00515A51" w:rsidRPr="00186DEB" w:rsidRDefault="00515A51" w:rsidP="00874553">
      <w:pPr>
        <w:tabs>
          <w:tab w:val="left" w:pos="-720"/>
        </w:tabs>
        <w:spacing w:before="240" w:after="120"/>
        <w:rPr>
          <w:rFonts w:cs="Arial"/>
          <w:b/>
          <w:spacing w:val="-3"/>
        </w:rPr>
      </w:pPr>
      <w:r>
        <w:rPr>
          <w:rFonts w:cs="Arial"/>
          <w:b/>
          <w:spacing w:val="-3"/>
        </w:rPr>
        <w:t>PART 3</w:t>
      </w:r>
      <w:r>
        <w:rPr>
          <w:rFonts w:cs="Arial"/>
          <w:b/>
          <w:spacing w:val="-3"/>
        </w:rPr>
        <w:tab/>
      </w:r>
      <w:r w:rsidRPr="00186DEB">
        <w:rPr>
          <w:rFonts w:cs="Arial"/>
          <w:b/>
          <w:spacing w:val="-3"/>
        </w:rPr>
        <w:t>NON-METERED SUPPLY</w:t>
      </w:r>
    </w:p>
    <w:p w:rsidR="00515A51" w:rsidRPr="00B30905" w:rsidRDefault="00515A51" w:rsidP="00515A51">
      <w:pPr>
        <w:keepNext/>
        <w:tabs>
          <w:tab w:val="left" w:pos="-720"/>
        </w:tabs>
        <w:spacing w:before="240" w:after="120"/>
        <w:jc w:val="both"/>
        <w:rPr>
          <w:rFonts w:cs="Arial"/>
          <w:b/>
        </w:rPr>
      </w:pPr>
      <w:r>
        <w:rPr>
          <w:rFonts w:cs="Arial"/>
          <w:b/>
        </w:rPr>
        <w:t>6</w:t>
      </w:r>
      <w:r w:rsidRPr="00B30905">
        <w:rPr>
          <w:rFonts w:cs="Arial"/>
          <w:b/>
        </w:rPr>
        <w:tab/>
      </w:r>
      <w:r>
        <w:rPr>
          <w:rFonts w:cs="Arial"/>
          <w:b/>
        </w:rPr>
        <w:t xml:space="preserve">Application of Part </w:t>
      </w:r>
    </w:p>
    <w:p w:rsidR="00515A51" w:rsidRDefault="00515A51" w:rsidP="00515A51">
      <w:pPr>
        <w:tabs>
          <w:tab w:val="left" w:pos="-720"/>
        </w:tabs>
        <w:spacing w:after="120"/>
        <w:jc w:val="both"/>
        <w:rPr>
          <w:rFonts w:cs="Arial"/>
        </w:rPr>
      </w:pPr>
      <w:r>
        <w:rPr>
          <w:rFonts w:cs="Arial"/>
        </w:rPr>
        <w:t>(1)</w:t>
      </w:r>
      <w:r w:rsidRPr="00B31DE6">
        <w:rPr>
          <w:rFonts w:cs="Arial"/>
        </w:rPr>
        <w:tab/>
        <w:t>T</w:t>
      </w:r>
      <w:r w:rsidRPr="003D7A1E">
        <w:rPr>
          <w:rFonts w:cs="Arial"/>
        </w:rPr>
        <w:t xml:space="preserve">his </w:t>
      </w:r>
      <w:r>
        <w:rPr>
          <w:rFonts w:cs="Arial"/>
        </w:rPr>
        <w:t>Part applies in relation to the following prescribed customers</w:t>
      </w:r>
      <w:r w:rsidRPr="003D7A1E">
        <w:rPr>
          <w:rFonts w:cs="Arial"/>
        </w:rPr>
        <w:t>:</w:t>
      </w:r>
    </w:p>
    <w:p w:rsidR="00515A51" w:rsidRDefault="00515A51" w:rsidP="00515A51">
      <w:pPr>
        <w:tabs>
          <w:tab w:val="left" w:pos="-720"/>
        </w:tabs>
        <w:spacing w:after="120"/>
        <w:ind w:left="1440" w:hanging="731"/>
        <w:jc w:val="both"/>
        <w:rPr>
          <w:rFonts w:cs="Arial"/>
        </w:rPr>
      </w:pPr>
      <w:r w:rsidRPr="00BA452D">
        <w:t>(a)</w:t>
      </w:r>
      <w:r w:rsidRPr="00BA452D">
        <w:tab/>
      </w:r>
      <w:r w:rsidRPr="00BA452D">
        <w:rPr>
          <w:rFonts w:cs="Arial"/>
        </w:rPr>
        <w:t>general non-metered in</w:t>
      </w:r>
      <w:r>
        <w:rPr>
          <w:rFonts w:cs="Arial"/>
        </w:rPr>
        <w:t xml:space="preserve">stallation </w:t>
      </w:r>
      <w:r w:rsidRPr="00BA452D">
        <w:rPr>
          <w:rFonts w:cs="Arial"/>
        </w:rPr>
        <w:t>customer</w:t>
      </w:r>
      <w:r>
        <w:rPr>
          <w:rFonts w:cs="Arial"/>
        </w:rPr>
        <w:t>s; and</w:t>
      </w:r>
    </w:p>
    <w:p w:rsidR="00515A51" w:rsidRDefault="00515A51" w:rsidP="00515A51">
      <w:pPr>
        <w:tabs>
          <w:tab w:val="left" w:pos="-720"/>
        </w:tabs>
        <w:spacing w:after="240"/>
        <w:ind w:left="1440" w:hanging="731"/>
        <w:jc w:val="both"/>
      </w:pPr>
      <w:r>
        <w:rPr>
          <w:rFonts w:cs="Arial"/>
        </w:rPr>
        <w:t>(b)</w:t>
      </w:r>
      <w:r>
        <w:rPr>
          <w:rFonts w:cs="Arial"/>
        </w:rPr>
        <w:tab/>
      </w:r>
      <w:r>
        <w:t>street lighting customers.</w:t>
      </w:r>
    </w:p>
    <w:p w:rsidR="00515A51" w:rsidRDefault="00515A51" w:rsidP="00515A51">
      <w:pPr>
        <w:tabs>
          <w:tab w:val="left" w:pos="-720"/>
        </w:tabs>
        <w:spacing w:before="240" w:after="120"/>
        <w:ind w:left="720" w:hanging="720"/>
        <w:jc w:val="both"/>
        <w:rPr>
          <w:rFonts w:cs="Arial"/>
        </w:rPr>
      </w:pPr>
      <w:r>
        <w:rPr>
          <w:rFonts w:cs="Arial"/>
        </w:rPr>
        <w:t>(2)</w:t>
      </w:r>
      <w:r w:rsidRPr="002B51A8">
        <w:rPr>
          <w:rFonts w:cs="Arial"/>
        </w:rPr>
        <w:tab/>
      </w:r>
      <w:r>
        <w:rPr>
          <w:rFonts w:cs="Arial"/>
        </w:rPr>
        <w:t>T</w:t>
      </w:r>
      <w:r w:rsidRPr="002B51A8">
        <w:rPr>
          <w:rFonts w:cs="Arial"/>
        </w:rPr>
        <w:t xml:space="preserve">he </w:t>
      </w:r>
      <w:r>
        <w:rPr>
          <w:rFonts w:cs="Arial"/>
        </w:rPr>
        <w:t xml:space="preserve">billing entity must ensure that the retail prices it charges under this Part distinguish between the prescribed customers mentioned in </w:t>
      </w:r>
      <w:proofErr w:type="spellStart"/>
      <w:r>
        <w:rPr>
          <w:rFonts w:cs="Arial"/>
        </w:rPr>
        <w:t>subclause</w:t>
      </w:r>
      <w:proofErr w:type="spellEnd"/>
      <w:r>
        <w:rPr>
          <w:rFonts w:cs="Arial"/>
        </w:rPr>
        <w:t> (1).</w:t>
      </w:r>
    </w:p>
    <w:p w:rsidR="00515A51" w:rsidRPr="002D472A" w:rsidRDefault="00515A51" w:rsidP="00515A51">
      <w:pPr>
        <w:keepNext/>
        <w:tabs>
          <w:tab w:val="left" w:pos="-720"/>
        </w:tabs>
        <w:spacing w:before="240" w:after="120"/>
        <w:ind w:left="720" w:hanging="720"/>
        <w:jc w:val="both"/>
        <w:rPr>
          <w:rFonts w:cs="Arial"/>
          <w:b/>
        </w:rPr>
      </w:pPr>
      <w:r>
        <w:rPr>
          <w:rFonts w:cs="Arial"/>
          <w:b/>
        </w:rPr>
        <w:t>7</w:t>
      </w:r>
      <w:r w:rsidRPr="002D472A">
        <w:rPr>
          <w:rFonts w:cs="Arial"/>
          <w:b/>
        </w:rPr>
        <w:tab/>
        <w:t>General non-metered installation customer</w:t>
      </w:r>
    </w:p>
    <w:p w:rsidR="00515A51" w:rsidRDefault="00515A51" w:rsidP="00515A51">
      <w:pPr>
        <w:keepNext/>
        <w:spacing w:after="120"/>
        <w:ind w:left="720" w:hanging="720"/>
        <w:jc w:val="both"/>
        <w:rPr>
          <w:rFonts w:cs="Arial"/>
        </w:rPr>
      </w:pPr>
      <w:r w:rsidRPr="002D472A">
        <w:rPr>
          <w:rFonts w:cs="Arial"/>
        </w:rPr>
        <w:tab/>
        <w:t xml:space="preserve">The </w:t>
      </w:r>
      <w:r>
        <w:rPr>
          <w:rFonts w:cs="Arial"/>
        </w:rPr>
        <w:t>billing entity</w:t>
      </w:r>
      <w:r w:rsidRPr="002D472A">
        <w:rPr>
          <w:rFonts w:cs="Arial"/>
        </w:rPr>
        <w:t xml:space="preserve"> may charge a general non-metered installation customer, on a pro rata basis per annum, for the consumption of electricity supplied to the customer's electrical installations during a period of operation specified in the following table, a retail price calculated on the basis of the amount specified opposite the period.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686"/>
      </w:tblGrid>
      <w:tr w:rsidR="00515A51" w:rsidRPr="002D472A" w:rsidTr="00206848">
        <w:tc>
          <w:tcPr>
            <w:tcW w:w="3827" w:type="dxa"/>
          </w:tcPr>
          <w:p w:rsidR="00515A51" w:rsidRPr="002D472A" w:rsidRDefault="00515A51" w:rsidP="00874553">
            <w:pPr>
              <w:spacing w:before="40" w:after="40"/>
              <w:jc w:val="center"/>
              <w:rPr>
                <w:rFonts w:ascii="Arial" w:hAnsi="Arial" w:cs="Arial"/>
                <w:sz w:val="20"/>
                <w:szCs w:val="20"/>
              </w:rPr>
            </w:pPr>
            <w:r w:rsidRPr="002D472A">
              <w:rPr>
                <w:rFonts w:ascii="Arial" w:hAnsi="Arial" w:cs="Arial"/>
                <w:b/>
                <w:sz w:val="20"/>
                <w:szCs w:val="20"/>
              </w:rPr>
              <w:t>Period of operation</w:t>
            </w:r>
          </w:p>
        </w:tc>
        <w:tc>
          <w:tcPr>
            <w:tcW w:w="3686" w:type="dxa"/>
          </w:tcPr>
          <w:p w:rsidR="00515A51" w:rsidRPr="002D472A" w:rsidRDefault="00515A51" w:rsidP="00206848">
            <w:pPr>
              <w:spacing w:before="40" w:after="40"/>
              <w:jc w:val="center"/>
              <w:rPr>
                <w:rFonts w:ascii="Arial" w:hAnsi="Arial" w:cs="Arial"/>
                <w:b/>
                <w:sz w:val="20"/>
                <w:szCs w:val="20"/>
              </w:rPr>
            </w:pPr>
            <w:r w:rsidRPr="002D472A">
              <w:rPr>
                <w:rFonts w:ascii="Arial" w:hAnsi="Arial" w:cs="Arial"/>
                <w:b/>
                <w:sz w:val="20"/>
                <w:szCs w:val="20"/>
              </w:rPr>
              <w:t>Annual charge ($ per watt)</w:t>
            </w:r>
          </w:p>
        </w:tc>
      </w:tr>
      <w:tr w:rsidR="00515A51" w:rsidRPr="002D472A" w:rsidTr="00206848">
        <w:tc>
          <w:tcPr>
            <w:tcW w:w="3827" w:type="dxa"/>
          </w:tcPr>
          <w:p w:rsidR="00515A51" w:rsidRPr="002D472A" w:rsidRDefault="00515A51" w:rsidP="00206848">
            <w:pPr>
              <w:spacing w:before="40" w:after="40"/>
              <w:jc w:val="both"/>
              <w:rPr>
                <w:rFonts w:ascii="Arial" w:hAnsi="Arial" w:cs="Arial"/>
                <w:sz w:val="20"/>
                <w:szCs w:val="20"/>
              </w:rPr>
            </w:pPr>
            <w:r w:rsidRPr="002D472A">
              <w:rPr>
                <w:rFonts w:ascii="Arial" w:hAnsi="Arial" w:cs="Arial"/>
                <w:sz w:val="20"/>
                <w:szCs w:val="20"/>
              </w:rPr>
              <w:t>Off-peak operation (6pm to 6am)</w:t>
            </w:r>
          </w:p>
        </w:tc>
        <w:tc>
          <w:tcPr>
            <w:tcW w:w="3686" w:type="dxa"/>
          </w:tcPr>
          <w:p w:rsidR="00515A51" w:rsidRPr="002D472A" w:rsidRDefault="00515A51" w:rsidP="00206848">
            <w:pPr>
              <w:spacing w:before="40" w:after="40"/>
              <w:jc w:val="center"/>
              <w:rPr>
                <w:rFonts w:ascii="Arial" w:hAnsi="Arial" w:cs="Arial"/>
                <w:sz w:val="20"/>
                <w:szCs w:val="20"/>
              </w:rPr>
            </w:pPr>
            <w:r>
              <w:rPr>
                <w:rFonts w:ascii="Arial" w:hAnsi="Arial" w:cs="Arial"/>
                <w:sz w:val="20"/>
                <w:szCs w:val="20"/>
              </w:rPr>
              <w:t>1.120</w:t>
            </w:r>
          </w:p>
        </w:tc>
      </w:tr>
      <w:tr w:rsidR="00515A51" w:rsidRPr="002D472A" w:rsidTr="00206848">
        <w:tc>
          <w:tcPr>
            <w:tcW w:w="3827" w:type="dxa"/>
          </w:tcPr>
          <w:p w:rsidR="00515A51" w:rsidRPr="002D472A" w:rsidRDefault="00515A51" w:rsidP="00206848">
            <w:pPr>
              <w:spacing w:before="40" w:after="40"/>
              <w:jc w:val="both"/>
              <w:rPr>
                <w:rFonts w:ascii="Arial" w:hAnsi="Arial" w:cs="Arial"/>
                <w:sz w:val="20"/>
                <w:szCs w:val="20"/>
              </w:rPr>
            </w:pPr>
            <w:r w:rsidRPr="002D472A">
              <w:rPr>
                <w:rFonts w:ascii="Arial" w:hAnsi="Arial" w:cs="Arial"/>
                <w:sz w:val="20"/>
                <w:szCs w:val="20"/>
              </w:rPr>
              <w:t>Peak operation (6am to 6pm)</w:t>
            </w:r>
          </w:p>
        </w:tc>
        <w:tc>
          <w:tcPr>
            <w:tcW w:w="3686" w:type="dxa"/>
          </w:tcPr>
          <w:p w:rsidR="00515A51" w:rsidRPr="002D472A" w:rsidRDefault="00515A51" w:rsidP="00206848">
            <w:pPr>
              <w:spacing w:before="40" w:after="40"/>
              <w:jc w:val="center"/>
              <w:rPr>
                <w:rFonts w:ascii="Arial" w:hAnsi="Arial" w:cs="Arial"/>
                <w:sz w:val="20"/>
                <w:szCs w:val="20"/>
              </w:rPr>
            </w:pPr>
            <w:r>
              <w:rPr>
                <w:rFonts w:ascii="Arial" w:hAnsi="Arial" w:cs="Arial"/>
                <w:sz w:val="20"/>
                <w:szCs w:val="20"/>
              </w:rPr>
              <w:t>1.245</w:t>
            </w:r>
          </w:p>
        </w:tc>
      </w:tr>
      <w:tr w:rsidR="00515A51" w:rsidRPr="002D472A" w:rsidTr="00206848">
        <w:trPr>
          <w:trHeight w:val="229"/>
        </w:trPr>
        <w:tc>
          <w:tcPr>
            <w:tcW w:w="3827" w:type="dxa"/>
          </w:tcPr>
          <w:p w:rsidR="00515A51" w:rsidRPr="002D472A" w:rsidRDefault="00515A51" w:rsidP="00206848">
            <w:pPr>
              <w:spacing w:before="40" w:after="40"/>
              <w:jc w:val="both"/>
              <w:rPr>
                <w:rFonts w:ascii="Arial" w:hAnsi="Arial" w:cs="Arial"/>
                <w:sz w:val="20"/>
                <w:szCs w:val="20"/>
              </w:rPr>
            </w:pPr>
            <w:r w:rsidRPr="002D472A">
              <w:rPr>
                <w:rFonts w:ascii="Arial" w:hAnsi="Arial" w:cs="Arial"/>
                <w:sz w:val="20"/>
                <w:szCs w:val="20"/>
              </w:rPr>
              <w:t>24 hour operation</w:t>
            </w:r>
          </w:p>
        </w:tc>
        <w:tc>
          <w:tcPr>
            <w:tcW w:w="3686" w:type="dxa"/>
          </w:tcPr>
          <w:p w:rsidR="00515A51" w:rsidRPr="002D472A" w:rsidRDefault="00515A51" w:rsidP="00206848">
            <w:pPr>
              <w:spacing w:before="40" w:after="40"/>
              <w:jc w:val="center"/>
              <w:rPr>
                <w:rFonts w:ascii="Arial" w:hAnsi="Arial" w:cs="Arial"/>
                <w:sz w:val="20"/>
                <w:szCs w:val="20"/>
              </w:rPr>
            </w:pPr>
            <w:r>
              <w:rPr>
                <w:rFonts w:ascii="Arial" w:hAnsi="Arial" w:cs="Arial"/>
                <w:sz w:val="20"/>
                <w:szCs w:val="20"/>
              </w:rPr>
              <w:t>2.420</w:t>
            </w:r>
          </w:p>
        </w:tc>
      </w:tr>
    </w:tbl>
    <w:p w:rsidR="00515A51" w:rsidRPr="002D472A" w:rsidRDefault="00515A51" w:rsidP="00874553">
      <w:pPr>
        <w:keepNext/>
        <w:pageBreakBefore/>
        <w:tabs>
          <w:tab w:val="left" w:pos="-720"/>
        </w:tabs>
        <w:spacing w:before="240" w:after="120"/>
        <w:ind w:left="720" w:hanging="720"/>
        <w:jc w:val="both"/>
        <w:rPr>
          <w:rFonts w:cs="Arial"/>
          <w:b/>
        </w:rPr>
      </w:pPr>
      <w:r>
        <w:rPr>
          <w:rFonts w:cs="Arial"/>
          <w:b/>
        </w:rPr>
        <w:lastRenderedPageBreak/>
        <w:t>8</w:t>
      </w:r>
      <w:r w:rsidRPr="002D472A">
        <w:rPr>
          <w:rFonts w:cs="Arial"/>
          <w:b/>
        </w:rPr>
        <w:tab/>
        <w:t>Street lighting customer</w:t>
      </w:r>
    </w:p>
    <w:p w:rsidR="00515A51" w:rsidRPr="002D472A" w:rsidRDefault="00515A51" w:rsidP="00EE37AB">
      <w:pPr>
        <w:spacing w:after="240"/>
        <w:ind w:left="720" w:hanging="720"/>
        <w:jc w:val="both"/>
        <w:rPr>
          <w:rFonts w:cs="Arial"/>
        </w:rPr>
      </w:pPr>
      <w:r w:rsidRPr="002D472A">
        <w:rPr>
          <w:rFonts w:cs="Arial"/>
        </w:rPr>
        <w:t>(1)</w:t>
      </w:r>
      <w:r w:rsidRPr="002D472A">
        <w:rPr>
          <w:rFonts w:cs="Arial"/>
        </w:rPr>
        <w:tab/>
        <w:t xml:space="preserve">The </w:t>
      </w:r>
      <w:r>
        <w:rPr>
          <w:rFonts w:cs="Arial"/>
        </w:rPr>
        <w:t>billing entity</w:t>
      </w:r>
      <w:r w:rsidRPr="002D472A">
        <w:rPr>
          <w:rFonts w:cs="Arial"/>
        </w:rPr>
        <w:t xml:space="preserve"> may charge a street lighting customer, on a pro rata basis per annum, for the consumption of electricity supplied to the customer's electrical installations of a light wattage range specified in the following table, a retail price not exceeding the amount specified opposite the wattage range.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969"/>
      </w:tblGrid>
      <w:tr w:rsidR="00515A51" w:rsidRPr="00F3750E" w:rsidTr="00206848">
        <w:tc>
          <w:tcPr>
            <w:tcW w:w="3544" w:type="dxa"/>
          </w:tcPr>
          <w:p w:rsidR="00515A51" w:rsidRPr="00F3750E" w:rsidRDefault="00515A51" w:rsidP="00206848">
            <w:pPr>
              <w:spacing w:before="40" w:after="40"/>
              <w:jc w:val="center"/>
              <w:rPr>
                <w:rFonts w:ascii="Arial" w:hAnsi="Arial" w:cs="Arial"/>
                <w:sz w:val="20"/>
                <w:szCs w:val="20"/>
              </w:rPr>
            </w:pPr>
            <w:r w:rsidRPr="00F3750E">
              <w:rPr>
                <w:rFonts w:ascii="Arial" w:hAnsi="Arial" w:cs="Arial"/>
                <w:b/>
                <w:sz w:val="20"/>
                <w:szCs w:val="20"/>
              </w:rPr>
              <w:t>Light wattage range</w:t>
            </w:r>
          </w:p>
        </w:tc>
        <w:tc>
          <w:tcPr>
            <w:tcW w:w="3969" w:type="dxa"/>
          </w:tcPr>
          <w:p w:rsidR="00515A51" w:rsidRPr="00F3750E" w:rsidRDefault="00515A51" w:rsidP="00206848">
            <w:pPr>
              <w:spacing w:before="40" w:after="40"/>
              <w:jc w:val="center"/>
              <w:rPr>
                <w:rFonts w:ascii="Arial" w:hAnsi="Arial" w:cs="Arial"/>
                <w:b/>
                <w:sz w:val="20"/>
                <w:szCs w:val="20"/>
              </w:rPr>
            </w:pPr>
            <w:r w:rsidRPr="00F3750E">
              <w:rPr>
                <w:rFonts w:ascii="Arial" w:hAnsi="Arial" w:cs="Arial"/>
                <w:b/>
                <w:sz w:val="20"/>
                <w:szCs w:val="20"/>
              </w:rPr>
              <w:t>Annual charge ($)</w:t>
            </w:r>
          </w:p>
        </w:tc>
      </w:tr>
      <w:tr w:rsidR="00515A51" w:rsidRPr="00F3750E" w:rsidTr="00206848">
        <w:tc>
          <w:tcPr>
            <w:tcW w:w="3544" w:type="dxa"/>
          </w:tcPr>
          <w:p w:rsidR="00515A51" w:rsidRPr="00F3750E" w:rsidRDefault="00515A51" w:rsidP="00206848">
            <w:pPr>
              <w:spacing w:before="40" w:after="40"/>
              <w:jc w:val="center"/>
              <w:rPr>
                <w:rFonts w:ascii="Arial" w:hAnsi="Arial" w:cs="Arial"/>
                <w:sz w:val="20"/>
                <w:szCs w:val="20"/>
              </w:rPr>
            </w:pPr>
            <w:r w:rsidRPr="00F3750E">
              <w:rPr>
                <w:rFonts w:ascii="Arial" w:hAnsi="Arial" w:cs="Arial"/>
                <w:sz w:val="20"/>
                <w:szCs w:val="20"/>
              </w:rPr>
              <w:t>1-50</w:t>
            </w:r>
          </w:p>
        </w:tc>
        <w:tc>
          <w:tcPr>
            <w:tcW w:w="3969" w:type="dxa"/>
          </w:tcPr>
          <w:p w:rsidR="00515A51" w:rsidRPr="00FB0127" w:rsidRDefault="00515A51" w:rsidP="00206848">
            <w:pPr>
              <w:spacing w:before="40" w:after="40"/>
              <w:jc w:val="center"/>
              <w:rPr>
                <w:rFonts w:ascii="Arial" w:hAnsi="Arial" w:cs="Arial"/>
                <w:sz w:val="20"/>
                <w:szCs w:val="20"/>
              </w:rPr>
            </w:pPr>
            <w:r>
              <w:rPr>
                <w:rFonts w:ascii="Arial" w:hAnsi="Arial" w:cs="Arial"/>
                <w:sz w:val="20"/>
                <w:szCs w:val="20"/>
              </w:rPr>
              <w:t>58.167</w:t>
            </w:r>
          </w:p>
        </w:tc>
      </w:tr>
      <w:tr w:rsidR="00515A51" w:rsidRPr="00F3750E" w:rsidTr="00206848">
        <w:tc>
          <w:tcPr>
            <w:tcW w:w="3544" w:type="dxa"/>
          </w:tcPr>
          <w:p w:rsidR="00515A51" w:rsidRPr="00F3750E" w:rsidRDefault="00515A51" w:rsidP="00206848">
            <w:pPr>
              <w:spacing w:before="40" w:after="40"/>
              <w:jc w:val="center"/>
              <w:rPr>
                <w:rFonts w:ascii="Arial" w:hAnsi="Arial" w:cs="Arial"/>
                <w:sz w:val="20"/>
                <w:szCs w:val="20"/>
              </w:rPr>
            </w:pPr>
            <w:r w:rsidRPr="00F3750E">
              <w:rPr>
                <w:rFonts w:ascii="Arial" w:hAnsi="Arial" w:cs="Arial"/>
                <w:sz w:val="20"/>
                <w:szCs w:val="20"/>
              </w:rPr>
              <w:t>51-100</w:t>
            </w:r>
          </w:p>
        </w:tc>
        <w:tc>
          <w:tcPr>
            <w:tcW w:w="3969" w:type="dxa"/>
          </w:tcPr>
          <w:p w:rsidR="00515A51" w:rsidRPr="00FB0127" w:rsidRDefault="00515A51" w:rsidP="00206848">
            <w:pPr>
              <w:spacing w:before="40" w:after="40"/>
              <w:jc w:val="center"/>
              <w:rPr>
                <w:rFonts w:ascii="Arial" w:hAnsi="Arial" w:cs="Arial"/>
                <w:sz w:val="20"/>
                <w:szCs w:val="20"/>
              </w:rPr>
            </w:pPr>
            <w:r>
              <w:rPr>
                <w:rFonts w:ascii="Arial" w:hAnsi="Arial" w:cs="Arial"/>
                <w:sz w:val="20"/>
                <w:szCs w:val="20"/>
              </w:rPr>
              <w:t>116.333</w:t>
            </w:r>
          </w:p>
        </w:tc>
      </w:tr>
      <w:tr w:rsidR="00515A51" w:rsidRPr="00F3750E" w:rsidTr="00206848">
        <w:trPr>
          <w:trHeight w:val="229"/>
        </w:trPr>
        <w:tc>
          <w:tcPr>
            <w:tcW w:w="3544" w:type="dxa"/>
          </w:tcPr>
          <w:p w:rsidR="00515A51" w:rsidRPr="00F3750E" w:rsidRDefault="00515A51" w:rsidP="00206848">
            <w:pPr>
              <w:spacing w:before="40" w:after="40"/>
              <w:jc w:val="center"/>
              <w:rPr>
                <w:rFonts w:ascii="Arial" w:hAnsi="Arial" w:cs="Arial"/>
                <w:sz w:val="20"/>
                <w:szCs w:val="20"/>
              </w:rPr>
            </w:pPr>
            <w:r w:rsidRPr="00F3750E">
              <w:rPr>
                <w:rFonts w:ascii="Arial" w:hAnsi="Arial" w:cs="Arial"/>
                <w:sz w:val="20"/>
                <w:szCs w:val="20"/>
              </w:rPr>
              <w:t>101-200</w:t>
            </w:r>
          </w:p>
        </w:tc>
        <w:tc>
          <w:tcPr>
            <w:tcW w:w="3969" w:type="dxa"/>
          </w:tcPr>
          <w:p w:rsidR="00515A51" w:rsidRPr="00FB0127" w:rsidRDefault="00515A51" w:rsidP="00206848">
            <w:pPr>
              <w:spacing w:before="40" w:after="40"/>
              <w:jc w:val="center"/>
              <w:rPr>
                <w:rFonts w:ascii="Arial" w:hAnsi="Arial" w:cs="Arial"/>
                <w:sz w:val="20"/>
                <w:szCs w:val="20"/>
              </w:rPr>
            </w:pPr>
            <w:r>
              <w:rPr>
                <w:rFonts w:ascii="Arial" w:hAnsi="Arial" w:cs="Arial"/>
                <w:sz w:val="20"/>
                <w:szCs w:val="20"/>
              </w:rPr>
              <w:t>232.666</w:t>
            </w:r>
          </w:p>
        </w:tc>
      </w:tr>
      <w:tr w:rsidR="00515A51" w:rsidRPr="00F3750E" w:rsidTr="00206848">
        <w:tc>
          <w:tcPr>
            <w:tcW w:w="3544" w:type="dxa"/>
          </w:tcPr>
          <w:p w:rsidR="00515A51" w:rsidRPr="00F3750E" w:rsidRDefault="00515A51" w:rsidP="00206848">
            <w:pPr>
              <w:spacing w:before="40" w:after="40"/>
              <w:jc w:val="center"/>
              <w:rPr>
                <w:rFonts w:ascii="Arial" w:hAnsi="Arial" w:cs="Arial"/>
                <w:sz w:val="20"/>
                <w:szCs w:val="20"/>
              </w:rPr>
            </w:pPr>
            <w:r w:rsidRPr="00F3750E">
              <w:rPr>
                <w:rFonts w:ascii="Arial" w:hAnsi="Arial" w:cs="Arial"/>
                <w:sz w:val="20"/>
                <w:szCs w:val="20"/>
              </w:rPr>
              <w:t>201-300</w:t>
            </w:r>
          </w:p>
        </w:tc>
        <w:tc>
          <w:tcPr>
            <w:tcW w:w="3969" w:type="dxa"/>
          </w:tcPr>
          <w:p w:rsidR="00515A51" w:rsidRPr="00FB0127" w:rsidRDefault="00515A51" w:rsidP="00206848">
            <w:pPr>
              <w:spacing w:before="40" w:after="40"/>
              <w:jc w:val="center"/>
              <w:rPr>
                <w:rFonts w:ascii="Arial" w:hAnsi="Arial" w:cs="Arial"/>
                <w:sz w:val="20"/>
                <w:szCs w:val="20"/>
              </w:rPr>
            </w:pPr>
            <w:r>
              <w:rPr>
                <w:rFonts w:ascii="Arial" w:hAnsi="Arial" w:cs="Arial"/>
                <w:sz w:val="20"/>
                <w:szCs w:val="20"/>
              </w:rPr>
              <w:t>348.998</w:t>
            </w:r>
          </w:p>
        </w:tc>
      </w:tr>
      <w:tr w:rsidR="00515A51" w:rsidRPr="00F3750E" w:rsidTr="00206848">
        <w:trPr>
          <w:trHeight w:val="70"/>
        </w:trPr>
        <w:tc>
          <w:tcPr>
            <w:tcW w:w="3544" w:type="dxa"/>
          </w:tcPr>
          <w:p w:rsidR="00515A51" w:rsidRPr="00F3750E" w:rsidRDefault="00515A51" w:rsidP="00206848">
            <w:pPr>
              <w:spacing w:before="40" w:after="40"/>
              <w:jc w:val="center"/>
              <w:rPr>
                <w:rFonts w:ascii="Arial" w:hAnsi="Arial" w:cs="Arial"/>
                <w:sz w:val="20"/>
                <w:szCs w:val="20"/>
              </w:rPr>
            </w:pPr>
            <w:r w:rsidRPr="00F3750E">
              <w:rPr>
                <w:rFonts w:ascii="Arial" w:hAnsi="Arial" w:cs="Arial"/>
                <w:sz w:val="20"/>
                <w:szCs w:val="20"/>
              </w:rPr>
              <w:t>301-400</w:t>
            </w:r>
          </w:p>
        </w:tc>
        <w:tc>
          <w:tcPr>
            <w:tcW w:w="3969" w:type="dxa"/>
          </w:tcPr>
          <w:p w:rsidR="00515A51" w:rsidRPr="001E15C8" w:rsidRDefault="00515A51" w:rsidP="00206848">
            <w:pPr>
              <w:spacing w:before="40" w:after="40"/>
              <w:jc w:val="center"/>
              <w:rPr>
                <w:rFonts w:ascii="Arial" w:hAnsi="Arial" w:cs="Arial"/>
                <w:sz w:val="20"/>
                <w:szCs w:val="20"/>
              </w:rPr>
            </w:pPr>
            <w:r w:rsidRPr="001E15C8">
              <w:rPr>
                <w:rFonts w:ascii="Arial" w:hAnsi="Arial" w:cs="Arial"/>
                <w:sz w:val="20"/>
                <w:szCs w:val="20"/>
              </w:rPr>
              <w:t>465.331</w:t>
            </w:r>
          </w:p>
        </w:tc>
      </w:tr>
      <w:tr w:rsidR="00515A51" w:rsidRPr="00F3750E" w:rsidTr="00206848">
        <w:tc>
          <w:tcPr>
            <w:tcW w:w="3544" w:type="dxa"/>
          </w:tcPr>
          <w:p w:rsidR="00515A51" w:rsidRPr="002D472A" w:rsidRDefault="00515A51" w:rsidP="00206848">
            <w:pPr>
              <w:spacing w:before="40" w:after="40"/>
              <w:jc w:val="center"/>
              <w:rPr>
                <w:rFonts w:ascii="Arial" w:hAnsi="Arial" w:cs="Arial"/>
                <w:sz w:val="20"/>
                <w:szCs w:val="20"/>
              </w:rPr>
            </w:pPr>
            <w:r w:rsidRPr="002D472A">
              <w:rPr>
                <w:rFonts w:ascii="Arial" w:hAnsi="Arial" w:cs="Arial"/>
                <w:sz w:val="20"/>
                <w:szCs w:val="20"/>
              </w:rPr>
              <w:t>401 and above</w:t>
            </w:r>
          </w:p>
        </w:tc>
        <w:tc>
          <w:tcPr>
            <w:tcW w:w="3969" w:type="dxa"/>
          </w:tcPr>
          <w:p w:rsidR="00515A51" w:rsidRPr="00FB0127" w:rsidRDefault="00515A51" w:rsidP="00206848">
            <w:pPr>
              <w:spacing w:before="40" w:after="40"/>
              <w:jc w:val="center"/>
              <w:rPr>
                <w:rFonts w:ascii="Arial" w:hAnsi="Arial" w:cs="Arial"/>
                <w:sz w:val="20"/>
                <w:szCs w:val="20"/>
              </w:rPr>
            </w:pPr>
            <w:r w:rsidRPr="00FB0127">
              <w:rPr>
                <w:rFonts w:ascii="Arial" w:hAnsi="Arial" w:cs="Arial"/>
                <w:sz w:val="20"/>
                <w:szCs w:val="20"/>
              </w:rPr>
              <w:t>1 </w:t>
            </w:r>
            <w:r>
              <w:rPr>
                <w:rFonts w:ascii="Arial" w:hAnsi="Arial" w:cs="Arial"/>
                <w:sz w:val="20"/>
                <w:szCs w:val="20"/>
              </w:rPr>
              <w:t>163</w:t>
            </w:r>
            <w:r w:rsidRPr="00FB0127">
              <w:rPr>
                <w:rFonts w:ascii="Arial" w:hAnsi="Arial" w:cs="Arial"/>
                <w:sz w:val="20"/>
                <w:szCs w:val="20"/>
              </w:rPr>
              <w:t>.</w:t>
            </w:r>
            <w:r>
              <w:rPr>
                <w:rFonts w:ascii="Arial" w:hAnsi="Arial" w:cs="Arial"/>
                <w:sz w:val="20"/>
                <w:szCs w:val="20"/>
              </w:rPr>
              <w:t>328</w:t>
            </w:r>
          </w:p>
        </w:tc>
      </w:tr>
    </w:tbl>
    <w:p w:rsidR="00515A51" w:rsidRPr="002D472A" w:rsidRDefault="00515A51" w:rsidP="00515A51">
      <w:pPr>
        <w:spacing w:before="120"/>
        <w:ind w:left="720" w:hanging="720"/>
        <w:jc w:val="both"/>
        <w:rPr>
          <w:rFonts w:cs="Arial"/>
        </w:rPr>
      </w:pPr>
      <w:r w:rsidRPr="002D472A">
        <w:rPr>
          <w:rFonts w:cs="Arial"/>
        </w:rPr>
        <w:t>(2)</w:t>
      </w:r>
      <w:r w:rsidRPr="002D472A">
        <w:rPr>
          <w:rFonts w:cs="Arial"/>
        </w:rPr>
        <w:tab/>
        <w:t xml:space="preserve">The retail price is to be calculated on the actual light wattage range of the prescribed customer's electrical installations as provided in writing to the </w:t>
      </w:r>
      <w:r>
        <w:rPr>
          <w:rFonts w:cs="Arial"/>
        </w:rPr>
        <w:t>billing entity</w:t>
      </w:r>
      <w:r w:rsidRPr="002D472A">
        <w:rPr>
          <w:rFonts w:cs="Arial"/>
        </w:rPr>
        <w:t xml:space="preserve"> by the customer.</w:t>
      </w:r>
    </w:p>
    <w:p w:rsidR="00515A51" w:rsidRPr="00293542" w:rsidRDefault="00874553" w:rsidP="00515A51">
      <w:pPr>
        <w:tabs>
          <w:tab w:val="left" w:pos="-720"/>
        </w:tabs>
        <w:spacing w:before="240" w:after="240"/>
        <w:rPr>
          <w:rFonts w:cs="Arial"/>
          <w:b/>
          <w:spacing w:val="-3"/>
        </w:rPr>
      </w:pPr>
      <w:r>
        <w:rPr>
          <w:rFonts w:cs="Arial"/>
          <w:b/>
          <w:spacing w:val="-3"/>
        </w:rPr>
        <w:t>PART 4</w:t>
      </w:r>
      <w:r w:rsidR="00515A51">
        <w:rPr>
          <w:rFonts w:cs="Arial"/>
          <w:b/>
          <w:spacing w:val="-3"/>
        </w:rPr>
        <w:tab/>
      </w:r>
      <w:r w:rsidR="00515A51" w:rsidRPr="00293542">
        <w:rPr>
          <w:rFonts w:cs="Arial"/>
          <w:b/>
          <w:spacing w:val="-3"/>
        </w:rPr>
        <w:t>UTILITIES COMMISSION</w:t>
      </w:r>
    </w:p>
    <w:p w:rsidR="00515A51" w:rsidRDefault="00515A51" w:rsidP="00515A51">
      <w:pPr>
        <w:keepNext/>
        <w:spacing w:after="240"/>
        <w:ind w:left="720" w:hanging="720"/>
        <w:jc w:val="both"/>
        <w:rPr>
          <w:rFonts w:cs="Arial"/>
          <w:b/>
        </w:rPr>
      </w:pPr>
      <w:r>
        <w:rPr>
          <w:rFonts w:cs="Arial"/>
          <w:b/>
        </w:rPr>
        <w:t>9</w:t>
      </w:r>
      <w:r w:rsidRPr="00891260">
        <w:rPr>
          <w:rFonts w:cs="Arial"/>
          <w:b/>
        </w:rPr>
        <w:tab/>
        <w:t>Role of Utilities Commission</w:t>
      </w:r>
    </w:p>
    <w:p w:rsidR="00515A51" w:rsidRPr="00891260" w:rsidRDefault="00515A51" w:rsidP="00515A51">
      <w:pPr>
        <w:keepNext/>
        <w:spacing w:after="120"/>
        <w:jc w:val="both"/>
        <w:rPr>
          <w:rFonts w:cs="Arial"/>
        </w:rPr>
      </w:pPr>
      <w:r w:rsidRPr="00891260">
        <w:rPr>
          <w:rFonts w:cs="Arial"/>
        </w:rPr>
        <w:tab/>
      </w:r>
      <w:r>
        <w:rPr>
          <w:rFonts w:cs="Arial"/>
        </w:rPr>
        <w:t>The Utilities Commission is to:</w:t>
      </w:r>
    </w:p>
    <w:p w:rsidR="00515A51" w:rsidRPr="00891260" w:rsidRDefault="00515A51" w:rsidP="00515A51">
      <w:pPr>
        <w:spacing w:after="120"/>
        <w:ind w:left="1440" w:hanging="720"/>
        <w:jc w:val="both"/>
        <w:rPr>
          <w:rFonts w:cs="Arial"/>
        </w:rPr>
      </w:pPr>
      <w:r w:rsidRPr="00891260">
        <w:rPr>
          <w:rFonts w:cs="Arial"/>
        </w:rPr>
        <w:t>(a)</w:t>
      </w:r>
      <w:r w:rsidRPr="00891260">
        <w:rPr>
          <w:rFonts w:cs="Arial"/>
        </w:rPr>
        <w:tab/>
        <w:t xml:space="preserve">monitor compliance with this </w:t>
      </w:r>
      <w:r>
        <w:rPr>
          <w:rFonts w:cs="Arial"/>
        </w:rPr>
        <w:t>electricity pricing order</w:t>
      </w:r>
      <w:r w:rsidRPr="00891260">
        <w:rPr>
          <w:rFonts w:cs="Arial"/>
        </w:rPr>
        <w:t>;</w:t>
      </w:r>
      <w:r>
        <w:rPr>
          <w:rFonts w:cs="Arial"/>
        </w:rPr>
        <w:t xml:space="preserve"> and</w:t>
      </w:r>
    </w:p>
    <w:p w:rsidR="00515A51" w:rsidRPr="00891260" w:rsidRDefault="00515A51" w:rsidP="00515A51">
      <w:pPr>
        <w:spacing w:after="120"/>
        <w:ind w:left="1440" w:hanging="720"/>
        <w:jc w:val="both"/>
        <w:rPr>
          <w:rFonts w:cs="Arial"/>
        </w:rPr>
      </w:pPr>
      <w:r w:rsidRPr="00891260">
        <w:rPr>
          <w:rFonts w:cs="Arial"/>
        </w:rPr>
        <w:t>(b)</w:t>
      </w:r>
      <w:r w:rsidRPr="00891260">
        <w:rPr>
          <w:rFonts w:cs="Arial"/>
        </w:rPr>
        <w:tab/>
        <w:t xml:space="preserve">enforce this </w:t>
      </w:r>
      <w:r>
        <w:rPr>
          <w:rFonts w:cs="Arial"/>
        </w:rPr>
        <w:t>o</w:t>
      </w:r>
      <w:r w:rsidRPr="00891260">
        <w:rPr>
          <w:rFonts w:cs="Arial"/>
        </w:rPr>
        <w:t xml:space="preserve">rder </w:t>
      </w:r>
      <w:r w:rsidRPr="00B436E2">
        <w:rPr>
          <w:rFonts w:cs="Arial"/>
        </w:rPr>
        <w:t xml:space="preserve">under section 23 of the </w:t>
      </w:r>
      <w:r w:rsidRPr="00B436E2">
        <w:rPr>
          <w:rFonts w:cs="Arial"/>
          <w:i/>
        </w:rPr>
        <w:t>Utilities</w:t>
      </w:r>
      <w:r>
        <w:rPr>
          <w:rFonts w:cs="Arial"/>
          <w:i/>
        </w:rPr>
        <w:t> </w:t>
      </w:r>
      <w:r w:rsidRPr="00B436E2">
        <w:rPr>
          <w:rFonts w:cs="Arial"/>
          <w:i/>
        </w:rPr>
        <w:t>Commission</w:t>
      </w:r>
      <w:r>
        <w:rPr>
          <w:rFonts w:cs="Arial"/>
          <w:i/>
        </w:rPr>
        <w:t> </w:t>
      </w:r>
      <w:r w:rsidRPr="00B436E2">
        <w:rPr>
          <w:rFonts w:cs="Arial"/>
          <w:i/>
        </w:rPr>
        <w:t>Act</w:t>
      </w:r>
      <w:r w:rsidRPr="00B436E2">
        <w:rPr>
          <w:rFonts w:cs="Arial"/>
        </w:rPr>
        <w:t xml:space="preserve"> in the same way as if it were</w:t>
      </w:r>
      <w:r w:rsidRPr="00891260">
        <w:rPr>
          <w:rFonts w:cs="Arial"/>
        </w:rPr>
        <w:t xml:space="preserve"> a determination under that Act; and</w:t>
      </w:r>
    </w:p>
    <w:p w:rsidR="00515A51" w:rsidRPr="00013219" w:rsidRDefault="00515A51" w:rsidP="00515A51">
      <w:pPr>
        <w:ind w:left="1440" w:hanging="720"/>
        <w:jc w:val="both"/>
        <w:rPr>
          <w:sz w:val="16"/>
          <w:szCs w:val="16"/>
        </w:rPr>
      </w:pPr>
      <w:r w:rsidRPr="00891260">
        <w:rPr>
          <w:rFonts w:cs="Arial"/>
        </w:rPr>
        <w:t>(c)</w:t>
      </w:r>
      <w:r w:rsidRPr="00891260">
        <w:rPr>
          <w:rFonts w:cs="Arial"/>
        </w:rPr>
        <w:tab/>
        <w:t xml:space="preserve">investigate any complaints made to the Utilities Commission by </w:t>
      </w:r>
      <w:r>
        <w:rPr>
          <w:rFonts w:cs="Arial"/>
        </w:rPr>
        <w:t>prescribed</w:t>
      </w:r>
      <w:r w:rsidRPr="00891260">
        <w:rPr>
          <w:rFonts w:cs="Arial"/>
        </w:rPr>
        <w:t xml:space="preserve"> customers that prices to which this </w:t>
      </w:r>
      <w:r>
        <w:rPr>
          <w:rFonts w:cs="Arial"/>
        </w:rPr>
        <w:t>o</w:t>
      </w:r>
      <w:r w:rsidRPr="00891260">
        <w:rPr>
          <w:rFonts w:cs="Arial"/>
        </w:rPr>
        <w:t xml:space="preserve">rder applies do not comply with this </w:t>
      </w:r>
      <w:r>
        <w:rPr>
          <w:rFonts w:cs="Arial"/>
        </w:rPr>
        <w:t>o</w:t>
      </w:r>
      <w:r w:rsidRPr="00891260">
        <w:rPr>
          <w:rFonts w:cs="Arial"/>
        </w:rPr>
        <w:t>rder.</w:t>
      </w:r>
    </w:p>
    <w:p w:rsidR="00874553" w:rsidRPr="001F2D88" w:rsidRDefault="00874553" w:rsidP="00874553">
      <w:pPr>
        <w:pageBreakBefore/>
        <w:tabs>
          <w:tab w:val="left" w:pos="8640"/>
        </w:tabs>
        <w:spacing w:line="360" w:lineRule="auto"/>
        <w:jc w:val="center"/>
        <w:rPr>
          <w:spacing w:val="-3"/>
        </w:rPr>
      </w:pPr>
      <w:r w:rsidRPr="00CE1DB8">
        <w:rPr>
          <w:spacing w:val="-3"/>
        </w:rPr>
        <w:lastRenderedPageBreak/>
        <w:t>Northern Territory of Australia</w:t>
      </w:r>
    </w:p>
    <w:p w:rsidR="00874553" w:rsidRPr="004C196F" w:rsidRDefault="00874553" w:rsidP="00874553">
      <w:pPr>
        <w:spacing w:line="360" w:lineRule="auto"/>
        <w:jc w:val="center"/>
        <w:outlineLvl w:val="0"/>
        <w:rPr>
          <w:rFonts w:cs="Helvetica"/>
          <w:i/>
        </w:rPr>
      </w:pPr>
      <w:r>
        <w:rPr>
          <w:rFonts w:cs="Helvetica"/>
          <w:i/>
        </w:rPr>
        <w:t>Water Supply and Sewerage Services Act</w:t>
      </w:r>
    </w:p>
    <w:p w:rsidR="00874553" w:rsidRPr="005D2BCA" w:rsidRDefault="00874553" w:rsidP="00874553">
      <w:pPr>
        <w:spacing w:line="360" w:lineRule="auto"/>
        <w:jc w:val="center"/>
        <w:rPr>
          <w:b/>
          <w:spacing w:val="-3"/>
        </w:rPr>
      </w:pPr>
      <w:r>
        <w:rPr>
          <w:b/>
          <w:spacing w:val="-3"/>
        </w:rPr>
        <w:t>Notice of Issuing of Pricing Order</w:t>
      </w:r>
    </w:p>
    <w:p w:rsidR="00874553" w:rsidRDefault="00874553" w:rsidP="00874553">
      <w:pPr>
        <w:spacing w:after="120" w:line="360" w:lineRule="auto"/>
        <w:jc w:val="both"/>
      </w:pPr>
      <w:r w:rsidRPr="00CE1DB8">
        <w:t xml:space="preserve">I, </w:t>
      </w:r>
      <w:r>
        <w:t xml:space="preserve">Nicole Susan </w:t>
      </w:r>
      <w:proofErr w:type="spellStart"/>
      <w:r>
        <w:t>Manison</w:t>
      </w:r>
      <w:proofErr w:type="spellEnd"/>
      <w:r w:rsidRPr="00CE1DB8">
        <w:t xml:space="preserve">, </w:t>
      </w:r>
      <w:r>
        <w:t>Treasurer</w:t>
      </w:r>
      <w:r w:rsidRPr="00CE1DB8">
        <w:t>, under section </w:t>
      </w:r>
      <w:r>
        <w:t xml:space="preserve">60(5) </w:t>
      </w:r>
      <w:r w:rsidRPr="00CE1DB8">
        <w:t xml:space="preserve">of the </w:t>
      </w:r>
      <w:r>
        <w:rPr>
          <w:i/>
        </w:rPr>
        <w:t xml:space="preserve">Water Supply and Sewerage Services </w:t>
      </w:r>
      <w:r w:rsidRPr="00643A83">
        <w:rPr>
          <w:i/>
        </w:rPr>
        <w:t>Act</w:t>
      </w:r>
      <w:r w:rsidRPr="00CE1DB8">
        <w:t xml:space="preserve">, </w:t>
      </w:r>
      <w:r>
        <w:t>give notice that:</w:t>
      </w:r>
    </w:p>
    <w:p w:rsidR="00874553" w:rsidRDefault="00874553" w:rsidP="00874553">
      <w:pPr>
        <w:spacing w:after="120" w:line="360" w:lineRule="auto"/>
        <w:ind w:left="720" w:hanging="720"/>
        <w:jc w:val="both"/>
      </w:pPr>
      <w:r>
        <w:t>(a)</w:t>
      </w:r>
      <w:r>
        <w:tab/>
        <w:t>a pricing order regulating prices for the sale of water supply and sewerage services has been issued; and</w:t>
      </w:r>
    </w:p>
    <w:p w:rsidR="00874553" w:rsidRDefault="00874553" w:rsidP="00874553">
      <w:pPr>
        <w:spacing w:after="120" w:line="360" w:lineRule="auto"/>
        <w:ind w:left="720" w:hanging="720"/>
        <w:jc w:val="both"/>
      </w:pPr>
      <w:r>
        <w:t>(b)</w:t>
      </w:r>
      <w:r>
        <w:tab/>
        <w:t>the order will have the effect of regulating those prices from 1 January 2017 to 30 June 2017; and</w:t>
      </w:r>
    </w:p>
    <w:p w:rsidR="00874553" w:rsidRDefault="00874553" w:rsidP="00874553">
      <w:pPr>
        <w:spacing w:after="120" w:line="360" w:lineRule="auto"/>
        <w:ind w:left="720" w:hanging="720"/>
        <w:jc w:val="both"/>
      </w:pPr>
      <w:r>
        <w:t>(c)</w:t>
      </w:r>
      <w:r>
        <w:tab/>
        <w:t>a copy of the order may be inspected at, and obtained from, the Power and Water Corporation.</w:t>
      </w:r>
    </w:p>
    <w:p w:rsidR="00EE37AB" w:rsidRPr="00CE1DB8" w:rsidRDefault="00EE37AB" w:rsidP="00EE37AB">
      <w:pPr>
        <w:spacing w:line="360" w:lineRule="auto"/>
      </w:pPr>
      <w:r w:rsidRPr="00CE1DB8">
        <w:t>Dated</w:t>
      </w:r>
      <w:r>
        <w:t xml:space="preserve"> 22 December 2016</w:t>
      </w:r>
    </w:p>
    <w:p w:rsidR="00EE37AB" w:rsidRDefault="00EE37AB" w:rsidP="00EE37AB">
      <w:pPr>
        <w:tabs>
          <w:tab w:val="left" w:pos="8640"/>
        </w:tabs>
        <w:spacing w:after="0"/>
        <w:jc w:val="right"/>
        <w:rPr>
          <w:spacing w:val="-3"/>
        </w:rPr>
      </w:pPr>
      <w:r>
        <w:rPr>
          <w:spacing w:val="-3"/>
        </w:rPr>
        <w:t xml:space="preserve">N. S. </w:t>
      </w:r>
      <w:proofErr w:type="spellStart"/>
      <w:r>
        <w:rPr>
          <w:spacing w:val="-3"/>
        </w:rPr>
        <w:t>Manison</w:t>
      </w:r>
      <w:proofErr w:type="spellEnd"/>
    </w:p>
    <w:p w:rsidR="00EE37AB" w:rsidRPr="00CE1DB8" w:rsidRDefault="00EE37AB" w:rsidP="00EE37AB">
      <w:pPr>
        <w:tabs>
          <w:tab w:val="left" w:pos="8640"/>
        </w:tabs>
        <w:spacing w:before="0" w:line="360" w:lineRule="auto"/>
        <w:jc w:val="right"/>
        <w:rPr>
          <w:spacing w:val="-3"/>
        </w:rPr>
      </w:pPr>
      <w:r>
        <w:rPr>
          <w:spacing w:val="-3"/>
        </w:rPr>
        <w:t>Treasurer</w:t>
      </w:r>
    </w:p>
    <w:p w:rsidR="00874553" w:rsidRPr="001F2D88" w:rsidRDefault="00874553" w:rsidP="00EE37AB">
      <w:pPr>
        <w:pageBreakBefore/>
        <w:tabs>
          <w:tab w:val="left" w:pos="8640"/>
        </w:tabs>
        <w:spacing w:line="360" w:lineRule="auto"/>
        <w:jc w:val="center"/>
        <w:rPr>
          <w:spacing w:val="-3"/>
        </w:rPr>
      </w:pPr>
      <w:r w:rsidRPr="00CE1DB8">
        <w:rPr>
          <w:spacing w:val="-3"/>
        </w:rPr>
        <w:lastRenderedPageBreak/>
        <w:t>Northern Territory of Australia</w:t>
      </w:r>
    </w:p>
    <w:p w:rsidR="00874553" w:rsidRPr="004C196F" w:rsidRDefault="00874553" w:rsidP="00874553">
      <w:pPr>
        <w:spacing w:line="360" w:lineRule="auto"/>
        <w:jc w:val="center"/>
        <w:outlineLvl w:val="0"/>
        <w:rPr>
          <w:rFonts w:cs="Helvetica"/>
          <w:i/>
        </w:rPr>
      </w:pPr>
      <w:r>
        <w:rPr>
          <w:rFonts w:cs="Helvetica"/>
          <w:i/>
        </w:rPr>
        <w:t>Water Supply and Sewerage Services Act</w:t>
      </w:r>
    </w:p>
    <w:p w:rsidR="00874553" w:rsidRPr="005D2BCA" w:rsidRDefault="00874553" w:rsidP="00874553">
      <w:pPr>
        <w:spacing w:line="360" w:lineRule="auto"/>
        <w:jc w:val="center"/>
        <w:rPr>
          <w:b/>
          <w:spacing w:val="-3"/>
        </w:rPr>
      </w:pPr>
      <w:r>
        <w:rPr>
          <w:b/>
          <w:spacing w:val="-3"/>
        </w:rPr>
        <w:t>Issue of Pricing Order</w:t>
      </w:r>
    </w:p>
    <w:p w:rsidR="00874553" w:rsidRDefault="00874553" w:rsidP="00874553">
      <w:pPr>
        <w:spacing w:line="360" w:lineRule="auto"/>
        <w:jc w:val="both"/>
      </w:pPr>
      <w:r w:rsidRPr="00CE1DB8">
        <w:t xml:space="preserve">I, </w:t>
      </w:r>
      <w:r>
        <w:t xml:space="preserve">Nicole Susan </w:t>
      </w:r>
      <w:proofErr w:type="spellStart"/>
      <w:r>
        <w:t>Manison</w:t>
      </w:r>
      <w:proofErr w:type="spellEnd"/>
      <w:r w:rsidRPr="00CE1DB8">
        <w:t xml:space="preserve">, </w:t>
      </w:r>
      <w:r>
        <w:t>Treasurer</w:t>
      </w:r>
      <w:r w:rsidRPr="00CE1DB8">
        <w:t>, under section </w:t>
      </w:r>
      <w:r>
        <w:t xml:space="preserve">60(1)(a) and (b) </w:t>
      </w:r>
      <w:r w:rsidRPr="00CE1DB8">
        <w:t xml:space="preserve">of the </w:t>
      </w:r>
      <w:r>
        <w:rPr>
          <w:i/>
        </w:rPr>
        <w:t xml:space="preserve">Water Supply and Sewerage Services </w:t>
      </w:r>
      <w:r w:rsidRPr="00643A83">
        <w:rPr>
          <w:i/>
        </w:rPr>
        <w:t>Act</w:t>
      </w:r>
      <w:r w:rsidRPr="00CE1DB8">
        <w:t>,</w:t>
      </w:r>
      <w:r>
        <w:t xml:space="preserve"> issue the pricing order set out in the Schedule, to take effect on 1 January 2017 and to remain in force for 6 months.</w:t>
      </w:r>
    </w:p>
    <w:p w:rsidR="00EE37AB" w:rsidRPr="00CE1DB8" w:rsidRDefault="00EE37AB" w:rsidP="00EE37AB">
      <w:pPr>
        <w:spacing w:line="360" w:lineRule="auto"/>
      </w:pPr>
      <w:r w:rsidRPr="00CE1DB8">
        <w:t>Dated</w:t>
      </w:r>
      <w:r>
        <w:t xml:space="preserve"> 22 December 2016</w:t>
      </w:r>
    </w:p>
    <w:p w:rsidR="00EE37AB" w:rsidRDefault="00EE37AB" w:rsidP="00EE37AB">
      <w:pPr>
        <w:tabs>
          <w:tab w:val="left" w:pos="8640"/>
        </w:tabs>
        <w:spacing w:after="0"/>
        <w:jc w:val="right"/>
        <w:rPr>
          <w:spacing w:val="-3"/>
        </w:rPr>
      </w:pPr>
      <w:r>
        <w:rPr>
          <w:spacing w:val="-3"/>
        </w:rPr>
        <w:t xml:space="preserve">N. S. </w:t>
      </w:r>
      <w:proofErr w:type="spellStart"/>
      <w:r>
        <w:rPr>
          <w:spacing w:val="-3"/>
        </w:rPr>
        <w:t>Manison</w:t>
      </w:r>
      <w:proofErr w:type="spellEnd"/>
    </w:p>
    <w:p w:rsidR="00EE37AB" w:rsidRPr="00CE1DB8" w:rsidRDefault="00EE37AB" w:rsidP="00EE37AB">
      <w:pPr>
        <w:tabs>
          <w:tab w:val="left" w:pos="8640"/>
        </w:tabs>
        <w:spacing w:before="0" w:line="360" w:lineRule="auto"/>
        <w:jc w:val="right"/>
        <w:rPr>
          <w:spacing w:val="-3"/>
        </w:rPr>
      </w:pPr>
      <w:r>
        <w:rPr>
          <w:spacing w:val="-3"/>
        </w:rPr>
        <w:t>Treasurer</w:t>
      </w:r>
    </w:p>
    <w:p w:rsidR="00874553" w:rsidRDefault="00874553" w:rsidP="00874553">
      <w:pPr>
        <w:spacing w:line="360" w:lineRule="auto"/>
        <w:jc w:val="center"/>
        <w:rPr>
          <w:b/>
        </w:rPr>
      </w:pPr>
      <w:r>
        <w:rPr>
          <w:b/>
        </w:rPr>
        <w:t>Schedule</w:t>
      </w:r>
    </w:p>
    <w:p w:rsidR="00874553" w:rsidRDefault="00874553" w:rsidP="00874553">
      <w:pPr>
        <w:spacing w:line="360" w:lineRule="auto"/>
        <w:jc w:val="center"/>
        <w:rPr>
          <w:b/>
        </w:rPr>
      </w:pPr>
      <w:r>
        <w:rPr>
          <w:b/>
        </w:rPr>
        <w:t>Water Supply and Sewerage Services Pricing Order</w:t>
      </w:r>
    </w:p>
    <w:p w:rsidR="00874553" w:rsidRPr="00FE1518" w:rsidRDefault="00874553" w:rsidP="00874553">
      <w:pPr>
        <w:spacing w:before="240" w:after="240"/>
        <w:jc w:val="both"/>
        <w:rPr>
          <w:rFonts w:cs="Helvetica"/>
          <w:b/>
        </w:rPr>
      </w:pPr>
      <w:r w:rsidRPr="00FE1518">
        <w:rPr>
          <w:rFonts w:cs="Helvetica"/>
          <w:b/>
        </w:rPr>
        <w:t>1</w:t>
      </w:r>
      <w:r w:rsidRPr="00FE1518">
        <w:rPr>
          <w:rFonts w:cs="Helvetica"/>
          <w:b/>
        </w:rPr>
        <w:tab/>
        <w:t>Definitions</w:t>
      </w:r>
    </w:p>
    <w:p w:rsidR="00874553" w:rsidRPr="00EE37AB" w:rsidRDefault="00874553" w:rsidP="00EE37AB">
      <w:pPr>
        <w:keepNext/>
        <w:tabs>
          <w:tab w:val="left" w:pos="-720"/>
        </w:tabs>
        <w:spacing w:after="120"/>
        <w:rPr>
          <w:rFonts w:cs="Helvetica"/>
          <w:szCs w:val="24"/>
        </w:rPr>
      </w:pPr>
      <w:r w:rsidRPr="00EE37AB">
        <w:rPr>
          <w:rFonts w:cs="Helvetica"/>
          <w:szCs w:val="24"/>
        </w:rPr>
        <w:tab/>
        <w:t>In this pricing order:</w:t>
      </w:r>
    </w:p>
    <w:p w:rsidR="00874553" w:rsidRPr="00EE37AB" w:rsidRDefault="00874553" w:rsidP="00EE37AB">
      <w:pPr>
        <w:pStyle w:val="NormalWeb"/>
        <w:keepNext/>
        <w:spacing w:before="200" w:after="120"/>
        <w:ind w:left="709"/>
        <w:rPr>
          <w:rFonts w:ascii="Helvetica" w:hAnsi="Helvetica" w:cs="Helvetica"/>
          <w:sz w:val="24"/>
          <w:szCs w:val="24"/>
        </w:rPr>
      </w:pPr>
      <w:r w:rsidRPr="00EE37AB">
        <w:rPr>
          <w:rFonts w:ascii="Helvetica" w:hAnsi="Helvetica" w:cs="Helvetica"/>
          <w:b/>
          <w:bCs/>
          <w:i/>
          <w:iCs/>
          <w:sz w:val="24"/>
          <w:szCs w:val="24"/>
        </w:rPr>
        <w:t>body corporate</w:t>
      </w:r>
      <w:r w:rsidRPr="00EE37AB">
        <w:rPr>
          <w:rFonts w:ascii="Helvetica" w:hAnsi="Helvetica" w:cs="Helvetica"/>
          <w:sz w:val="24"/>
          <w:szCs w:val="24"/>
        </w:rPr>
        <w:t xml:space="preserve">, in relation to a development: </w:t>
      </w:r>
    </w:p>
    <w:p w:rsidR="00874553" w:rsidRPr="00EE37AB" w:rsidRDefault="00874553" w:rsidP="00EE37AB">
      <w:pPr>
        <w:pStyle w:val="NormalWeb"/>
        <w:spacing w:before="200" w:after="120"/>
        <w:ind w:left="1276" w:hanging="567"/>
        <w:rPr>
          <w:rFonts w:ascii="Helvetica" w:hAnsi="Helvetica" w:cs="Helvetica"/>
          <w:sz w:val="24"/>
          <w:szCs w:val="24"/>
        </w:rPr>
      </w:pPr>
      <w:r w:rsidRPr="00EE37AB">
        <w:rPr>
          <w:rFonts w:ascii="Helvetica" w:hAnsi="Helvetica" w:cs="Helvetica"/>
          <w:sz w:val="24"/>
          <w:szCs w:val="24"/>
        </w:rPr>
        <w:t>(a)</w:t>
      </w:r>
      <w:r w:rsidRPr="00EE37AB">
        <w:rPr>
          <w:rFonts w:ascii="Helvetica" w:hAnsi="Helvetica" w:cs="Helvetica"/>
          <w:sz w:val="24"/>
          <w:szCs w:val="24"/>
        </w:rPr>
        <w:tab/>
        <w:t xml:space="preserve">if the development is a scheme – see section 5 of the </w:t>
      </w:r>
      <w:r w:rsidRPr="00EE37AB">
        <w:rPr>
          <w:rFonts w:ascii="Helvetica" w:hAnsi="Helvetica" w:cs="Helvetica"/>
          <w:i/>
          <w:iCs/>
          <w:sz w:val="24"/>
          <w:szCs w:val="24"/>
        </w:rPr>
        <w:t>Unit Title Schemes Act</w:t>
      </w:r>
      <w:r w:rsidRPr="00EE37AB">
        <w:rPr>
          <w:rFonts w:ascii="Helvetica" w:hAnsi="Helvetica" w:cs="Helvetica"/>
          <w:sz w:val="24"/>
          <w:szCs w:val="24"/>
        </w:rPr>
        <w:t xml:space="preserve">; or </w:t>
      </w:r>
    </w:p>
    <w:p w:rsidR="00874553" w:rsidRPr="00EE37AB" w:rsidRDefault="00874553" w:rsidP="00EE37AB">
      <w:pPr>
        <w:pStyle w:val="NormalWeb"/>
        <w:spacing w:before="200" w:after="120"/>
        <w:ind w:left="1276" w:hanging="567"/>
        <w:rPr>
          <w:rFonts w:ascii="Helvetica" w:hAnsi="Helvetica" w:cs="Helvetica"/>
          <w:sz w:val="24"/>
          <w:szCs w:val="24"/>
        </w:rPr>
      </w:pPr>
      <w:r w:rsidRPr="00EE37AB">
        <w:rPr>
          <w:rFonts w:ascii="Helvetica" w:hAnsi="Helvetica" w:cs="Helvetica"/>
          <w:sz w:val="24"/>
          <w:szCs w:val="24"/>
        </w:rPr>
        <w:t>(b)</w:t>
      </w:r>
      <w:r w:rsidRPr="00EE37AB">
        <w:rPr>
          <w:rFonts w:ascii="Helvetica" w:hAnsi="Helvetica" w:cs="Helvetica"/>
          <w:sz w:val="24"/>
          <w:szCs w:val="24"/>
        </w:rPr>
        <w:tab/>
        <w:t xml:space="preserve">if the development is the Cullen Bay Marina development – means the Management Corporation as defined in section 2 of the </w:t>
      </w:r>
      <w:r w:rsidRPr="00EE37AB">
        <w:rPr>
          <w:rFonts w:ascii="Helvetica" w:hAnsi="Helvetica" w:cs="Helvetica"/>
          <w:i/>
          <w:sz w:val="24"/>
          <w:szCs w:val="24"/>
        </w:rPr>
        <w:t>Cullen Bay Marina Act</w:t>
      </w:r>
      <w:r w:rsidRPr="00EE37AB">
        <w:rPr>
          <w:rFonts w:ascii="Helvetica" w:hAnsi="Helvetica" w:cs="Helvetica"/>
          <w:sz w:val="24"/>
          <w:szCs w:val="24"/>
        </w:rPr>
        <w:t>; or</w:t>
      </w:r>
    </w:p>
    <w:p w:rsidR="00874553" w:rsidRPr="00EE37AB" w:rsidRDefault="00874553" w:rsidP="00EE37AB">
      <w:pPr>
        <w:pStyle w:val="NormalWeb"/>
        <w:spacing w:before="200" w:after="120"/>
        <w:ind w:left="1276" w:hanging="567"/>
        <w:rPr>
          <w:rFonts w:ascii="Helvetica" w:hAnsi="Helvetica" w:cs="Helvetica"/>
          <w:sz w:val="24"/>
          <w:szCs w:val="24"/>
        </w:rPr>
      </w:pPr>
      <w:r w:rsidRPr="00EE37AB">
        <w:rPr>
          <w:rFonts w:ascii="Helvetica" w:hAnsi="Helvetica" w:cs="Helvetica"/>
          <w:sz w:val="24"/>
          <w:szCs w:val="24"/>
        </w:rPr>
        <w:t>(c)</w:t>
      </w:r>
      <w:r w:rsidRPr="00EE37AB">
        <w:rPr>
          <w:rFonts w:ascii="Helvetica" w:hAnsi="Helvetica" w:cs="Helvetica"/>
          <w:sz w:val="24"/>
          <w:szCs w:val="24"/>
        </w:rPr>
        <w:tab/>
        <w:t xml:space="preserve">otherwise – means a corporation as defined in section 4(1) of the </w:t>
      </w:r>
      <w:r w:rsidRPr="00EE37AB">
        <w:rPr>
          <w:rFonts w:ascii="Helvetica" w:hAnsi="Helvetica" w:cs="Helvetica"/>
          <w:i/>
          <w:sz w:val="24"/>
          <w:szCs w:val="24"/>
        </w:rPr>
        <w:t>Unit Titles Act</w:t>
      </w:r>
      <w:r w:rsidRPr="00EE37AB">
        <w:rPr>
          <w:rFonts w:ascii="Helvetica" w:hAnsi="Helvetica" w:cs="Helvetica"/>
          <w:sz w:val="24"/>
          <w:szCs w:val="24"/>
        </w:rPr>
        <w:t xml:space="preserve">. </w:t>
      </w:r>
    </w:p>
    <w:p w:rsidR="00874553" w:rsidRPr="00EE37AB" w:rsidRDefault="00874553" w:rsidP="00874553">
      <w:pPr>
        <w:pStyle w:val="NormalWeb"/>
        <w:ind w:left="709"/>
        <w:rPr>
          <w:rFonts w:ascii="Helvetica" w:hAnsi="Helvetica" w:cs="Helvetica"/>
          <w:sz w:val="24"/>
          <w:szCs w:val="24"/>
        </w:rPr>
      </w:pPr>
      <w:r w:rsidRPr="00EE37AB">
        <w:rPr>
          <w:rFonts w:ascii="Helvetica" w:hAnsi="Helvetica" w:cs="Helvetica"/>
          <w:b/>
          <w:i/>
          <w:sz w:val="24"/>
          <w:szCs w:val="24"/>
        </w:rPr>
        <w:t>body corporate customer</w:t>
      </w:r>
      <w:r w:rsidRPr="00EE37AB">
        <w:rPr>
          <w:rFonts w:ascii="Helvetica" w:hAnsi="Helvetica" w:cs="Helvetica"/>
          <w:sz w:val="24"/>
          <w:szCs w:val="24"/>
        </w:rPr>
        <w:t xml:space="preserve"> means a customer that is the body corporate of a development.</w:t>
      </w:r>
    </w:p>
    <w:p w:rsidR="00874553" w:rsidRPr="00FE1518" w:rsidRDefault="00874553" w:rsidP="00874553">
      <w:pPr>
        <w:tabs>
          <w:tab w:val="left" w:pos="-720"/>
        </w:tabs>
        <w:spacing w:after="120"/>
        <w:ind w:left="720" w:hanging="11"/>
        <w:jc w:val="both"/>
        <w:rPr>
          <w:rFonts w:cs="Helvetica"/>
        </w:rPr>
      </w:pPr>
      <w:r w:rsidRPr="00FE1518">
        <w:rPr>
          <w:rFonts w:cs="Helvetica"/>
          <w:b/>
          <w:i/>
        </w:rPr>
        <w:t>Corporation</w:t>
      </w:r>
      <w:r w:rsidRPr="00FE1518">
        <w:rPr>
          <w:rFonts w:cs="Helvetica"/>
        </w:rPr>
        <w:t xml:space="preserve"> means the Power and Water Corporation.</w:t>
      </w:r>
    </w:p>
    <w:p w:rsidR="00874553" w:rsidRPr="00FE1518" w:rsidRDefault="00874553" w:rsidP="00874553">
      <w:pPr>
        <w:spacing w:after="120"/>
        <w:ind w:left="709"/>
        <w:jc w:val="both"/>
        <w:rPr>
          <w:rFonts w:cs="Helvetica"/>
          <w:bCs/>
          <w:iCs/>
        </w:rPr>
      </w:pPr>
      <w:r w:rsidRPr="00FE1518">
        <w:rPr>
          <w:rFonts w:cs="Helvetica"/>
          <w:b/>
          <w:bCs/>
          <w:i/>
          <w:iCs/>
        </w:rPr>
        <w:t>Cullen Bay Marina development</w:t>
      </w:r>
      <w:r w:rsidRPr="00FE1518">
        <w:rPr>
          <w:rFonts w:cs="Helvetica"/>
          <w:bCs/>
          <w:iCs/>
        </w:rPr>
        <w:t xml:space="preserve"> means the subdivision under the </w:t>
      </w:r>
      <w:r w:rsidRPr="00FE1518">
        <w:rPr>
          <w:rFonts w:cs="Helvetica"/>
          <w:bCs/>
          <w:i/>
          <w:iCs/>
        </w:rPr>
        <w:t>Cullen Bay Marina Act</w:t>
      </w:r>
      <w:r w:rsidRPr="00FE1518">
        <w:rPr>
          <w:rFonts w:cs="Helvetica"/>
          <w:bCs/>
          <w:iCs/>
        </w:rPr>
        <w:t xml:space="preserve"> of the development area as defined in section 2 of that Act.</w:t>
      </w:r>
    </w:p>
    <w:p w:rsidR="00874553" w:rsidRPr="00FE1518" w:rsidRDefault="00874553" w:rsidP="00874553">
      <w:pPr>
        <w:spacing w:after="120"/>
        <w:ind w:left="709"/>
        <w:jc w:val="both"/>
        <w:rPr>
          <w:rFonts w:cs="Helvetica"/>
        </w:rPr>
      </w:pPr>
      <w:r w:rsidRPr="00FE1518">
        <w:rPr>
          <w:rFonts w:cs="Helvetica"/>
          <w:b/>
          <w:bCs/>
          <w:i/>
          <w:iCs/>
        </w:rPr>
        <w:t>development</w:t>
      </w:r>
      <w:r w:rsidRPr="00FE1518">
        <w:rPr>
          <w:rFonts w:cs="Helvetica"/>
        </w:rPr>
        <w:t xml:space="preserve"> means:</w:t>
      </w:r>
    </w:p>
    <w:p w:rsidR="00874553" w:rsidRPr="00FE1518" w:rsidRDefault="00874553" w:rsidP="00874553">
      <w:pPr>
        <w:spacing w:after="120"/>
        <w:ind w:left="709"/>
        <w:jc w:val="both"/>
        <w:rPr>
          <w:rFonts w:cs="Helvetica"/>
        </w:rPr>
      </w:pPr>
      <w:r w:rsidRPr="00FE1518">
        <w:rPr>
          <w:rFonts w:cs="Helvetica"/>
        </w:rPr>
        <w:t>(a)</w:t>
      </w:r>
      <w:r w:rsidRPr="00FE1518">
        <w:rPr>
          <w:rFonts w:cs="Helvetica"/>
        </w:rPr>
        <w:tab/>
        <w:t>a scheme; or</w:t>
      </w:r>
    </w:p>
    <w:p w:rsidR="00874553" w:rsidRPr="00FE1518" w:rsidRDefault="00874553" w:rsidP="00874553">
      <w:pPr>
        <w:spacing w:after="120"/>
        <w:ind w:left="709"/>
        <w:jc w:val="both"/>
        <w:rPr>
          <w:rFonts w:cs="Helvetica"/>
        </w:rPr>
      </w:pPr>
      <w:r w:rsidRPr="00FE1518">
        <w:rPr>
          <w:rFonts w:cs="Helvetica"/>
        </w:rPr>
        <w:t>(b)</w:t>
      </w:r>
      <w:r w:rsidRPr="00FE1518">
        <w:rPr>
          <w:rFonts w:cs="Helvetica"/>
        </w:rPr>
        <w:tab/>
        <w:t xml:space="preserve">the Cullen Bay Marina development; or </w:t>
      </w:r>
    </w:p>
    <w:p w:rsidR="00874553" w:rsidRPr="00FE1518" w:rsidRDefault="00874553" w:rsidP="00874553">
      <w:pPr>
        <w:spacing w:after="120"/>
        <w:ind w:left="709"/>
        <w:jc w:val="both"/>
        <w:rPr>
          <w:rFonts w:cs="Helvetica"/>
        </w:rPr>
      </w:pPr>
      <w:r w:rsidRPr="00FE1518">
        <w:rPr>
          <w:rFonts w:cs="Helvetica"/>
        </w:rPr>
        <w:lastRenderedPageBreak/>
        <w:t>(c)</w:t>
      </w:r>
      <w:r w:rsidRPr="00FE1518">
        <w:rPr>
          <w:rFonts w:cs="Helvetica"/>
        </w:rPr>
        <w:tab/>
        <w:t>a unit development; or</w:t>
      </w:r>
    </w:p>
    <w:p w:rsidR="00874553" w:rsidRPr="00FE1518" w:rsidRDefault="00874553" w:rsidP="00874553">
      <w:pPr>
        <w:spacing w:after="240"/>
        <w:ind w:left="1418" w:hanging="709"/>
        <w:jc w:val="both"/>
        <w:rPr>
          <w:rFonts w:cs="Helvetica"/>
        </w:rPr>
      </w:pPr>
      <w:r w:rsidRPr="00FE1518">
        <w:rPr>
          <w:rFonts w:cs="Helvetica"/>
        </w:rPr>
        <w:t>(d)</w:t>
      </w:r>
      <w:r w:rsidRPr="00FE1518">
        <w:rPr>
          <w:rFonts w:cs="Helvetica"/>
        </w:rPr>
        <w:tab/>
        <w:t xml:space="preserve">a building development, condominium development or estate development, each as defined in section 4(1) of the </w:t>
      </w:r>
      <w:r w:rsidRPr="00FE1518">
        <w:rPr>
          <w:rFonts w:cs="Helvetica"/>
          <w:i/>
          <w:iCs/>
        </w:rPr>
        <w:t>Unit Titles Act</w:t>
      </w:r>
      <w:r w:rsidRPr="00FE1518">
        <w:rPr>
          <w:rFonts w:cs="Helvetica"/>
        </w:rPr>
        <w:t>.</w:t>
      </w:r>
    </w:p>
    <w:p w:rsidR="00874553" w:rsidRPr="00FE1518" w:rsidRDefault="00874553" w:rsidP="00874553">
      <w:pPr>
        <w:spacing w:after="120"/>
        <w:ind w:left="1440" w:hanging="720"/>
        <w:jc w:val="both"/>
        <w:rPr>
          <w:rFonts w:cs="Helvetica"/>
        </w:rPr>
      </w:pPr>
      <w:r w:rsidRPr="00FE1518">
        <w:rPr>
          <w:rFonts w:cs="Helvetica"/>
          <w:b/>
          <w:i/>
        </w:rPr>
        <w:t>government water customer</w:t>
      </w:r>
      <w:r w:rsidRPr="00FE1518">
        <w:rPr>
          <w:rFonts w:cs="Helvetica"/>
        </w:rPr>
        <w:t xml:space="preserve"> means one of the following:</w:t>
      </w:r>
    </w:p>
    <w:p w:rsidR="00874553" w:rsidRPr="00FE1518" w:rsidRDefault="00874553" w:rsidP="00874553">
      <w:pPr>
        <w:tabs>
          <w:tab w:val="left" w:pos="720"/>
          <w:tab w:val="left" w:pos="1440"/>
          <w:tab w:val="left" w:pos="2880"/>
          <w:tab w:val="left" w:pos="3600"/>
          <w:tab w:val="left" w:pos="4320"/>
          <w:tab w:val="left" w:pos="5040"/>
          <w:tab w:val="left" w:pos="5760"/>
          <w:tab w:val="left" w:pos="6480"/>
          <w:tab w:val="left" w:pos="7200"/>
          <w:tab w:val="left" w:pos="7920"/>
        </w:tabs>
        <w:suppressAutoHyphens/>
        <w:spacing w:after="120"/>
        <w:ind w:left="1440" w:hanging="731"/>
        <w:jc w:val="both"/>
        <w:rPr>
          <w:rFonts w:cs="Helvetica"/>
        </w:rPr>
      </w:pPr>
      <w:r w:rsidRPr="00FE1518">
        <w:rPr>
          <w:rFonts w:cs="Helvetica"/>
        </w:rPr>
        <w:t>(a)</w:t>
      </w:r>
      <w:r w:rsidRPr="00FE1518">
        <w:rPr>
          <w:rFonts w:cs="Helvetica"/>
        </w:rPr>
        <w:tab/>
        <w:t>an agency, instrumentality or corporation of the Territory or the Commonwealth whose primary function does not involve providing services or facilities to the public that compete with services provided by the private sector;</w:t>
      </w:r>
    </w:p>
    <w:p w:rsidR="00874553" w:rsidRPr="00FE1518" w:rsidRDefault="00874553" w:rsidP="00874553">
      <w:pPr>
        <w:tabs>
          <w:tab w:val="left" w:pos="720"/>
          <w:tab w:val="left" w:pos="1440"/>
          <w:tab w:val="left" w:pos="2880"/>
          <w:tab w:val="left" w:pos="3600"/>
          <w:tab w:val="left" w:pos="4320"/>
          <w:tab w:val="left" w:pos="5040"/>
          <w:tab w:val="left" w:pos="5760"/>
          <w:tab w:val="left" w:pos="6480"/>
          <w:tab w:val="left" w:pos="7200"/>
          <w:tab w:val="left" w:pos="7920"/>
        </w:tabs>
        <w:suppressAutoHyphens/>
        <w:spacing w:after="120"/>
        <w:ind w:left="709"/>
        <w:jc w:val="both"/>
        <w:rPr>
          <w:rFonts w:cs="Helvetica"/>
        </w:rPr>
      </w:pPr>
      <w:r w:rsidRPr="00FE1518">
        <w:rPr>
          <w:rFonts w:cs="Helvetica"/>
        </w:rPr>
        <w:t>(b)</w:t>
      </w:r>
      <w:r w:rsidRPr="00FE1518">
        <w:rPr>
          <w:rFonts w:cs="Helvetica"/>
        </w:rPr>
        <w:tab/>
      </w:r>
      <w:r w:rsidRPr="00914616">
        <w:rPr>
          <w:rFonts w:cs="Helvetica"/>
        </w:rPr>
        <w:t>a local government council</w:t>
      </w:r>
    </w:p>
    <w:p w:rsidR="00874553" w:rsidRPr="00FE1518" w:rsidRDefault="00874553" w:rsidP="00874553">
      <w:pPr>
        <w:keepNext/>
        <w:spacing w:after="120"/>
        <w:ind w:left="709" w:firstLine="11"/>
        <w:jc w:val="both"/>
        <w:rPr>
          <w:rFonts w:cs="Helvetica"/>
          <w:b/>
        </w:rPr>
      </w:pPr>
      <w:r w:rsidRPr="00FE1518">
        <w:rPr>
          <w:rFonts w:cs="Helvetica"/>
          <w:b/>
          <w:i/>
        </w:rPr>
        <w:t>multiple residential dwelling sewerage customer</w:t>
      </w:r>
      <w:r w:rsidRPr="00FE1518">
        <w:rPr>
          <w:rFonts w:cs="Helvetica"/>
        </w:rPr>
        <w:t>, see clause 8(2).</w:t>
      </w:r>
    </w:p>
    <w:p w:rsidR="00874553" w:rsidRPr="00FE1518" w:rsidRDefault="00874553" w:rsidP="00874553">
      <w:pPr>
        <w:keepNext/>
        <w:tabs>
          <w:tab w:val="left" w:pos="1276"/>
        </w:tabs>
        <w:spacing w:after="120"/>
        <w:ind w:left="720"/>
        <w:jc w:val="both"/>
        <w:rPr>
          <w:rFonts w:cs="Helvetica"/>
        </w:rPr>
      </w:pPr>
      <w:r w:rsidRPr="00FE1518">
        <w:rPr>
          <w:rFonts w:cs="Helvetica"/>
          <w:b/>
          <w:i/>
        </w:rPr>
        <w:t>non-residential sewerage customer</w:t>
      </w:r>
      <w:r w:rsidRPr="00FE1518">
        <w:rPr>
          <w:rFonts w:cs="Helvetica"/>
        </w:rPr>
        <w:t xml:space="preserve"> means a customer who owns or occupies a property that is not:</w:t>
      </w:r>
    </w:p>
    <w:p w:rsidR="00874553" w:rsidRPr="00FE1518" w:rsidRDefault="00874553" w:rsidP="00874553">
      <w:pPr>
        <w:keepNext/>
        <w:tabs>
          <w:tab w:val="left" w:pos="1276"/>
        </w:tabs>
        <w:spacing w:after="120"/>
        <w:ind w:left="720"/>
        <w:jc w:val="both"/>
        <w:rPr>
          <w:rFonts w:cs="Helvetica"/>
        </w:rPr>
      </w:pPr>
      <w:r w:rsidRPr="00FE1518">
        <w:rPr>
          <w:rFonts w:cs="Helvetica"/>
        </w:rPr>
        <w:t>(a)</w:t>
      </w:r>
      <w:r w:rsidRPr="00FE1518">
        <w:rPr>
          <w:rFonts w:cs="Helvetica"/>
        </w:rPr>
        <w:tab/>
        <w:t xml:space="preserve">a residential property; or </w:t>
      </w:r>
    </w:p>
    <w:p w:rsidR="00874553" w:rsidRPr="00FE1518" w:rsidRDefault="00874553" w:rsidP="00874553">
      <w:pPr>
        <w:tabs>
          <w:tab w:val="left" w:pos="1276"/>
        </w:tabs>
        <w:spacing w:after="120"/>
        <w:ind w:left="720"/>
        <w:jc w:val="both"/>
        <w:rPr>
          <w:rFonts w:cs="Helvetica"/>
        </w:rPr>
      </w:pPr>
      <w:r w:rsidRPr="00FE1518">
        <w:rPr>
          <w:rFonts w:cs="Helvetica"/>
        </w:rPr>
        <w:t>(b)</w:t>
      </w:r>
      <w:r w:rsidRPr="00FE1518">
        <w:rPr>
          <w:rFonts w:cs="Helvetica"/>
        </w:rPr>
        <w:tab/>
        <w:t>a unit.</w:t>
      </w:r>
    </w:p>
    <w:p w:rsidR="00874553" w:rsidRPr="00FE1518" w:rsidRDefault="00874553" w:rsidP="00874553">
      <w:pPr>
        <w:pStyle w:val="BodyTextIndent"/>
        <w:ind w:left="709" w:firstLine="11"/>
        <w:rPr>
          <w:rFonts w:cs="Helvetica"/>
          <w:szCs w:val="24"/>
        </w:rPr>
      </w:pPr>
      <w:r w:rsidRPr="00FE1518">
        <w:rPr>
          <w:rFonts w:cs="Helvetica"/>
          <w:b/>
          <w:i/>
          <w:szCs w:val="24"/>
        </w:rPr>
        <w:t>portable meter water customer</w:t>
      </w:r>
      <w:r w:rsidRPr="00FE1518">
        <w:rPr>
          <w:rFonts w:cs="Helvetica"/>
          <w:szCs w:val="24"/>
        </w:rPr>
        <w:t xml:space="preserve"> means a customer who uses a portable meter issued under section 73 of the Act.</w:t>
      </w:r>
    </w:p>
    <w:p w:rsidR="00874553" w:rsidRPr="00FE1518" w:rsidRDefault="00874553" w:rsidP="00874553">
      <w:pPr>
        <w:pStyle w:val="BodyTextIndent"/>
        <w:ind w:left="709" w:firstLine="11"/>
        <w:rPr>
          <w:rFonts w:cs="Helvetica"/>
          <w:szCs w:val="24"/>
        </w:rPr>
      </w:pPr>
      <w:r w:rsidRPr="00FE1518">
        <w:rPr>
          <w:rFonts w:cs="Helvetica"/>
          <w:b/>
          <w:i/>
          <w:szCs w:val="24"/>
        </w:rPr>
        <w:t>regulated services</w:t>
      </w:r>
      <w:r w:rsidRPr="00FE1518">
        <w:rPr>
          <w:rFonts w:cs="Helvetica"/>
          <w:szCs w:val="24"/>
        </w:rPr>
        <w:t xml:space="preserve"> means water supply services, sewerage services and related services supplied to customers by the Corporation.</w:t>
      </w:r>
    </w:p>
    <w:p w:rsidR="00874553" w:rsidRPr="00FE1518" w:rsidRDefault="00874553" w:rsidP="00874553">
      <w:pPr>
        <w:keepNext/>
        <w:spacing w:after="120"/>
        <w:ind w:left="1440" w:hanging="720"/>
        <w:jc w:val="both"/>
        <w:rPr>
          <w:rFonts w:cs="Helvetica"/>
        </w:rPr>
      </w:pPr>
      <w:r w:rsidRPr="00FE1518">
        <w:rPr>
          <w:rFonts w:cs="Helvetica"/>
          <w:b/>
          <w:i/>
        </w:rPr>
        <w:t>related services</w:t>
      </w:r>
      <w:r w:rsidRPr="00FE1518">
        <w:rPr>
          <w:rFonts w:cs="Helvetica"/>
        </w:rPr>
        <w:t xml:space="preserve"> means:</w:t>
      </w:r>
    </w:p>
    <w:p w:rsidR="00874553" w:rsidRPr="00FE1518" w:rsidRDefault="00874553" w:rsidP="00874553">
      <w:pPr>
        <w:tabs>
          <w:tab w:val="left" w:pos="1276"/>
        </w:tabs>
        <w:spacing w:after="120"/>
        <w:ind w:left="1276" w:hanging="556"/>
        <w:jc w:val="both"/>
        <w:rPr>
          <w:rFonts w:cs="Helvetica"/>
        </w:rPr>
      </w:pPr>
      <w:r w:rsidRPr="00FE1518">
        <w:rPr>
          <w:rFonts w:cs="Helvetica"/>
        </w:rPr>
        <w:t>(a)</w:t>
      </w:r>
      <w:r w:rsidRPr="00FE1518">
        <w:rPr>
          <w:rFonts w:cs="Helvetica"/>
        </w:rPr>
        <w:tab/>
        <w:t>services ancillary to water supply services and sewerage services if the Corporation has an effective monopoly in the provision of the ancillary services; and</w:t>
      </w:r>
    </w:p>
    <w:p w:rsidR="00874553" w:rsidRPr="00FE1518" w:rsidRDefault="00874553" w:rsidP="00874553">
      <w:pPr>
        <w:tabs>
          <w:tab w:val="left" w:pos="1276"/>
        </w:tabs>
        <w:spacing w:after="120"/>
        <w:ind w:left="1276" w:hanging="556"/>
        <w:jc w:val="both"/>
        <w:rPr>
          <w:rFonts w:cs="Helvetica"/>
        </w:rPr>
      </w:pPr>
      <w:r w:rsidRPr="00FE1518">
        <w:rPr>
          <w:rFonts w:cs="Helvetica"/>
        </w:rPr>
        <w:t>(b)</w:t>
      </w:r>
      <w:r w:rsidRPr="00FE1518">
        <w:rPr>
          <w:rFonts w:cs="Helvetica"/>
        </w:rPr>
        <w:tab/>
        <w:t>services ancillary to the ownership or operation of the infrastructure associated with water supply services or sewerage services;</w:t>
      </w:r>
    </w:p>
    <w:p w:rsidR="00874553" w:rsidRPr="00FE1518" w:rsidRDefault="00874553" w:rsidP="00874553">
      <w:pPr>
        <w:tabs>
          <w:tab w:val="left" w:pos="709"/>
        </w:tabs>
        <w:spacing w:after="120"/>
        <w:ind w:left="709" w:firstLine="11"/>
        <w:jc w:val="both"/>
        <w:rPr>
          <w:rFonts w:cs="Helvetica"/>
        </w:rPr>
      </w:pPr>
      <w:r w:rsidRPr="00FE1518">
        <w:rPr>
          <w:rFonts w:cs="Helvetica"/>
        </w:rPr>
        <w:t>but does not include the acceptance of compliant trade waste that is discharged into a sewer owned and operated by the Corporation.</w:t>
      </w:r>
    </w:p>
    <w:p w:rsidR="00874553" w:rsidRDefault="00874553" w:rsidP="00874553">
      <w:pPr>
        <w:tabs>
          <w:tab w:val="left" w:pos="709"/>
        </w:tabs>
        <w:spacing w:after="120"/>
        <w:ind w:left="709" w:firstLine="11"/>
        <w:jc w:val="both"/>
        <w:rPr>
          <w:rFonts w:cs="Helvetica"/>
        </w:rPr>
      </w:pPr>
      <w:r w:rsidRPr="00FE1518">
        <w:rPr>
          <w:rFonts w:cs="Helvetica"/>
          <w:b/>
          <w:i/>
        </w:rPr>
        <w:t>residential dwelling</w:t>
      </w:r>
      <w:r w:rsidRPr="00FE1518">
        <w:rPr>
          <w:rFonts w:cs="Helvetica"/>
        </w:rPr>
        <w:t xml:space="preserve"> includes any premises intended to be used primarily as a r</w:t>
      </w:r>
      <w:r>
        <w:rPr>
          <w:rFonts w:cs="Helvetica"/>
        </w:rPr>
        <w:t>esidence.</w:t>
      </w:r>
    </w:p>
    <w:p w:rsidR="00874553" w:rsidRPr="00FE1518" w:rsidRDefault="00874553" w:rsidP="00874553">
      <w:pPr>
        <w:tabs>
          <w:tab w:val="left" w:pos="709"/>
        </w:tabs>
        <w:spacing w:after="120"/>
        <w:ind w:left="709" w:firstLine="11"/>
        <w:jc w:val="both"/>
        <w:rPr>
          <w:rFonts w:cs="Helvetica"/>
        </w:rPr>
      </w:pPr>
      <w:r w:rsidRPr="00FE1518">
        <w:rPr>
          <w:rFonts w:cs="Helvetica"/>
          <w:b/>
          <w:i/>
        </w:rPr>
        <w:t>residential property</w:t>
      </w:r>
      <w:r w:rsidRPr="00FE1518">
        <w:rPr>
          <w:rFonts w:cs="Helvetica"/>
        </w:rPr>
        <w:t xml:space="preserve"> includes:</w:t>
      </w:r>
    </w:p>
    <w:p w:rsidR="00874553" w:rsidRPr="00FE1518" w:rsidRDefault="00874553" w:rsidP="00874553">
      <w:pPr>
        <w:spacing w:after="120"/>
        <w:ind w:left="1276" w:hanging="567"/>
        <w:jc w:val="both"/>
        <w:rPr>
          <w:rFonts w:cs="Helvetica"/>
        </w:rPr>
      </w:pPr>
      <w:r w:rsidRPr="00FE1518">
        <w:rPr>
          <w:rFonts w:cs="Helvetica"/>
        </w:rPr>
        <w:t>(a)</w:t>
      </w:r>
      <w:r w:rsidRPr="00FE1518">
        <w:rPr>
          <w:rFonts w:cs="Helvetica"/>
        </w:rPr>
        <w:tab/>
        <w:t>land on which is situated a building or structure used or intended to be used primarily for residential purposes; and</w:t>
      </w:r>
    </w:p>
    <w:p w:rsidR="00874553" w:rsidRPr="00FE1518" w:rsidRDefault="00874553" w:rsidP="00874553">
      <w:pPr>
        <w:spacing w:after="120"/>
        <w:ind w:left="1276" w:hanging="567"/>
        <w:jc w:val="both"/>
        <w:rPr>
          <w:rFonts w:cs="Helvetica"/>
        </w:rPr>
      </w:pPr>
      <w:r w:rsidRPr="00FE1518">
        <w:rPr>
          <w:rFonts w:cs="Helvetica"/>
        </w:rPr>
        <w:t>(b)</w:t>
      </w:r>
      <w:r w:rsidRPr="00FE1518">
        <w:rPr>
          <w:rFonts w:cs="Helvetica"/>
        </w:rPr>
        <w:tab/>
        <w:t>vacant land zoned for residential purposes;</w:t>
      </w:r>
    </w:p>
    <w:p w:rsidR="00874553" w:rsidRPr="00FE1518" w:rsidRDefault="00874553" w:rsidP="00874553">
      <w:pPr>
        <w:keepNext/>
        <w:spacing w:after="120"/>
        <w:ind w:left="720" w:hanging="11"/>
        <w:jc w:val="both"/>
        <w:rPr>
          <w:rFonts w:cs="Helvetica"/>
        </w:rPr>
      </w:pPr>
      <w:r w:rsidRPr="00FE1518">
        <w:rPr>
          <w:rFonts w:cs="Helvetica"/>
        </w:rPr>
        <w:lastRenderedPageBreak/>
        <w:t>but does not include land used or intended to be used for commercial purposes, including land used or intended to be used for:</w:t>
      </w:r>
    </w:p>
    <w:p w:rsidR="00874553" w:rsidRPr="00FE1518" w:rsidRDefault="00874553" w:rsidP="00874553">
      <w:pPr>
        <w:pStyle w:val="TOC7"/>
        <w:tabs>
          <w:tab w:val="left" w:pos="720"/>
          <w:tab w:val="left" w:pos="2160"/>
          <w:tab w:val="left" w:pos="2880"/>
          <w:tab w:val="left" w:pos="3600"/>
          <w:tab w:val="left" w:pos="4320"/>
          <w:tab w:val="left" w:pos="5040"/>
          <w:tab w:val="left" w:pos="5760"/>
          <w:tab w:val="left" w:pos="6480"/>
          <w:tab w:val="left" w:pos="7200"/>
          <w:tab w:val="left" w:pos="7920"/>
        </w:tabs>
        <w:spacing w:after="120"/>
        <w:ind w:left="1276" w:hanging="567"/>
        <w:rPr>
          <w:rFonts w:cs="Helvetica"/>
          <w:szCs w:val="24"/>
        </w:rPr>
      </w:pPr>
      <w:r w:rsidRPr="00FE1518">
        <w:rPr>
          <w:rFonts w:cs="Helvetica"/>
          <w:szCs w:val="24"/>
        </w:rPr>
        <w:t>(c)</w:t>
      </w:r>
      <w:r w:rsidRPr="00FE1518">
        <w:rPr>
          <w:rFonts w:cs="Helvetica"/>
          <w:szCs w:val="24"/>
        </w:rPr>
        <w:tab/>
        <w:t>a guest house, hostel, motel, hotel or caravan park; or</w:t>
      </w:r>
    </w:p>
    <w:p w:rsidR="00874553" w:rsidRPr="00FE1518" w:rsidRDefault="00874553" w:rsidP="00874553">
      <w:pPr>
        <w:pStyle w:val="TOC7"/>
        <w:tabs>
          <w:tab w:val="left" w:pos="720"/>
          <w:tab w:val="left" w:pos="2160"/>
          <w:tab w:val="left" w:pos="2880"/>
          <w:tab w:val="left" w:pos="3600"/>
          <w:tab w:val="left" w:pos="4320"/>
          <w:tab w:val="left" w:pos="5040"/>
          <w:tab w:val="left" w:pos="5760"/>
          <w:tab w:val="left" w:pos="6480"/>
          <w:tab w:val="left" w:pos="7200"/>
          <w:tab w:val="left" w:pos="7920"/>
        </w:tabs>
        <w:spacing w:after="120"/>
        <w:ind w:left="1276" w:hanging="567"/>
        <w:rPr>
          <w:rFonts w:cs="Helvetica"/>
          <w:szCs w:val="24"/>
        </w:rPr>
      </w:pPr>
      <w:r w:rsidRPr="00FE1518">
        <w:rPr>
          <w:rFonts w:cs="Helvetica"/>
          <w:szCs w:val="24"/>
        </w:rPr>
        <w:t>(d)</w:t>
      </w:r>
      <w:r w:rsidRPr="00FE1518">
        <w:rPr>
          <w:rFonts w:cs="Helvetica"/>
          <w:szCs w:val="24"/>
        </w:rPr>
        <w:tab/>
        <w:t>a farming or mining enterprise; or</w:t>
      </w:r>
    </w:p>
    <w:p w:rsidR="00874553" w:rsidRPr="00FE1518" w:rsidRDefault="00874553" w:rsidP="00874553">
      <w:pPr>
        <w:pStyle w:val="TOC7"/>
        <w:tabs>
          <w:tab w:val="left" w:pos="720"/>
          <w:tab w:val="left" w:pos="2160"/>
          <w:tab w:val="left" w:pos="2880"/>
          <w:tab w:val="left" w:pos="3600"/>
          <w:tab w:val="left" w:pos="4320"/>
          <w:tab w:val="left" w:pos="5040"/>
          <w:tab w:val="left" w:pos="5760"/>
          <w:tab w:val="left" w:pos="6480"/>
          <w:tab w:val="left" w:pos="7200"/>
          <w:tab w:val="left" w:pos="7920"/>
        </w:tabs>
        <w:spacing w:after="120"/>
        <w:ind w:left="1276" w:hanging="567"/>
        <w:rPr>
          <w:rFonts w:cs="Helvetica"/>
          <w:szCs w:val="24"/>
        </w:rPr>
      </w:pPr>
      <w:r w:rsidRPr="00FE1518">
        <w:rPr>
          <w:rFonts w:cs="Helvetica"/>
          <w:szCs w:val="24"/>
        </w:rPr>
        <w:t>(e)</w:t>
      </w:r>
      <w:r w:rsidRPr="00FE1518">
        <w:rPr>
          <w:rFonts w:cs="Helvetica"/>
          <w:szCs w:val="24"/>
        </w:rPr>
        <w:tab/>
        <w:t>a residence attached to a shop or professional suite; or</w:t>
      </w:r>
    </w:p>
    <w:p w:rsidR="00874553" w:rsidRDefault="00874553" w:rsidP="00874553">
      <w:pPr>
        <w:spacing w:after="120"/>
        <w:ind w:left="1276" w:hanging="567"/>
        <w:jc w:val="both"/>
        <w:rPr>
          <w:rFonts w:cs="Helvetica"/>
        </w:rPr>
      </w:pPr>
      <w:r w:rsidRPr="00FE1518">
        <w:rPr>
          <w:rFonts w:cs="Helvetica"/>
        </w:rPr>
        <w:t>(f)</w:t>
      </w:r>
      <w:r w:rsidRPr="00FE1518">
        <w:rPr>
          <w:rFonts w:cs="Helvetica"/>
        </w:rPr>
        <w:tab/>
        <w:t>premises at which an occupation, business or profession is carried on by a person who resides at the premises.</w:t>
      </w:r>
    </w:p>
    <w:p w:rsidR="00874553" w:rsidRPr="00FE1518" w:rsidRDefault="00874553" w:rsidP="00874553">
      <w:pPr>
        <w:spacing w:after="120"/>
        <w:ind w:left="1276" w:hanging="567"/>
        <w:jc w:val="both"/>
        <w:rPr>
          <w:rFonts w:cs="Helvetica"/>
        </w:rPr>
      </w:pPr>
      <w:r w:rsidRPr="00FE1518">
        <w:rPr>
          <w:rFonts w:cs="Helvetica"/>
          <w:b/>
          <w:bCs/>
          <w:i/>
          <w:iCs/>
        </w:rPr>
        <w:t>scheme</w:t>
      </w:r>
      <w:r w:rsidRPr="00FE1518">
        <w:rPr>
          <w:rFonts w:cs="Helvetica"/>
        </w:rPr>
        <w:t xml:space="preserve">, see section 5 of the </w:t>
      </w:r>
      <w:r w:rsidRPr="00FE1518">
        <w:rPr>
          <w:rFonts w:cs="Helvetica"/>
          <w:i/>
          <w:iCs/>
        </w:rPr>
        <w:t>Unit Title Schemes Act</w:t>
      </w:r>
      <w:r w:rsidRPr="00FE1518">
        <w:rPr>
          <w:rFonts w:cs="Helvetica"/>
        </w:rPr>
        <w:t xml:space="preserve">. </w:t>
      </w:r>
    </w:p>
    <w:p w:rsidR="00874553" w:rsidRPr="00FE1518" w:rsidRDefault="00874553" w:rsidP="00874553">
      <w:pPr>
        <w:spacing w:after="120"/>
        <w:ind w:left="709" w:firstLine="11"/>
        <w:jc w:val="both"/>
        <w:rPr>
          <w:rFonts w:cs="Helvetica"/>
        </w:rPr>
      </w:pPr>
      <w:r w:rsidRPr="00FE1518">
        <w:rPr>
          <w:rFonts w:cs="Helvetica"/>
          <w:b/>
          <w:i/>
        </w:rPr>
        <w:t>single residential dwelling sewerage customer</w:t>
      </w:r>
      <w:r w:rsidRPr="00FE1518">
        <w:rPr>
          <w:rFonts w:cs="Helvetica"/>
        </w:rPr>
        <w:t xml:space="preserve"> means a customer who:</w:t>
      </w:r>
    </w:p>
    <w:p w:rsidR="00874553" w:rsidRPr="00FE1518" w:rsidRDefault="00874553" w:rsidP="00874553">
      <w:pPr>
        <w:tabs>
          <w:tab w:val="left" w:pos="1276"/>
        </w:tabs>
        <w:spacing w:after="120"/>
        <w:ind w:left="1276" w:hanging="556"/>
        <w:jc w:val="both"/>
        <w:rPr>
          <w:rFonts w:cs="Helvetica"/>
        </w:rPr>
      </w:pPr>
      <w:r w:rsidRPr="00FE1518">
        <w:rPr>
          <w:rFonts w:cs="Helvetica"/>
        </w:rPr>
        <w:t>(a)</w:t>
      </w:r>
      <w:r w:rsidRPr="00FE1518">
        <w:rPr>
          <w:rFonts w:cs="Helvetica"/>
        </w:rPr>
        <w:tab/>
        <w:t xml:space="preserve">owns or occupies a residential property </w:t>
      </w:r>
      <w:r w:rsidRPr="0004492F">
        <w:rPr>
          <w:rFonts w:cs="Helvetica"/>
        </w:rPr>
        <w:t>other than a unit</w:t>
      </w:r>
      <w:r w:rsidRPr="00FE1518">
        <w:rPr>
          <w:rFonts w:cs="Helvetica"/>
        </w:rPr>
        <w:t xml:space="preserve">; and </w:t>
      </w:r>
    </w:p>
    <w:p w:rsidR="00874553" w:rsidRPr="00FE1518" w:rsidRDefault="00874553" w:rsidP="00874553">
      <w:pPr>
        <w:tabs>
          <w:tab w:val="left" w:pos="1276"/>
        </w:tabs>
        <w:spacing w:after="120"/>
        <w:ind w:left="1276" w:hanging="556"/>
        <w:jc w:val="both"/>
        <w:rPr>
          <w:rFonts w:cs="Helvetica"/>
        </w:rPr>
      </w:pPr>
      <w:r w:rsidRPr="00FE1518">
        <w:rPr>
          <w:rFonts w:cs="Helvetica"/>
        </w:rPr>
        <w:t>(b)</w:t>
      </w:r>
      <w:r w:rsidRPr="00FE1518">
        <w:rPr>
          <w:rFonts w:cs="Helvetica"/>
        </w:rPr>
        <w:tab/>
        <w:t>is not a multiple residential dwelling sewerage customer.</w:t>
      </w:r>
    </w:p>
    <w:p w:rsidR="00874553" w:rsidRDefault="00874553" w:rsidP="00874553">
      <w:pPr>
        <w:tabs>
          <w:tab w:val="left" w:pos="1276"/>
        </w:tabs>
        <w:spacing w:after="120"/>
        <w:ind w:left="720"/>
        <w:jc w:val="both"/>
        <w:rPr>
          <w:rFonts w:cs="Helvetica"/>
        </w:rPr>
      </w:pPr>
      <w:r w:rsidRPr="00FE1518">
        <w:rPr>
          <w:rFonts w:cs="Helvetica"/>
          <w:b/>
          <w:i/>
        </w:rPr>
        <w:t>stand pipe water customer</w:t>
      </w:r>
      <w:r w:rsidRPr="00FE1518">
        <w:rPr>
          <w:rFonts w:cs="Helvetica"/>
        </w:rPr>
        <w:t xml:space="preserve"> means a customer supplied water through stand alone service pipe.</w:t>
      </w:r>
    </w:p>
    <w:p w:rsidR="00874553" w:rsidRPr="00FE1518" w:rsidRDefault="00874553" w:rsidP="00874553">
      <w:pPr>
        <w:tabs>
          <w:tab w:val="left" w:pos="1276"/>
        </w:tabs>
        <w:spacing w:after="120"/>
        <w:ind w:left="720"/>
        <w:jc w:val="both"/>
        <w:rPr>
          <w:rFonts w:cs="Helvetica"/>
        </w:rPr>
      </w:pPr>
      <w:r w:rsidRPr="00FE1518">
        <w:rPr>
          <w:rFonts w:cs="Helvetica"/>
          <w:b/>
          <w:i/>
        </w:rPr>
        <w:t>unit</w:t>
      </w:r>
      <w:r w:rsidRPr="00FE1518">
        <w:rPr>
          <w:rFonts w:cs="Helvetica"/>
        </w:rPr>
        <w:t xml:space="preserve"> means:</w:t>
      </w:r>
    </w:p>
    <w:p w:rsidR="00874553" w:rsidRPr="00FE1518" w:rsidRDefault="00874553" w:rsidP="00874553">
      <w:pPr>
        <w:tabs>
          <w:tab w:val="left" w:pos="1276"/>
        </w:tabs>
        <w:spacing w:after="120"/>
        <w:ind w:left="720"/>
        <w:jc w:val="both"/>
        <w:rPr>
          <w:rFonts w:cs="Helvetica"/>
        </w:rPr>
      </w:pPr>
      <w:r w:rsidRPr="00FE1518">
        <w:rPr>
          <w:rFonts w:cs="Helvetica"/>
        </w:rPr>
        <w:t>(a)</w:t>
      </w:r>
      <w:r w:rsidRPr="00FE1518">
        <w:rPr>
          <w:rFonts w:cs="Helvetica"/>
        </w:rPr>
        <w:tab/>
        <w:t>a unit as defined in either of the following:</w:t>
      </w:r>
    </w:p>
    <w:p w:rsidR="00874553" w:rsidRPr="00FE1518" w:rsidRDefault="00874553" w:rsidP="00874553">
      <w:pPr>
        <w:tabs>
          <w:tab w:val="left" w:pos="1418"/>
        </w:tabs>
        <w:spacing w:after="120"/>
        <w:ind w:left="1843" w:hanging="567"/>
        <w:jc w:val="both"/>
        <w:rPr>
          <w:rFonts w:cs="Helvetica"/>
        </w:rPr>
      </w:pPr>
      <w:r w:rsidRPr="00FE1518">
        <w:rPr>
          <w:rFonts w:cs="Helvetica"/>
        </w:rPr>
        <w:t>(</w:t>
      </w:r>
      <w:proofErr w:type="spellStart"/>
      <w:r w:rsidRPr="00FE1518">
        <w:rPr>
          <w:rFonts w:cs="Helvetica"/>
        </w:rPr>
        <w:t>i</w:t>
      </w:r>
      <w:proofErr w:type="spellEnd"/>
      <w:r w:rsidRPr="00FE1518">
        <w:rPr>
          <w:rFonts w:cs="Helvetica"/>
        </w:rPr>
        <w:t>)</w:t>
      </w:r>
      <w:r w:rsidRPr="00FE1518">
        <w:rPr>
          <w:rFonts w:cs="Helvetica"/>
        </w:rPr>
        <w:tab/>
        <w:t xml:space="preserve">section 4(1) of the </w:t>
      </w:r>
      <w:r w:rsidRPr="00FE1518">
        <w:rPr>
          <w:rFonts w:cs="Helvetica"/>
          <w:i/>
        </w:rPr>
        <w:t>Unit Titles Act</w:t>
      </w:r>
      <w:r w:rsidRPr="00FE1518">
        <w:rPr>
          <w:rFonts w:cs="Helvetica"/>
        </w:rPr>
        <w:t>;</w:t>
      </w:r>
    </w:p>
    <w:p w:rsidR="00874553" w:rsidRPr="00FE1518" w:rsidRDefault="00874553" w:rsidP="00874553">
      <w:pPr>
        <w:tabs>
          <w:tab w:val="left" w:pos="1418"/>
        </w:tabs>
        <w:spacing w:after="120"/>
        <w:ind w:left="1843" w:hanging="567"/>
        <w:jc w:val="both"/>
        <w:rPr>
          <w:rFonts w:cs="Helvetica"/>
        </w:rPr>
      </w:pPr>
      <w:r w:rsidRPr="00FE1518">
        <w:rPr>
          <w:rFonts w:cs="Helvetica"/>
        </w:rPr>
        <w:t>(ii)</w:t>
      </w:r>
      <w:r w:rsidRPr="00FE1518">
        <w:rPr>
          <w:rFonts w:cs="Helvetica"/>
        </w:rPr>
        <w:tab/>
        <w:t xml:space="preserve">section 37 of the </w:t>
      </w:r>
      <w:r w:rsidRPr="00FE1518">
        <w:rPr>
          <w:rFonts w:cs="Helvetica"/>
          <w:i/>
        </w:rPr>
        <w:t>Unit Title Schemes Act</w:t>
      </w:r>
      <w:r w:rsidRPr="00FE1518">
        <w:rPr>
          <w:rFonts w:cs="Helvetica"/>
        </w:rPr>
        <w:t>; or</w:t>
      </w:r>
    </w:p>
    <w:p w:rsidR="00874553" w:rsidRDefault="00874553" w:rsidP="00874553">
      <w:pPr>
        <w:tabs>
          <w:tab w:val="left" w:pos="1418"/>
        </w:tabs>
        <w:spacing w:after="120"/>
        <w:ind w:left="1276" w:hanging="567"/>
        <w:jc w:val="both"/>
        <w:rPr>
          <w:rFonts w:cs="Helvetica"/>
        </w:rPr>
      </w:pPr>
      <w:r w:rsidRPr="0004492F">
        <w:rPr>
          <w:rFonts w:cs="Helvetica"/>
        </w:rPr>
        <w:t>(b)</w:t>
      </w:r>
      <w:r w:rsidRPr="0004492F">
        <w:rPr>
          <w:rFonts w:cs="Helvetica"/>
        </w:rPr>
        <w:tab/>
        <w:t xml:space="preserve">a lot as defined in section 2 of the </w:t>
      </w:r>
      <w:r w:rsidRPr="0004492F">
        <w:rPr>
          <w:rFonts w:cs="Helvetica"/>
          <w:i/>
        </w:rPr>
        <w:t>Cullen Bay Marina Act</w:t>
      </w:r>
      <w:r w:rsidRPr="0004492F">
        <w:rPr>
          <w:rFonts w:cs="Helvetica"/>
        </w:rPr>
        <w:t>.</w:t>
      </w:r>
    </w:p>
    <w:p w:rsidR="00874553" w:rsidRPr="00FE1518" w:rsidRDefault="00874553" w:rsidP="00874553">
      <w:pPr>
        <w:tabs>
          <w:tab w:val="left" w:pos="1418"/>
        </w:tabs>
        <w:spacing w:after="120"/>
        <w:ind w:left="709"/>
        <w:jc w:val="both"/>
        <w:rPr>
          <w:rFonts w:cs="Helvetica"/>
        </w:rPr>
      </w:pPr>
      <w:r w:rsidRPr="00FE1518">
        <w:rPr>
          <w:rFonts w:cs="Helvetica"/>
          <w:b/>
          <w:bCs/>
          <w:i/>
          <w:iCs/>
        </w:rPr>
        <w:t>unit development</w:t>
      </w:r>
      <w:r w:rsidRPr="00FE1518">
        <w:rPr>
          <w:rFonts w:cs="Helvetica"/>
        </w:rPr>
        <w:t xml:space="preserve"> means a development to which Part III of the </w:t>
      </w:r>
      <w:r w:rsidRPr="00FE1518">
        <w:rPr>
          <w:rFonts w:cs="Helvetica"/>
          <w:i/>
          <w:iCs/>
        </w:rPr>
        <w:t>Unit Titles Act</w:t>
      </w:r>
      <w:r w:rsidRPr="00FE1518">
        <w:rPr>
          <w:rFonts w:cs="Helvetica"/>
        </w:rPr>
        <w:t xml:space="preserve"> applies, and includes lots subdivided under section 26Y, and building lots subdivided under section 26ZV, of that Act.</w:t>
      </w:r>
    </w:p>
    <w:p w:rsidR="00874553" w:rsidRPr="00FE1518" w:rsidRDefault="00874553" w:rsidP="00874553">
      <w:pPr>
        <w:keepNext/>
        <w:spacing w:before="240" w:after="240"/>
        <w:jc w:val="both"/>
        <w:rPr>
          <w:rFonts w:cs="Helvetica"/>
          <w:b/>
        </w:rPr>
      </w:pPr>
      <w:r w:rsidRPr="00FE1518">
        <w:rPr>
          <w:rFonts w:cs="Helvetica"/>
          <w:b/>
        </w:rPr>
        <w:t>2</w:t>
      </w:r>
      <w:r w:rsidRPr="00FE1518">
        <w:rPr>
          <w:rFonts w:cs="Helvetica"/>
          <w:b/>
        </w:rPr>
        <w:tab/>
        <w:t>Application of pricing order</w:t>
      </w:r>
    </w:p>
    <w:p w:rsidR="00874553" w:rsidRPr="00FE1518" w:rsidRDefault="00874553" w:rsidP="00874553">
      <w:pPr>
        <w:spacing w:after="120"/>
        <w:ind w:left="720" w:hanging="720"/>
        <w:jc w:val="both"/>
        <w:rPr>
          <w:rFonts w:cs="Helvetica"/>
        </w:rPr>
      </w:pPr>
      <w:r w:rsidRPr="00FE1518">
        <w:rPr>
          <w:rFonts w:cs="Helvetica"/>
        </w:rPr>
        <w:tab/>
        <w:t xml:space="preserve">This pricing order regulates prices for the sale of regulated services to the customers of the Corporation during the period </w:t>
      </w:r>
      <w:r>
        <w:rPr>
          <w:rFonts w:cs="Helvetica"/>
        </w:rPr>
        <w:t>from 1 January 2017</w:t>
      </w:r>
      <w:r w:rsidRPr="0004492F">
        <w:rPr>
          <w:rFonts w:cs="Helvetica"/>
        </w:rPr>
        <w:t xml:space="preserve"> to 3</w:t>
      </w:r>
      <w:r>
        <w:rPr>
          <w:rFonts w:cs="Helvetica"/>
        </w:rPr>
        <w:t>0</w:t>
      </w:r>
      <w:r w:rsidRPr="0004492F">
        <w:rPr>
          <w:rFonts w:cs="Helvetica"/>
        </w:rPr>
        <w:t> </w:t>
      </w:r>
      <w:r>
        <w:rPr>
          <w:rFonts w:cs="Helvetica"/>
        </w:rPr>
        <w:t>June</w:t>
      </w:r>
      <w:r w:rsidRPr="0004492F">
        <w:rPr>
          <w:rFonts w:cs="Helvetica"/>
        </w:rPr>
        <w:t> 201</w:t>
      </w:r>
      <w:r>
        <w:rPr>
          <w:rFonts w:cs="Helvetica"/>
        </w:rPr>
        <w:t>7</w:t>
      </w:r>
      <w:r w:rsidRPr="0004492F">
        <w:rPr>
          <w:rFonts w:cs="Helvetica"/>
        </w:rPr>
        <w:t>.</w:t>
      </w:r>
    </w:p>
    <w:p w:rsidR="00874553" w:rsidRPr="00FE1518" w:rsidRDefault="00874553" w:rsidP="00874553">
      <w:pPr>
        <w:keepNext/>
        <w:spacing w:before="240" w:after="240"/>
        <w:jc w:val="both"/>
        <w:rPr>
          <w:rFonts w:cs="Helvetica"/>
          <w:b/>
        </w:rPr>
      </w:pPr>
      <w:r w:rsidRPr="00FE1518">
        <w:rPr>
          <w:rFonts w:cs="Helvetica"/>
          <w:b/>
        </w:rPr>
        <w:t>3</w:t>
      </w:r>
      <w:r w:rsidRPr="00FE1518">
        <w:rPr>
          <w:rFonts w:cs="Helvetica"/>
          <w:b/>
        </w:rPr>
        <w:tab/>
        <w:t>Water supply – prices for customers generally</w:t>
      </w:r>
    </w:p>
    <w:p w:rsidR="00874553" w:rsidRPr="00FE1518" w:rsidRDefault="00874553" w:rsidP="00874553">
      <w:pPr>
        <w:keepNext/>
        <w:spacing w:after="120"/>
        <w:ind w:left="720" w:hanging="720"/>
        <w:jc w:val="both"/>
        <w:rPr>
          <w:rFonts w:cs="Helvetica"/>
        </w:rPr>
      </w:pPr>
      <w:r w:rsidRPr="00FE1518">
        <w:rPr>
          <w:rFonts w:cs="Helvetica"/>
        </w:rPr>
        <w:tab/>
        <w:t>Prices for water supply services are to distinguish between the following customers:</w:t>
      </w:r>
    </w:p>
    <w:p w:rsidR="00874553" w:rsidRPr="00FE1518" w:rsidRDefault="00874553" w:rsidP="0087455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FE1518">
        <w:rPr>
          <w:rFonts w:ascii="Helvetica" w:hAnsi="Helvetica" w:cs="Helvetica"/>
          <w:sz w:val="24"/>
          <w:szCs w:val="24"/>
        </w:rPr>
        <w:t>(a)</w:t>
      </w:r>
      <w:r w:rsidRPr="00FE1518">
        <w:rPr>
          <w:rFonts w:ascii="Helvetica" w:hAnsi="Helvetica" w:cs="Helvetica"/>
          <w:sz w:val="24"/>
          <w:szCs w:val="24"/>
        </w:rPr>
        <w:tab/>
        <w:t>portable meter water customers;</w:t>
      </w:r>
    </w:p>
    <w:p w:rsidR="00874553" w:rsidRPr="00FE1518" w:rsidRDefault="00874553" w:rsidP="0087455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FE1518">
        <w:rPr>
          <w:rFonts w:ascii="Helvetica" w:hAnsi="Helvetica" w:cs="Helvetica"/>
          <w:sz w:val="24"/>
          <w:szCs w:val="24"/>
        </w:rPr>
        <w:t>(b)</w:t>
      </w:r>
      <w:r w:rsidRPr="00FE1518">
        <w:rPr>
          <w:rFonts w:ascii="Helvetica" w:hAnsi="Helvetica" w:cs="Helvetica"/>
          <w:sz w:val="24"/>
          <w:szCs w:val="24"/>
        </w:rPr>
        <w:tab/>
        <w:t>government water customers;</w:t>
      </w:r>
    </w:p>
    <w:p w:rsidR="00874553" w:rsidRPr="00FE1518" w:rsidRDefault="00874553" w:rsidP="0087455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FE1518">
        <w:rPr>
          <w:rFonts w:ascii="Helvetica" w:hAnsi="Helvetica" w:cs="Helvetica"/>
          <w:sz w:val="24"/>
          <w:szCs w:val="24"/>
        </w:rPr>
        <w:t>(c)</w:t>
      </w:r>
      <w:r w:rsidRPr="00FE1518">
        <w:rPr>
          <w:rFonts w:ascii="Helvetica" w:hAnsi="Helvetica" w:cs="Helvetica"/>
          <w:sz w:val="24"/>
          <w:szCs w:val="24"/>
        </w:rPr>
        <w:tab/>
        <w:t>stand pipe water customers;</w:t>
      </w:r>
    </w:p>
    <w:p w:rsidR="00874553" w:rsidRPr="00FE1518" w:rsidRDefault="00874553" w:rsidP="0087455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FE1518">
        <w:rPr>
          <w:rFonts w:ascii="Helvetica" w:hAnsi="Helvetica" w:cs="Helvetica"/>
          <w:sz w:val="24"/>
          <w:szCs w:val="24"/>
        </w:rPr>
        <w:t>(d)</w:t>
      </w:r>
      <w:r w:rsidRPr="00FE1518">
        <w:rPr>
          <w:rFonts w:ascii="Helvetica" w:hAnsi="Helvetica" w:cs="Helvetica"/>
          <w:sz w:val="24"/>
          <w:szCs w:val="24"/>
        </w:rPr>
        <w:tab/>
        <w:t>all other customers</w:t>
      </w:r>
      <w:r>
        <w:rPr>
          <w:rFonts w:ascii="Helvetica" w:hAnsi="Helvetica" w:cs="Helvetica"/>
          <w:sz w:val="24"/>
          <w:szCs w:val="24"/>
        </w:rPr>
        <w:t>, including body corporate customers,</w:t>
      </w:r>
      <w:r w:rsidRPr="00FE1518">
        <w:rPr>
          <w:rFonts w:ascii="Helvetica" w:hAnsi="Helvetica" w:cs="Helvetica"/>
          <w:sz w:val="24"/>
          <w:szCs w:val="24"/>
        </w:rPr>
        <w:t xml:space="preserve"> to whom water supply services are sold.</w:t>
      </w:r>
    </w:p>
    <w:p w:rsidR="00874553" w:rsidRPr="00FE1518" w:rsidRDefault="00874553" w:rsidP="00874553">
      <w:pPr>
        <w:spacing w:before="240" w:after="240"/>
        <w:ind w:left="720" w:hanging="720"/>
        <w:jc w:val="both"/>
        <w:rPr>
          <w:rFonts w:cs="Helvetica"/>
          <w:b/>
        </w:rPr>
      </w:pPr>
      <w:r w:rsidRPr="00FE1518">
        <w:rPr>
          <w:rFonts w:cs="Helvetica"/>
          <w:b/>
        </w:rPr>
        <w:lastRenderedPageBreak/>
        <w:t>4</w:t>
      </w:r>
      <w:r w:rsidRPr="00FE1518">
        <w:rPr>
          <w:rFonts w:cs="Helvetica"/>
          <w:b/>
        </w:rPr>
        <w:tab/>
        <w:t>Water supply – fixed daily price for specified customers</w:t>
      </w:r>
    </w:p>
    <w:p w:rsidR="00874553" w:rsidRPr="00FE1518" w:rsidRDefault="00874553" w:rsidP="00874553">
      <w:pPr>
        <w:spacing w:after="120"/>
        <w:ind w:left="720" w:hanging="720"/>
        <w:jc w:val="both"/>
        <w:rPr>
          <w:rFonts w:cs="Helvetica"/>
        </w:rPr>
      </w:pPr>
      <w:r w:rsidRPr="00FE1518">
        <w:rPr>
          <w:rFonts w:cs="Helvetica"/>
        </w:rPr>
        <w:t>(1)</w:t>
      </w:r>
      <w:r w:rsidRPr="00FE1518">
        <w:rPr>
          <w:rFonts w:cs="Helvetica"/>
        </w:rPr>
        <w:tab/>
        <w:t>This clause applies to the customers mentioned in clause 3(b) and (d).</w:t>
      </w:r>
    </w:p>
    <w:p w:rsidR="00874553" w:rsidRPr="00FE1518" w:rsidRDefault="00874553" w:rsidP="00874553">
      <w:pPr>
        <w:spacing w:after="120"/>
        <w:ind w:left="720" w:hanging="720"/>
        <w:jc w:val="both"/>
        <w:rPr>
          <w:rFonts w:cs="Helvetica"/>
        </w:rPr>
      </w:pPr>
      <w:r w:rsidRPr="00FE1518">
        <w:rPr>
          <w:rFonts w:cs="Helvetica"/>
        </w:rPr>
        <w:t>(2)</w:t>
      </w:r>
      <w:r w:rsidRPr="00FE1518">
        <w:rPr>
          <w:rFonts w:cs="Helvetica"/>
        </w:rPr>
        <w:tab/>
        <w:t>The customer may be charged a fixed daily price component that:</w:t>
      </w:r>
    </w:p>
    <w:p w:rsidR="00874553" w:rsidRPr="00FE1518" w:rsidRDefault="00874553" w:rsidP="00874553">
      <w:pPr>
        <w:spacing w:after="120"/>
        <w:ind w:left="1440" w:hanging="720"/>
        <w:jc w:val="both"/>
        <w:rPr>
          <w:rFonts w:cs="Helvetica"/>
        </w:rPr>
      </w:pPr>
      <w:r w:rsidRPr="00FE1518">
        <w:rPr>
          <w:rFonts w:cs="Helvetica"/>
        </w:rPr>
        <w:t>(a)</w:t>
      </w:r>
      <w:r w:rsidRPr="00FE1518">
        <w:rPr>
          <w:rFonts w:cs="Helvetica"/>
        </w:rPr>
        <w:tab/>
        <w:t>is based on the nominal diameter of the customer's meter or the service pipe by which the service is to be supplied to the customer (whether or not water is supplied through the meter or service pipe) as specified in the following table; and</w:t>
      </w:r>
    </w:p>
    <w:p w:rsidR="00874553" w:rsidRPr="00FE1518" w:rsidRDefault="00874553" w:rsidP="00874553">
      <w:pPr>
        <w:spacing w:after="120"/>
        <w:ind w:left="1440" w:hanging="720"/>
        <w:jc w:val="both"/>
        <w:rPr>
          <w:rFonts w:cs="Helvetica"/>
        </w:rPr>
      </w:pPr>
      <w:r w:rsidRPr="00FE1518">
        <w:rPr>
          <w:rFonts w:cs="Helvetica"/>
        </w:rPr>
        <w:t>(b)</w:t>
      </w:r>
      <w:r w:rsidRPr="00FE1518">
        <w:rPr>
          <w:rFonts w:cs="Helvetica"/>
        </w:rPr>
        <w:tab/>
        <w:t>does not exceed the relevant amount specified in the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261"/>
      </w:tblGrid>
      <w:tr w:rsidR="00874553" w:rsidRPr="00FE1518" w:rsidTr="00206848">
        <w:tc>
          <w:tcPr>
            <w:tcW w:w="4394" w:type="dxa"/>
          </w:tcPr>
          <w:p w:rsidR="00874553" w:rsidRPr="00FE1518" w:rsidRDefault="00874553" w:rsidP="00206848">
            <w:pPr>
              <w:spacing w:before="40" w:after="40"/>
              <w:rPr>
                <w:rFonts w:cs="Helvetica"/>
                <w:b/>
              </w:rPr>
            </w:pPr>
            <w:r w:rsidRPr="00FE1518">
              <w:rPr>
                <w:rFonts w:cs="Helvetica"/>
                <w:b/>
              </w:rPr>
              <w:t>Nominal diameter of meter or service pipe</w:t>
            </w:r>
          </w:p>
        </w:tc>
        <w:tc>
          <w:tcPr>
            <w:tcW w:w="3261" w:type="dxa"/>
          </w:tcPr>
          <w:p w:rsidR="00874553" w:rsidRPr="00FE1518" w:rsidRDefault="00874553" w:rsidP="00206848">
            <w:pPr>
              <w:spacing w:before="40" w:after="40"/>
              <w:jc w:val="center"/>
              <w:rPr>
                <w:rFonts w:cs="Helvetica"/>
                <w:b/>
              </w:rPr>
            </w:pPr>
            <w:r w:rsidRPr="00FE1518">
              <w:rPr>
                <w:rFonts w:cs="Helvetica"/>
                <w:b/>
              </w:rPr>
              <w:t>Fixed daily price ($)</w:t>
            </w:r>
          </w:p>
        </w:tc>
      </w:tr>
      <w:tr w:rsidR="00874553" w:rsidRPr="00FE1518" w:rsidTr="00206848">
        <w:tc>
          <w:tcPr>
            <w:tcW w:w="4394" w:type="dxa"/>
          </w:tcPr>
          <w:p w:rsidR="00874553" w:rsidRPr="00FE1518" w:rsidRDefault="00874553" w:rsidP="00206848">
            <w:pPr>
              <w:spacing w:before="40" w:after="40"/>
              <w:rPr>
                <w:rFonts w:cs="Helvetica"/>
              </w:rPr>
            </w:pPr>
            <w:r w:rsidRPr="00FE1518">
              <w:rPr>
                <w:rFonts w:cs="Helvetica"/>
              </w:rPr>
              <w:t>Up to 25 mm</w:t>
            </w:r>
          </w:p>
        </w:tc>
        <w:tc>
          <w:tcPr>
            <w:tcW w:w="3261" w:type="dxa"/>
          </w:tcPr>
          <w:p w:rsidR="00874553" w:rsidRPr="00FE1518" w:rsidRDefault="00874553" w:rsidP="00206848">
            <w:pPr>
              <w:spacing w:before="40" w:after="40"/>
              <w:jc w:val="center"/>
              <w:rPr>
                <w:rFonts w:cs="Helvetica"/>
              </w:rPr>
            </w:pPr>
            <w:r w:rsidRPr="00FE1518">
              <w:rPr>
                <w:rFonts w:cs="Helvetica"/>
              </w:rPr>
              <w:t>0.8029</w:t>
            </w:r>
          </w:p>
        </w:tc>
      </w:tr>
      <w:tr w:rsidR="00874553" w:rsidRPr="00FE1518" w:rsidTr="00206848">
        <w:tc>
          <w:tcPr>
            <w:tcW w:w="4394" w:type="dxa"/>
          </w:tcPr>
          <w:p w:rsidR="00874553" w:rsidRPr="00FE1518" w:rsidRDefault="00874553" w:rsidP="00206848">
            <w:pPr>
              <w:spacing w:before="40" w:after="40"/>
              <w:rPr>
                <w:rFonts w:cs="Helvetica"/>
              </w:rPr>
            </w:pPr>
            <w:r w:rsidRPr="00FE1518">
              <w:rPr>
                <w:rFonts w:cs="Helvetica"/>
              </w:rPr>
              <w:t>26 – 40 mm</w:t>
            </w:r>
          </w:p>
        </w:tc>
        <w:tc>
          <w:tcPr>
            <w:tcW w:w="3261" w:type="dxa"/>
          </w:tcPr>
          <w:p w:rsidR="00874553" w:rsidRPr="00FE1518" w:rsidRDefault="00874553" w:rsidP="00206848">
            <w:pPr>
              <w:spacing w:before="40" w:after="40"/>
              <w:jc w:val="center"/>
              <w:rPr>
                <w:rFonts w:cs="Helvetica"/>
              </w:rPr>
            </w:pPr>
            <w:r w:rsidRPr="00FE1518">
              <w:rPr>
                <w:rFonts w:cs="Helvetica"/>
              </w:rPr>
              <w:t>2.0555</w:t>
            </w:r>
          </w:p>
        </w:tc>
      </w:tr>
      <w:tr w:rsidR="00874553" w:rsidRPr="00FE1518" w:rsidTr="00206848">
        <w:tc>
          <w:tcPr>
            <w:tcW w:w="4394" w:type="dxa"/>
          </w:tcPr>
          <w:p w:rsidR="00874553" w:rsidRPr="00FE1518" w:rsidRDefault="00874553" w:rsidP="00206848">
            <w:pPr>
              <w:spacing w:before="40" w:after="40"/>
              <w:rPr>
                <w:rFonts w:cs="Helvetica"/>
              </w:rPr>
            </w:pPr>
            <w:r w:rsidRPr="00FE1518">
              <w:rPr>
                <w:rFonts w:cs="Helvetica"/>
              </w:rPr>
              <w:t>41 – 50 mm</w:t>
            </w:r>
          </w:p>
        </w:tc>
        <w:tc>
          <w:tcPr>
            <w:tcW w:w="3261" w:type="dxa"/>
          </w:tcPr>
          <w:p w:rsidR="00874553" w:rsidRPr="00FE1518" w:rsidRDefault="00874553" w:rsidP="00206848">
            <w:pPr>
              <w:spacing w:before="40" w:after="40"/>
              <w:jc w:val="center"/>
              <w:rPr>
                <w:rFonts w:cs="Helvetica"/>
              </w:rPr>
            </w:pPr>
            <w:r w:rsidRPr="00FE1518">
              <w:rPr>
                <w:rFonts w:cs="Helvetica"/>
              </w:rPr>
              <w:t>3.2049</w:t>
            </w:r>
          </w:p>
        </w:tc>
      </w:tr>
      <w:tr w:rsidR="00874553" w:rsidRPr="00FE1518" w:rsidTr="00206848">
        <w:tc>
          <w:tcPr>
            <w:tcW w:w="4394" w:type="dxa"/>
          </w:tcPr>
          <w:p w:rsidR="00874553" w:rsidRPr="00FE1518" w:rsidRDefault="00874553" w:rsidP="00206848">
            <w:pPr>
              <w:spacing w:before="40" w:after="40"/>
              <w:rPr>
                <w:rFonts w:cs="Helvetica"/>
              </w:rPr>
            </w:pPr>
            <w:r w:rsidRPr="00FE1518">
              <w:rPr>
                <w:rFonts w:cs="Helvetica"/>
              </w:rPr>
              <w:t>51 – 100 mm</w:t>
            </w:r>
          </w:p>
        </w:tc>
        <w:tc>
          <w:tcPr>
            <w:tcW w:w="3261" w:type="dxa"/>
          </w:tcPr>
          <w:p w:rsidR="00874553" w:rsidRPr="00FE1518" w:rsidRDefault="00874553" w:rsidP="00206848">
            <w:pPr>
              <w:spacing w:before="40" w:after="40"/>
              <w:jc w:val="center"/>
              <w:rPr>
                <w:rFonts w:cs="Helvetica"/>
              </w:rPr>
            </w:pPr>
            <w:r w:rsidRPr="00FE1518">
              <w:rPr>
                <w:rFonts w:cs="Helvetica"/>
              </w:rPr>
              <w:t>12.9482</w:t>
            </w:r>
          </w:p>
        </w:tc>
      </w:tr>
      <w:tr w:rsidR="00874553" w:rsidRPr="00FE1518" w:rsidTr="00206848">
        <w:tc>
          <w:tcPr>
            <w:tcW w:w="4394" w:type="dxa"/>
          </w:tcPr>
          <w:p w:rsidR="00874553" w:rsidRPr="00FE1518" w:rsidRDefault="00874553" w:rsidP="00206848">
            <w:pPr>
              <w:spacing w:before="40" w:after="40"/>
              <w:rPr>
                <w:rFonts w:cs="Helvetica"/>
              </w:rPr>
            </w:pPr>
            <w:r w:rsidRPr="00FE1518">
              <w:rPr>
                <w:rFonts w:cs="Helvetica"/>
              </w:rPr>
              <w:t>101 – 150 mm</w:t>
            </w:r>
          </w:p>
        </w:tc>
        <w:tc>
          <w:tcPr>
            <w:tcW w:w="3261" w:type="dxa"/>
          </w:tcPr>
          <w:p w:rsidR="00874553" w:rsidRPr="00FE1518" w:rsidRDefault="00874553" w:rsidP="00206848">
            <w:pPr>
              <w:spacing w:before="40" w:after="40"/>
              <w:jc w:val="center"/>
              <w:rPr>
                <w:rFonts w:cs="Helvetica"/>
              </w:rPr>
            </w:pPr>
            <w:r w:rsidRPr="00FE1518">
              <w:rPr>
                <w:rFonts w:cs="Helvetica"/>
              </w:rPr>
              <w:t>28.9016</w:t>
            </w:r>
          </w:p>
        </w:tc>
      </w:tr>
      <w:tr w:rsidR="00874553" w:rsidRPr="00FE1518" w:rsidTr="00206848">
        <w:tc>
          <w:tcPr>
            <w:tcW w:w="4394" w:type="dxa"/>
          </w:tcPr>
          <w:p w:rsidR="00874553" w:rsidRPr="00FE1518" w:rsidRDefault="00874553" w:rsidP="00206848">
            <w:pPr>
              <w:spacing w:before="40" w:after="40"/>
              <w:rPr>
                <w:rFonts w:cs="Helvetica"/>
              </w:rPr>
            </w:pPr>
            <w:r w:rsidRPr="00FE1518">
              <w:rPr>
                <w:rFonts w:cs="Helvetica"/>
              </w:rPr>
              <w:t>151 – 200 mm</w:t>
            </w:r>
          </w:p>
        </w:tc>
        <w:tc>
          <w:tcPr>
            <w:tcW w:w="3261" w:type="dxa"/>
          </w:tcPr>
          <w:p w:rsidR="00874553" w:rsidRPr="00FE1518" w:rsidRDefault="00874553" w:rsidP="00206848">
            <w:pPr>
              <w:spacing w:before="40" w:after="40"/>
              <w:jc w:val="center"/>
              <w:rPr>
                <w:rFonts w:cs="Helvetica"/>
              </w:rPr>
            </w:pPr>
            <w:r w:rsidRPr="00FE1518">
              <w:rPr>
                <w:rFonts w:cs="Helvetica"/>
              </w:rPr>
              <w:t>51.3939</w:t>
            </w:r>
          </w:p>
        </w:tc>
      </w:tr>
      <w:tr w:rsidR="00874553" w:rsidRPr="00FE1518" w:rsidTr="00206848">
        <w:tc>
          <w:tcPr>
            <w:tcW w:w="4394" w:type="dxa"/>
          </w:tcPr>
          <w:p w:rsidR="00874553" w:rsidRPr="00FE1518" w:rsidRDefault="00874553" w:rsidP="00206848">
            <w:pPr>
              <w:spacing w:before="40" w:after="40"/>
              <w:rPr>
                <w:rFonts w:cs="Helvetica"/>
              </w:rPr>
            </w:pPr>
            <w:r w:rsidRPr="00FE1518">
              <w:rPr>
                <w:rFonts w:cs="Helvetica"/>
              </w:rPr>
              <w:t xml:space="preserve">More than 200 mm </w:t>
            </w:r>
          </w:p>
        </w:tc>
        <w:tc>
          <w:tcPr>
            <w:tcW w:w="3261" w:type="dxa"/>
          </w:tcPr>
          <w:p w:rsidR="00874553" w:rsidRPr="00C25190" w:rsidRDefault="00874553" w:rsidP="00206848">
            <w:pPr>
              <w:pStyle w:val="NormalIndent"/>
              <w:tabs>
                <w:tab w:val="clear" w:pos="1440"/>
                <w:tab w:val="left" w:pos="0"/>
              </w:tabs>
              <w:spacing w:before="120" w:line="240" w:lineRule="auto"/>
              <w:ind w:left="0"/>
              <w:jc w:val="center"/>
              <w:rPr>
                <w:rFonts w:ascii="Helvetica" w:eastAsia="Arial" w:hAnsi="Helvetica" w:cs="Helvetica"/>
                <w:spacing w:val="1"/>
                <w:sz w:val="18"/>
                <w:szCs w:val="18"/>
              </w:rPr>
            </w:pPr>
            <w:r w:rsidRPr="00C25190">
              <w:rPr>
                <w:rFonts w:ascii="Helvetica" w:eastAsia="Arial" w:hAnsi="Helvetica" w:cs="Helvetica"/>
                <w:spacing w:val="1"/>
                <w:sz w:val="18"/>
                <w:szCs w:val="18"/>
              </w:rPr>
              <w:t>A</w:t>
            </w:r>
            <w:r w:rsidRPr="00C25190">
              <w:rPr>
                <w:rFonts w:ascii="Helvetica" w:eastAsia="Arial" w:hAnsi="Helvetica" w:cs="Helvetica"/>
                <w:spacing w:val="-1"/>
                <w:sz w:val="18"/>
                <w:szCs w:val="18"/>
              </w:rPr>
              <w:t>re</w:t>
            </w:r>
            <w:r w:rsidRPr="00C25190">
              <w:rPr>
                <w:rFonts w:ascii="Helvetica" w:eastAsia="Arial" w:hAnsi="Helvetica" w:cs="Helvetica"/>
                <w:sz w:val="18"/>
                <w:szCs w:val="18"/>
              </w:rPr>
              <w:t>a</w:t>
            </w:r>
            <w:r w:rsidRPr="00C25190">
              <w:rPr>
                <w:rFonts w:ascii="Helvetica" w:eastAsia="Arial" w:hAnsi="Helvetica" w:cs="Helvetica"/>
                <w:spacing w:val="1"/>
                <w:sz w:val="18"/>
                <w:szCs w:val="18"/>
              </w:rPr>
              <w:t xml:space="preserve"> </w:t>
            </w:r>
            <w:r w:rsidRPr="00C25190">
              <w:rPr>
                <w:rFonts w:ascii="Helvetica" w:eastAsia="Arial" w:hAnsi="Helvetica" w:cs="Helvetica"/>
                <w:spacing w:val="-1"/>
                <w:sz w:val="18"/>
                <w:szCs w:val="18"/>
              </w:rPr>
              <w:t>o</w:t>
            </w:r>
            <w:r w:rsidRPr="00C25190">
              <w:rPr>
                <w:rFonts w:ascii="Helvetica" w:eastAsia="Arial" w:hAnsi="Helvetica" w:cs="Helvetica"/>
                <w:sz w:val="18"/>
                <w:szCs w:val="18"/>
              </w:rPr>
              <w:t xml:space="preserve">f </w:t>
            </w:r>
            <w:r w:rsidRPr="00C25190">
              <w:rPr>
                <w:rFonts w:ascii="Helvetica" w:eastAsia="Arial" w:hAnsi="Helvetica" w:cs="Helvetica"/>
                <w:spacing w:val="1"/>
                <w:sz w:val="18"/>
                <w:szCs w:val="18"/>
              </w:rPr>
              <w:t>c</w:t>
            </w:r>
            <w:r w:rsidRPr="00C25190">
              <w:rPr>
                <w:rFonts w:ascii="Helvetica" w:eastAsia="Arial" w:hAnsi="Helvetica" w:cs="Helvetica"/>
                <w:spacing w:val="-1"/>
                <w:sz w:val="18"/>
                <w:szCs w:val="18"/>
              </w:rPr>
              <w:t>onne</w:t>
            </w:r>
            <w:r w:rsidRPr="00C25190">
              <w:rPr>
                <w:rFonts w:ascii="Helvetica" w:eastAsia="Arial" w:hAnsi="Helvetica" w:cs="Helvetica"/>
                <w:spacing w:val="1"/>
                <w:sz w:val="18"/>
                <w:szCs w:val="18"/>
              </w:rPr>
              <w:t>ct</w:t>
            </w:r>
            <w:r w:rsidRPr="00C25190">
              <w:rPr>
                <w:rFonts w:ascii="Helvetica" w:eastAsia="Arial" w:hAnsi="Helvetica" w:cs="Helvetica"/>
                <w:spacing w:val="-1"/>
                <w:sz w:val="18"/>
                <w:szCs w:val="18"/>
              </w:rPr>
              <w:t>e</w:t>
            </w:r>
            <w:r w:rsidRPr="00C25190">
              <w:rPr>
                <w:rFonts w:ascii="Helvetica" w:eastAsia="Arial" w:hAnsi="Helvetica" w:cs="Helvetica"/>
                <w:sz w:val="18"/>
                <w:szCs w:val="18"/>
              </w:rPr>
              <w:t>d</w:t>
            </w:r>
            <w:r w:rsidRPr="00C25190">
              <w:rPr>
                <w:rFonts w:ascii="Helvetica" w:eastAsia="Arial" w:hAnsi="Helvetica" w:cs="Helvetica"/>
                <w:sz w:val="18"/>
                <w:szCs w:val="18"/>
              </w:rPr>
              <w:br/>
            </w:r>
            <w:r w:rsidRPr="00C25190">
              <w:rPr>
                <w:rFonts w:ascii="Helvetica" w:eastAsia="Arial" w:hAnsi="Helvetica" w:cs="Helvetica"/>
                <w:spacing w:val="1"/>
                <w:sz w:val="18"/>
                <w:szCs w:val="18"/>
              </w:rPr>
              <w:t>c</w:t>
            </w:r>
            <w:r w:rsidRPr="00C25190">
              <w:rPr>
                <w:rFonts w:ascii="Helvetica" w:eastAsia="Arial" w:hAnsi="Helvetica" w:cs="Helvetica"/>
                <w:spacing w:val="-1"/>
                <w:sz w:val="18"/>
                <w:szCs w:val="18"/>
              </w:rPr>
              <w:t>r</w:t>
            </w:r>
            <w:r w:rsidRPr="00C25190">
              <w:rPr>
                <w:rFonts w:ascii="Helvetica" w:eastAsia="Arial" w:hAnsi="Helvetica" w:cs="Helvetica"/>
                <w:spacing w:val="-3"/>
                <w:sz w:val="18"/>
                <w:szCs w:val="18"/>
              </w:rPr>
              <w:t>o</w:t>
            </w:r>
            <w:r w:rsidRPr="00C25190">
              <w:rPr>
                <w:rFonts w:ascii="Helvetica" w:eastAsia="Arial" w:hAnsi="Helvetica" w:cs="Helvetica"/>
                <w:spacing w:val="-1"/>
                <w:sz w:val="18"/>
                <w:szCs w:val="18"/>
              </w:rPr>
              <w:t>s</w:t>
            </w:r>
            <w:r w:rsidRPr="00C25190">
              <w:rPr>
                <w:rFonts w:ascii="Helvetica" w:eastAsia="Arial" w:hAnsi="Helvetica" w:cs="Helvetica"/>
                <w:spacing w:val="1"/>
                <w:sz w:val="18"/>
                <w:szCs w:val="18"/>
              </w:rPr>
              <w:t>s-s</w:t>
            </w:r>
            <w:r w:rsidRPr="00C25190">
              <w:rPr>
                <w:rFonts w:ascii="Helvetica" w:eastAsia="Arial" w:hAnsi="Helvetica" w:cs="Helvetica"/>
                <w:spacing w:val="-1"/>
                <w:sz w:val="18"/>
                <w:szCs w:val="18"/>
              </w:rPr>
              <w:t>ec</w:t>
            </w:r>
            <w:r w:rsidRPr="00C25190">
              <w:rPr>
                <w:rFonts w:ascii="Helvetica" w:eastAsia="Arial" w:hAnsi="Helvetica" w:cs="Helvetica"/>
                <w:spacing w:val="1"/>
                <w:sz w:val="18"/>
                <w:szCs w:val="18"/>
              </w:rPr>
              <w:t>t</w:t>
            </w:r>
            <w:r w:rsidRPr="00C25190">
              <w:rPr>
                <w:rFonts w:ascii="Helvetica" w:eastAsia="Arial" w:hAnsi="Helvetica" w:cs="Helvetica"/>
                <w:sz w:val="18"/>
                <w:szCs w:val="18"/>
              </w:rPr>
              <w:t>i</w:t>
            </w:r>
            <w:r w:rsidRPr="00C25190">
              <w:rPr>
                <w:rFonts w:ascii="Helvetica" w:eastAsia="Arial" w:hAnsi="Helvetica" w:cs="Helvetica"/>
                <w:spacing w:val="-1"/>
                <w:sz w:val="18"/>
                <w:szCs w:val="18"/>
              </w:rPr>
              <w:t>o</w:t>
            </w:r>
            <w:r w:rsidRPr="00C25190">
              <w:rPr>
                <w:rFonts w:ascii="Helvetica" w:eastAsia="Arial" w:hAnsi="Helvetica" w:cs="Helvetica"/>
                <w:sz w:val="18"/>
                <w:szCs w:val="18"/>
              </w:rPr>
              <w:t xml:space="preserve">n </w:t>
            </w:r>
            <w:r w:rsidRPr="00C25190">
              <w:rPr>
                <w:rFonts w:ascii="Helvetica" w:eastAsia="Arial" w:hAnsi="Helvetica" w:cs="Helvetica"/>
                <w:sz w:val="18"/>
                <w:szCs w:val="18"/>
              </w:rPr>
              <w:br/>
            </w:r>
            <w:r w:rsidRPr="00C25190">
              <w:rPr>
                <w:rFonts w:ascii="Helvetica" w:eastAsia="Arial" w:hAnsi="Helvetica" w:cs="Helvetica"/>
                <w:spacing w:val="-1"/>
                <w:sz w:val="18"/>
                <w:szCs w:val="18"/>
              </w:rPr>
              <w:t>                   </w:t>
            </w:r>
            <w:r w:rsidRPr="00C25190">
              <w:rPr>
                <w:rFonts w:ascii="Helvetica" w:eastAsia="Arial" w:hAnsi="Helvetica" w:cs="Helvetica"/>
                <w:spacing w:val="-1"/>
                <w:sz w:val="18"/>
                <w:szCs w:val="18"/>
                <w:u w:val="single"/>
              </w:rPr>
              <w:t>(</w:t>
            </w:r>
            <w:r w:rsidRPr="00C25190">
              <w:rPr>
                <w:rFonts w:ascii="Helvetica" w:eastAsia="Arial" w:hAnsi="Helvetica" w:cs="Helvetica"/>
                <w:sz w:val="18"/>
                <w:szCs w:val="18"/>
                <w:u w:val="single"/>
              </w:rPr>
              <w:t>in</w:t>
            </w:r>
            <w:r w:rsidRPr="00C25190">
              <w:rPr>
                <w:rFonts w:ascii="Helvetica" w:eastAsia="Arial" w:hAnsi="Helvetica" w:cs="Helvetica"/>
                <w:spacing w:val="1"/>
                <w:sz w:val="18"/>
                <w:szCs w:val="18"/>
                <w:u w:val="single"/>
              </w:rPr>
              <w:t xml:space="preserve"> s</w:t>
            </w:r>
            <w:r w:rsidRPr="00C25190">
              <w:rPr>
                <w:rFonts w:ascii="Helvetica" w:eastAsia="Arial" w:hAnsi="Helvetica" w:cs="Helvetica"/>
                <w:spacing w:val="-1"/>
                <w:sz w:val="18"/>
                <w:szCs w:val="18"/>
                <w:u w:val="single"/>
              </w:rPr>
              <w:t>quar</w:t>
            </w:r>
            <w:r w:rsidRPr="00C25190">
              <w:rPr>
                <w:rFonts w:ascii="Helvetica" w:eastAsia="Arial" w:hAnsi="Helvetica" w:cs="Helvetica"/>
                <w:sz w:val="18"/>
                <w:szCs w:val="18"/>
                <w:u w:val="single"/>
              </w:rPr>
              <w:t>e</w:t>
            </w:r>
            <w:r w:rsidRPr="00C25190">
              <w:rPr>
                <w:rFonts w:ascii="Helvetica" w:eastAsia="Arial" w:hAnsi="Helvetica" w:cs="Helvetica"/>
                <w:spacing w:val="-2"/>
                <w:sz w:val="18"/>
                <w:szCs w:val="18"/>
                <w:u w:val="single"/>
              </w:rPr>
              <w:t xml:space="preserve"> </w:t>
            </w:r>
            <w:r w:rsidRPr="00C25190">
              <w:rPr>
                <w:rFonts w:ascii="Helvetica" w:eastAsia="Arial" w:hAnsi="Helvetica" w:cs="Helvetica"/>
                <w:spacing w:val="1"/>
                <w:sz w:val="18"/>
                <w:szCs w:val="18"/>
                <w:u w:val="single"/>
              </w:rPr>
              <w:t>mm</w:t>
            </w:r>
            <w:r w:rsidRPr="00C25190">
              <w:rPr>
                <w:rFonts w:ascii="Helvetica" w:eastAsia="Arial" w:hAnsi="Helvetica" w:cs="Helvetica"/>
                <w:sz w:val="18"/>
                <w:szCs w:val="18"/>
                <w:u w:val="single"/>
              </w:rPr>
              <w:t>) </w:t>
            </w:r>
            <w:r w:rsidRPr="00C25190">
              <w:rPr>
                <w:rFonts w:ascii="Helvetica" w:eastAsia="Arial" w:hAnsi="Helvetica" w:cs="Helvetica"/>
                <w:sz w:val="18"/>
                <w:szCs w:val="18"/>
              </w:rPr>
              <w:t xml:space="preserve">  x </w:t>
            </w:r>
            <w:r w:rsidRPr="00C25190">
              <w:rPr>
                <w:rFonts w:ascii="Helvetica" w:eastAsia="Arial" w:hAnsi="Helvetica" w:cs="Helvetica"/>
                <w:spacing w:val="-1"/>
                <w:sz w:val="18"/>
                <w:szCs w:val="18"/>
              </w:rPr>
              <w:t>0</w:t>
            </w:r>
            <w:r w:rsidRPr="00C25190">
              <w:rPr>
                <w:rFonts w:ascii="Helvetica" w:eastAsia="Arial" w:hAnsi="Helvetica" w:cs="Helvetica"/>
                <w:spacing w:val="1"/>
                <w:sz w:val="18"/>
                <w:szCs w:val="18"/>
              </w:rPr>
              <w:t>.8029</w:t>
            </w:r>
          </w:p>
          <w:p w:rsidR="00874553" w:rsidRPr="00FE1518" w:rsidRDefault="00874553" w:rsidP="00206848">
            <w:pPr>
              <w:spacing w:before="40" w:after="40"/>
              <w:jc w:val="center"/>
              <w:rPr>
                <w:rFonts w:cs="Helvetica"/>
              </w:rPr>
            </w:pPr>
            <w:r w:rsidRPr="00C25190">
              <w:rPr>
                <w:rFonts w:eastAsia="Arial" w:cs="Helvetica"/>
                <w:spacing w:val="-1"/>
                <w:sz w:val="18"/>
                <w:szCs w:val="18"/>
              </w:rPr>
              <w:t>490</w:t>
            </w:r>
            <w:r w:rsidRPr="00C25190">
              <w:rPr>
                <w:rFonts w:eastAsia="Arial" w:cs="Helvetica"/>
                <w:spacing w:val="1"/>
                <w:sz w:val="18"/>
                <w:szCs w:val="18"/>
              </w:rPr>
              <w:t>.</w:t>
            </w:r>
            <w:r w:rsidRPr="00C25190">
              <w:rPr>
                <w:rFonts w:eastAsia="Arial" w:cs="Helvetica"/>
                <w:spacing w:val="-1"/>
                <w:sz w:val="18"/>
                <w:szCs w:val="18"/>
              </w:rPr>
              <w:t>8</w:t>
            </w:r>
            <w:r w:rsidRPr="00C25190">
              <w:rPr>
                <w:rFonts w:eastAsia="Arial" w:cs="Helvetica"/>
                <w:sz w:val="18"/>
                <w:szCs w:val="18"/>
              </w:rPr>
              <w:t>7</w:t>
            </w:r>
          </w:p>
        </w:tc>
      </w:tr>
    </w:tbl>
    <w:p w:rsidR="00874553" w:rsidRPr="00FE1518" w:rsidRDefault="00874553" w:rsidP="00874553">
      <w:pPr>
        <w:keepNext/>
        <w:spacing w:before="240" w:after="240"/>
        <w:jc w:val="both"/>
        <w:rPr>
          <w:rFonts w:cs="Helvetica"/>
          <w:b/>
        </w:rPr>
      </w:pPr>
      <w:r w:rsidRPr="00FE1518">
        <w:rPr>
          <w:rFonts w:cs="Helvetica"/>
          <w:b/>
        </w:rPr>
        <w:t>5</w:t>
      </w:r>
      <w:r w:rsidRPr="00FE1518">
        <w:rPr>
          <w:rFonts w:cs="Helvetica"/>
          <w:b/>
        </w:rPr>
        <w:tab/>
        <w:t>Water volumetric price for all customers</w:t>
      </w:r>
    </w:p>
    <w:p w:rsidR="00874553" w:rsidRPr="00FE1518" w:rsidRDefault="00874553" w:rsidP="00874553">
      <w:pPr>
        <w:keepNext/>
        <w:spacing w:after="120"/>
        <w:ind w:left="720" w:hanging="720"/>
        <w:jc w:val="both"/>
        <w:rPr>
          <w:rFonts w:cs="Helvetica"/>
        </w:rPr>
      </w:pPr>
      <w:r w:rsidRPr="00FE1518">
        <w:rPr>
          <w:rFonts w:cs="Helvetica"/>
        </w:rPr>
        <w:tab/>
        <w:t xml:space="preserve">A customer specified in the following table may be charged a price for a volumetric component of water, expressed in </w:t>
      </w:r>
      <w:proofErr w:type="spellStart"/>
      <w:r w:rsidRPr="00FE1518">
        <w:rPr>
          <w:rFonts w:cs="Helvetica"/>
        </w:rPr>
        <w:t>kilolitres</w:t>
      </w:r>
      <w:proofErr w:type="spellEnd"/>
      <w:r w:rsidRPr="00FE1518">
        <w:rPr>
          <w:rFonts w:cs="Helvetica"/>
        </w:rPr>
        <w:t xml:space="preserve"> (including a part of a </w:t>
      </w:r>
      <w:proofErr w:type="spellStart"/>
      <w:r w:rsidRPr="00FE1518">
        <w:rPr>
          <w:rFonts w:cs="Helvetica"/>
        </w:rPr>
        <w:t>kilolitre</w:t>
      </w:r>
      <w:proofErr w:type="spellEnd"/>
      <w:r w:rsidRPr="00FE1518">
        <w:rPr>
          <w:rFonts w:cs="Helvetica"/>
        </w:rPr>
        <w:t>), that:</w:t>
      </w:r>
    </w:p>
    <w:p w:rsidR="00874553" w:rsidRPr="00FE1518" w:rsidRDefault="00874553" w:rsidP="00874553">
      <w:pPr>
        <w:spacing w:after="120"/>
        <w:ind w:left="1440" w:hanging="720"/>
        <w:jc w:val="both"/>
        <w:rPr>
          <w:rFonts w:cs="Helvetica"/>
        </w:rPr>
      </w:pPr>
      <w:r w:rsidRPr="00FE1518">
        <w:rPr>
          <w:rFonts w:cs="Helvetica"/>
        </w:rPr>
        <w:t>(a)</w:t>
      </w:r>
      <w:r w:rsidRPr="00FE1518">
        <w:rPr>
          <w:rFonts w:cs="Helvetica"/>
        </w:rPr>
        <w:tab/>
        <w:t>is supplied to the customer's property during a meter reading period; and</w:t>
      </w:r>
    </w:p>
    <w:p w:rsidR="00874553" w:rsidRPr="00FE1518" w:rsidRDefault="00874553" w:rsidP="00874553">
      <w:pPr>
        <w:spacing w:after="240"/>
        <w:ind w:left="1440" w:hanging="720"/>
        <w:jc w:val="both"/>
        <w:rPr>
          <w:rFonts w:cs="Helvetica"/>
        </w:rPr>
      </w:pPr>
      <w:r w:rsidRPr="00FE1518">
        <w:rPr>
          <w:rFonts w:cs="Helvetica"/>
        </w:rPr>
        <w:t>(b)</w:t>
      </w:r>
      <w:r w:rsidRPr="00FE1518">
        <w:rPr>
          <w:rFonts w:cs="Helvetica"/>
        </w:rPr>
        <w:tab/>
        <w:t>does not exceed the relevant amount specified in the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686"/>
      </w:tblGrid>
      <w:tr w:rsidR="00874553" w:rsidRPr="00FE1518" w:rsidTr="00206848">
        <w:tc>
          <w:tcPr>
            <w:tcW w:w="3969" w:type="dxa"/>
          </w:tcPr>
          <w:p w:rsidR="00874553" w:rsidRPr="00FE1518" w:rsidRDefault="00874553" w:rsidP="00206848">
            <w:pPr>
              <w:spacing w:before="40" w:after="40"/>
              <w:jc w:val="center"/>
              <w:rPr>
                <w:rFonts w:cs="Helvetica"/>
              </w:rPr>
            </w:pPr>
            <w:r w:rsidRPr="00FE1518">
              <w:rPr>
                <w:rFonts w:cs="Helvetica"/>
                <w:b/>
              </w:rPr>
              <w:t>Customers</w:t>
            </w:r>
          </w:p>
        </w:tc>
        <w:tc>
          <w:tcPr>
            <w:tcW w:w="3686" w:type="dxa"/>
          </w:tcPr>
          <w:p w:rsidR="00874553" w:rsidRPr="00FE1518" w:rsidRDefault="00874553" w:rsidP="00206848">
            <w:pPr>
              <w:spacing w:before="40" w:after="40"/>
              <w:jc w:val="center"/>
              <w:rPr>
                <w:rFonts w:cs="Helvetica"/>
              </w:rPr>
            </w:pPr>
            <w:r w:rsidRPr="00FE1518">
              <w:rPr>
                <w:rFonts w:cs="Helvetica"/>
                <w:b/>
              </w:rPr>
              <w:t xml:space="preserve">Price per </w:t>
            </w:r>
            <w:proofErr w:type="spellStart"/>
            <w:r w:rsidRPr="00FE1518">
              <w:rPr>
                <w:rFonts w:cs="Helvetica"/>
                <w:b/>
              </w:rPr>
              <w:t>kL</w:t>
            </w:r>
            <w:proofErr w:type="spellEnd"/>
            <w:r w:rsidRPr="00FE1518">
              <w:rPr>
                <w:rFonts w:cs="Helvetica"/>
                <w:b/>
              </w:rPr>
              <w:t xml:space="preserve"> ($)</w:t>
            </w:r>
          </w:p>
        </w:tc>
      </w:tr>
      <w:tr w:rsidR="00874553" w:rsidRPr="00FE1518" w:rsidTr="00206848">
        <w:tc>
          <w:tcPr>
            <w:tcW w:w="3969" w:type="dxa"/>
          </w:tcPr>
          <w:p w:rsidR="00874553" w:rsidRPr="00FE1518" w:rsidRDefault="00874553" w:rsidP="00206848">
            <w:pPr>
              <w:spacing w:before="40" w:after="40"/>
              <w:rPr>
                <w:rFonts w:cs="Helvetica"/>
              </w:rPr>
            </w:pPr>
            <w:r w:rsidRPr="00FE1518">
              <w:rPr>
                <w:rFonts w:cs="Helvetica"/>
              </w:rPr>
              <w:t>Portable meter water customer</w:t>
            </w:r>
          </w:p>
        </w:tc>
        <w:tc>
          <w:tcPr>
            <w:tcW w:w="3686" w:type="dxa"/>
          </w:tcPr>
          <w:p w:rsidR="00874553" w:rsidRPr="00FE1518" w:rsidRDefault="00874553" w:rsidP="00206848">
            <w:pPr>
              <w:spacing w:before="40" w:after="40"/>
              <w:jc w:val="center"/>
              <w:rPr>
                <w:rFonts w:cs="Helvetica"/>
              </w:rPr>
            </w:pPr>
            <w:r w:rsidRPr="00FE1518">
              <w:rPr>
                <w:rFonts w:cs="Helvetica"/>
              </w:rPr>
              <w:t>2.4473</w:t>
            </w:r>
          </w:p>
        </w:tc>
      </w:tr>
      <w:tr w:rsidR="00874553" w:rsidRPr="00FE1518" w:rsidTr="00206848">
        <w:tc>
          <w:tcPr>
            <w:tcW w:w="3969" w:type="dxa"/>
          </w:tcPr>
          <w:p w:rsidR="00874553" w:rsidRPr="00FE1518" w:rsidRDefault="00874553" w:rsidP="00206848">
            <w:pPr>
              <w:spacing w:before="40" w:after="40"/>
              <w:rPr>
                <w:rFonts w:cs="Helvetica"/>
              </w:rPr>
            </w:pPr>
            <w:r w:rsidRPr="00FE1518">
              <w:rPr>
                <w:rFonts w:cs="Helvetica"/>
              </w:rPr>
              <w:t>Government water customer</w:t>
            </w:r>
          </w:p>
        </w:tc>
        <w:tc>
          <w:tcPr>
            <w:tcW w:w="3686" w:type="dxa"/>
          </w:tcPr>
          <w:p w:rsidR="00874553" w:rsidRPr="00FE1518" w:rsidRDefault="00874553" w:rsidP="00206848">
            <w:pPr>
              <w:spacing w:before="40" w:after="40"/>
              <w:jc w:val="center"/>
              <w:rPr>
                <w:rFonts w:cs="Helvetica"/>
              </w:rPr>
            </w:pPr>
            <w:r w:rsidRPr="00FE1518">
              <w:rPr>
                <w:rFonts w:cs="Helvetica"/>
              </w:rPr>
              <w:t>2.0394</w:t>
            </w:r>
          </w:p>
        </w:tc>
      </w:tr>
      <w:tr w:rsidR="00874553" w:rsidRPr="00FE1518" w:rsidTr="00206848">
        <w:tc>
          <w:tcPr>
            <w:tcW w:w="3969" w:type="dxa"/>
          </w:tcPr>
          <w:p w:rsidR="00874553" w:rsidRPr="00FE1518" w:rsidRDefault="00874553" w:rsidP="00206848">
            <w:pPr>
              <w:spacing w:before="40" w:after="40"/>
              <w:rPr>
                <w:rFonts w:cs="Helvetica"/>
              </w:rPr>
            </w:pPr>
            <w:r w:rsidRPr="00FE1518">
              <w:rPr>
                <w:rFonts w:cs="Helvetica"/>
              </w:rPr>
              <w:t>Stand pipe water customer</w:t>
            </w:r>
          </w:p>
        </w:tc>
        <w:tc>
          <w:tcPr>
            <w:tcW w:w="3686" w:type="dxa"/>
          </w:tcPr>
          <w:p w:rsidR="00874553" w:rsidRPr="00FE1518" w:rsidRDefault="00874553" w:rsidP="00206848">
            <w:pPr>
              <w:spacing w:before="40" w:after="40"/>
              <w:jc w:val="center"/>
              <w:rPr>
                <w:rFonts w:cs="Helvetica"/>
              </w:rPr>
            </w:pPr>
            <w:r w:rsidRPr="00FE1518">
              <w:rPr>
                <w:rFonts w:cs="Helvetica"/>
              </w:rPr>
              <w:t>2.8424</w:t>
            </w:r>
          </w:p>
        </w:tc>
      </w:tr>
      <w:tr w:rsidR="00874553" w:rsidRPr="00FE1518" w:rsidTr="00206848">
        <w:tc>
          <w:tcPr>
            <w:tcW w:w="3969" w:type="dxa"/>
          </w:tcPr>
          <w:p w:rsidR="00874553" w:rsidRPr="00FE1518" w:rsidRDefault="00874553" w:rsidP="00206848">
            <w:pPr>
              <w:spacing w:before="40" w:after="40"/>
              <w:rPr>
                <w:rFonts w:cs="Helvetica"/>
              </w:rPr>
            </w:pPr>
            <w:r w:rsidRPr="00FE1518">
              <w:rPr>
                <w:rFonts w:cs="Helvetica"/>
              </w:rPr>
              <w:t>All other customers to whom water supply services are sold</w:t>
            </w:r>
          </w:p>
        </w:tc>
        <w:tc>
          <w:tcPr>
            <w:tcW w:w="3686" w:type="dxa"/>
          </w:tcPr>
          <w:p w:rsidR="00874553" w:rsidRPr="00FE1518" w:rsidRDefault="00874553" w:rsidP="00206848">
            <w:pPr>
              <w:spacing w:before="40" w:after="40"/>
              <w:jc w:val="center"/>
              <w:rPr>
                <w:rFonts w:cs="Helvetica"/>
              </w:rPr>
            </w:pPr>
            <w:r w:rsidRPr="00FE1518">
              <w:rPr>
                <w:rFonts w:cs="Helvetica"/>
              </w:rPr>
              <w:t>1.9226</w:t>
            </w:r>
          </w:p>
        </w:tc>
      </w:tr>
    </w:tbl>
    <w:p w:rsidR="00874553" w:rsidRPr="00FE1518" w:rsidRDefault="00874553" w:rsidP="00BA32F7">
      <w:pPr>
        <w:keepNext/>
        <w:spacing w:before="240" w:after="240"/>
        <w:ind w:left="720" w:hanging="720"/>
        <w:jc w:val="both"/>
        <w:rPr>
          <w:rFonts w:cs="Helvetica"/>
          <w:b/>
        </w:rPr>
      </w:pPr>
      <w:r w:rsidRPr="00FE1518">
        <w:rPr>
          <w:rFonts w:cs="Helvetica"/>
          <w:b/>
        </w:rPr>
        <w:lastRenderedPageBreak/>
        <w:t>6</w:t>
      </w:r>
      <w:r w:rsidRPr="00FE1518">
        <w:rPr>
          <w:rFonts w:cs="Helvetica"/>
          <w:b/>
        </w:rPr>
        <w:tab/>
        <w:t>Sewerage services – prices for customers generally</w:t>
      </w:r>
    </w:p>
    <w:p w:rsidR="00874553" w:rsidRPr="00FE1518" w:rsidRDefault="00874553" w:rsidP="00874553">
      <w:pPr>
        <w:keepNext/>
        <w:spacing w:after="120"/>
        <w:ind w:left="720" w:hanging="720"/>
        <w:jc w:val="both"/>
        <w:rPr>
          <w:rFonts w:cs="Helvetica"/>
        </w:rPr>
      </w:pPr>
      <w:r w:rsidRPr="00FE1518">
        <w:rPr>
          <w:rFonts w:cs="Helvetica"/>
        </w:rPr>
        <w:tab/>
        <w:t>Prices for sewerage services are to distinguish between the following customers:</w:t>
      </w:r>
    </w:p>
    <w:p w:rsidR="00874553" w:rsidRPr="00FE1518" w:rsidRDefault="00874553" w:rsidP="0087455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FE1518">
        <w:rPr>
          <w:rFonts w:ascii="Helvetica" w:hAnsi="Helvetica" w:cs="Helvetica"/>
          <w:sz w:val="24"/>
          <w:szCs w:val="24"/>
        </w:rPr>
        <w:t>(a)</w:t>
      </w:r>
      <w:r w:rsidRPr="00FE1518">
        <w:rPr>
          <w:rFonts w:ascii="Helvetica" w:hAnsi="Helvetica" w:cs="Helvetica"/>
          <w:sz w:val="24"/>
          <w:szCs w:val="24"/>
        </w:rPr>
        <w:tab/>
        <w:t>single residential dwelling sewerage customers;</w:t>
      </w:r>
    </w:p>
    <w:p w:rsidR="00874553" w:rsidRPr="00FE1518" w:rsidRDefault="00874553" w:rsidP="0087455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FE1518">
        <w:rPr>
          <w:rFonts w:ascii="Helvetica" w:hAnsi="Helvetica" w:cs="Helvetica"/>
          <w:sz w:val="24"/>
          <w:szCs w:val="24"/>
        </w:rPr>
        <w:t>(b)</w:t>
      </w:r>
      <w:r w:rsidRPr="00FE1518">
        <w:rPr>
          <w:rFonts w:ascii="Helvetica" w:hAnsi="Helvetica" w:cs="Helvetica"/>
          <w:sz w:val="24"/>
          <w:szCs w:val="24"/>
        </w:rPr>
        <w:tab/>
        <w:t>multiple residential dwelling sewerage customers;</w:t>
      </w:r>
    </w:p>
    <w:p w:rsidR="00874553" w:rsidRPr="00FE1518" w:rsidRDefault="00874553" w:rsidP="0087455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FE1518">
        <w:rPr>
          <w:rFonts w:ascii="Helvetica" w:hAnsi="Helvetica" w:cs="Helvetica"/>
          <w:sz w:val="24"/>
          <w:szCs w:val="24"/>
        </w:rPr>
        <w:t>(c)</w:t>
      </w:r>
      <w:r w:rsidRPr="00FE1518">
        <w:rPr>
          <w:rFonts w:ascii="Helvetica" w:hAnsi="Helvetica" w:cs="Helvetica"/>
          <w:sz w:val="24"/>
          <w:szCs w:val="24"/>
        </w:rPr>
        <w:tab/>
        <w:t>body corporate customers;</w:t>
      </w:r>
    </w:p>
    <w:p w:rsidR="00874553" w:rsidRPr="00FE1518" w:rsidRDefault="00874553" w:rsidP="0087455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FE1518">
        <w:rPr>
          <w:rFonts w:ascii="Helvetica" w:hAnsi="Helvetica" w:cs="Helvetica"/>
          <w:sz w:val="24"/>
          <w:szCs w:val="24"/>
        </w:rPr>
        <w:t>(d)</w:t>
      </w:r>
      <w:r w:rsidRPr="00FE1518">
        <w:rPr>
          <w:rFonts w:ascii="Helvetica" w:hAnsi="Helvetica" w:cs="Helvetica"/>
          <w:sz w:val="24"/>
          <w:szCs w:val="24"/>
        </w:rPr>
        <w:tab/>
        <w:t>non-residential sewerage customers.</w:t>
      </w:r>
    </w:p>
    <w:p w:rsidR="00874553" w:rsidRPr="00FE1518" w:rsidRDefault="00874553" w:rsidP="00874553">
      <w:pPr>
        <w:keepNext/>
        <w:spacing w:before="240" w:after="240"/>
        <w:ind w:left="720" w:hanging="720"/>
        <w:jc w:val="both"/>
        <w:rPr>
          <w:rFonts w:cs="Helvetica"/>
          <w:b/>
        </w:rPr>
      </w:pPr>
      <w:r w:rsidRPr="00FE1518">
        <w:rPr>
          <w:rFonts w:cs="Helvetica"/>
          <w:b/>
        </w:rPr>
        <w:t>7</w:t>
      </w:r>
      <w:r w:rsidRPr="00FE1518">
        <w:rPr>
          <w:rFonts w:cs="Helvetica"/>
          <w:b/>
        </w:rPr>
        <w:tab/>
        <w:t>Sewerage services – annual price for single residential dwelling sewerage customer</w:t>
      </w:r>
    </w:p>
    <w:p w:rsidR="00874553" w:rsidRPr="00FE1518" w:rsidRDefault="00874553" w:rsidP="00874553">
      <w:pPr>
        <w:spacing w:after="120"/>
        <w:ind w:left="720" w:hanging="720"/>
        <w:jc w:val="both"/>
        <w:rPr>
          <w:rFonts w:cs="Helvetica"/>
        </w:rPr>
      </w:pPr>
      <w:r w:rsidRPr="00FE1518">
        <w:rPr>
          <w:rFonts w:cs="Helvetica"/>
        </w:rPr>
        <w:tab/>
        <w:t>A single residential dwelling sewerage customer may be charged, on a pro rata basis, a fixed annual price for sewerage services that does not exceed $80</w:t>
      </w:r>
      <w:r>
        <w:rPr>
          <w:rFonts w:cs="Helvetica"/>
        </w:rPr>
        <w:t>9</w:t>
      </w:r>
      <w:r w:rsidRPr="00FE1518">
        <w:rPr>
          <w:rFonts w:cs="Helvetica"/>
        </w:rPr>
        <w:t>.</w:t>
      </w:r>
      <w:r>
        <w:rPr>
          <w:rFonts w:cs="Helvetica"/>
        </w:rPr>
        <w:t>81</w:t>
      </w:r>
      <w:r w:rsidRPr="00FE1518">
        <w:rPr>
          <w:rFonts w:cs="Helvetica"/>
        </w:rPr>
        <w:t xml:space="preserve"> for each residential property, other than a unit, owned or occupied by the customer.</w:t>
      </w:r>
    </w:p>
    <w:p w:rsidR="00874553" w:rsidRPr="00FE1518" w:rsidRDefault="00874553" w:rsidP="00874553">
      <w:pPr>
        <w:keepNext/>
        <w:spacing w:before="240" w:after="240"/>
        <w:ind w:left="720" w:hanging="720"/>
        <w:jc w:val="both"/>
        <w:rPr>
          <w:rFonts w:cs="Helvetica"/>
          <w:b/>
        </w:rPr>
      </w:pPr>
      <w:r w:rsidRPr="00FE1518">
        <w:rPr>
          <w:rFonts w:cs="Helvetica"/>
          <w:b/>
        </w:rPr>
        <w:t>8</w:t>
      </w:r>
      <w:r w:rsidRPr="00FE1518">
        <w:rPr>
          <w:rFonts w:cs="Helvetica"/>
          <w:b/>
        </w:rPr>
        <w:tab/>
        <w:t>Sewerage services – annual price for multiple residential dwelling sewerage customer</w:t>
      </w:r>
    </w:p>
    <w:p w:rsidR="00874553" w:rsidRPr="00FE1518" w:rsidRDefault="00874553" w:rsidP="00874553">
      <w:pPr>
        <w:spacing w:after="120"/>
        <w:ind w:left="720" w:hanging="720"/>
        <w:jc w:val="both"/>
        <w:rPr>
          <w:rFonts w:cs="Helvetica"/>
        </w:rPr>
      </w:pPr>
      <w:r w:rsidRPr="00FE1518">
        <w:rPr>
          <w:rFonts w:cs="Helvetica"/>
        </w:rPr>
        <w:t>(1)</w:t>
      </w:r>
      <w:r w:rsidRPr="00FE1518">
        <w:rPr>
          <w:rFonts w:cs="Helvetica"/>
        </w:rPr>
        <w:tab/>
        <w:t>A multiple residential dwelling sewerage customer may be charged, on a pro rata basis, a fixed annual price for sewerage se</w:t>
      </w:r>
      <w:r>
        <w:rPr>
          <w:rFonts w:cs="Helvetica"/>
        </w:rPr>
        <w:t>rvices that does not exceed $809.81</w:t>
      </w:r>
      <w:r w:rsidRPr="00FE1518">
        <w:rPr>
          <w:rFonts w:cs="Helvetica"/>
        </w:rPr>
        <w:t xml:space="preserve"> for each residential dwelling on the residential property owned or occupied by the customer.</w:t>
      </w:r>
    </w:p>
    <w:p w:rsidR="00874553" w:rsidRPr="00FE1518" w:rsidRDefault="00874553" w:rsidP="00874553">
      <w:pPr>
        <w:spacing w:after="120"/>
        <w:ind w:left="720" w:hanging="720"/>
        <w:jc w:val="both"/>
        <w:rPr>
          <w:rFonts w:cs="Helvetica"/>
        </w:rPr>
      </w:pPr>
      <w:r w:rsidRPr="00FE1518">
        <w:rPr>
          <w:rFonts w:cs="Helvetica"/>
        </w:rPr>
        <w:t>(2)</w:t>
      </w:r>
      <w:r w:rsidRPr="00FE1518">
        <w:rPr>
          <w:rFonts w:cs="Helvetica"/>
        </w:rPr>
        <w:tab/>
        <w:t xml:space="preserve">A customer is a </w:t>
      </w:r>
      <w:r w:rsidRPr="00FE1518">
        <w:rPr>
          <w:rFonts w:cs="Helvetica"/>
          <w:b/>
          <w:i/>
        </w:rPr>
        <w:t>multiple residential dwelling sewerage customer</w:t>
      </w:r>
      <w:r w:rsidRPr="00FE1518">
        <w:rPr>
          <w:rFonts w:cs="Helvetica"/>
        </w:rPr>
        <w:t xml:space="preserve"> if:</w:t>
      </w:r>
    </w:p>
    <w:p w:rsidR="00874553" w:rsidRPr="00FE1518" w:rsidRDefault="00874553" w:rsidP="00874553">
      <w:pPr>
        <w:tabs>
          <w:tab w:val="left" w:pos="1276"/>
        </w:tabs>
        <w:spacing w:after="120"/>
        <w:ind w:left="1276" w:hanging="556"/>
        <w:jc w:val="both"/>
        <w:rPr>
          <w:rFonts w:cs="Helvetica"/>
        </w:rPr>
      </w:pPr>
      <w:r w:rsidRPr="00FE1518">
        <w:rPr>
          <w:rFonts w:cs="Helvetica"/>
        </w:rPr>
        <w:t>(a)</w:t>
      </w:r>
      <w:r w:rsidRPr="00FE1518">
        <w:rPr>
          <w:rFonts w:cs="Helvetica"/>
        </w:rPr>
        <w:tab/>
        <w:t>the customer is the owner of a residential property or the occupier of a residential dwelling on a residential property; and</w:t>
      </w:r>
    </w:p>
    <w:p w:rsidR="00874553" w:rsidRPr="00FE1518" w:rsidRDefault="00874553" w:rsidP="00874553">
      <w:pPr>
        <w:tabs>
          <w:tab w:val="left" w:pos="1276"/>
        </w:tabs>
        <w:spacing w:after="120"/>
        <w:ind w:left="1276" w:hanging="556"/>
        <w:jc w:val="both"/>
        <w:rPr>
          <w:rFonts w:cs="Helvetica"/>
        </w:rPr>
      </w:pPr>
      <w:r w:rsidRPr="00FE1518">
        <w:rPr>
          <w:rFonts w:cs="Helvetica"/>
        </w:rPr>
        <w:t>(b)</w:t>
      </w:r>
      <w:r w:rsidRPr="00FE1518">
        <w:rPr>
          <w:rFonts w:cs="Helvetica"/>
        </w:rPr>
        <w:tab/>
        <w:t>there are 2 or more residential dwellings on the property; and</w:t>
      </w:r>
    </w:p>
    <w:p w:rsidR="00874553" w:rsidRPr="00FE1518" w:rsidRDefault="00874553" w:rsidP="00874553">
      <w:pPr>
        <w:tabs>
          <w:tab w:val="left" w:pos="1276"/>
        </w:tabs>
        <w:spacing w:after="120"/>
        <w:ind w:left="1276" w:hanging="556"/>
        <w:jc w:val="both"/>
        <w:rPr>
          <w:rFonts w:cs="Helvetica"/>
        </w:rPr>
      </w:pPr>
      <w:r w:rsidRPr="00FE1518">
        <w:rPr>
          <w:rFonts w:cs="Helvetica"/>
        </w:rPr>
        <w:t>(c)</w:t>
      </w:r>
      <w:r w:rsidRPr="00FE1518">
        <w:rPr>
          <w:rFonts w:cs="Helvetica"/>
        </w:rPr>
        <w:tab/>
        <w:t>2 or more of the dwellings contain sanitary fittings; and</w:t>
      </w:r>
    </w:p>
    <w:p w:rsidR="00874553" w:rsidRPr="00FE1518" w:rsidRDefault="00874553" w:rsidP="00874553">
      <w:pPr>
        <w:keepNext/>
        <w:tabs>
          <w:tab w:val="left" w:pos="1276"/>
        </w:tabs>
        <w:spacing w:after="120"/>
        <w:ind w:left="1276" w:hanging="556"/>
        <w:jc w:val="both"/>
        <w:rPr>
          <w:rFonts w:cs="Helvetica"/>
        </w:rPr>
      </w:pPr>
      <w:r w:rsidRPr="00FE1518">
        <w:rPr>
          <w:rFonts w:cs="Helvetica"/>
        </w:rPr>
        <w:t>(d)</w:t>
      </w:r>
      <w:r w:rsidRPr="00FE1518">
        <w:rPr>
          <w:rFonts w:cs="Helvetica"/>
        </w:rPr>
        <w:tab/>
        <w:t>in relation to:</w:t>
      </w:r>
    </w:p>
    <w:p w:rsidR="00874553" w:rsidRPr="00FE1518" w:rsidRDefault="00874553" w:rsidP="00874553">
      <w:pPr>
        <w:tabs>
          <w:tab w:val="left" w:pos="1276"/>
        </w:tabs>
        <w:spacing w:after="120"/>
        <w:ind w:left="1832" w:hanging="556"/>
        <w:jc w:val="both"/>
        <w:rPr>
          <w:rFonts w:cs="Helvetica"/>
        </w:rPr>
      </w:pPr>
      <w:r w:rsidRPr="00FE1518">
        <w:rPr>
          <w:rFonts w:cs="Helvetica"/>
        </w:rPr>
        <w:t>(</w:t>
      </w:r>
      <w:proofErr w:type="spellStart"/>
      <w:r w:rsidRPr="00FE1518">
        <w:rPr>
          <w:rFonts w:cs="Helvetica"/>
        </w:rPr>
        <w:t>i</w:t>
      </w:r>
      <w:proofErr w:type="spellEnd"/>
      <w:r w:rsidRPr="00FE1518">
        <w:rPr>
          <w:rFonts w:cs="Helvetica"/>
        </w:rPr>
        <w:t>)</w:t>
      </w:r>
      <w:r w:rsidRPr="00FE1518">
        <w:rPr>
          <w:rFonts w:cs="Helvetica"/>
        </w:rPr>
        <w:tab/>
        <w:t>a customer who is the owner of the property – the customer has a tenancy agreement or similar agreement with the occupiers of the residential dwellings; or</w:t>
      </w:r>
    </w:p>
    <w:p w:rsidR="00874553" w:rsidRPr="00FE1518" w:rsidRDefault="00874553" w:rsidP="00874553">
      <w:pPr>
        <w:tabs>
          <w:tab w:val="left" w:pos="1276"/>
        </w:tabs>
        <w:spacing w:after="120"/>
        <w:ind w:left="1832" w:hanging="556"/>
        <w:jc w:val="both"/>
        <w:rPr>
          <w:rFonts w:cs="Helvetica"/>
        </w:rPr>
      </w:pPr>
      <w:r w:rsidRPr="00FE1518">
        <w:rPr>
          <w:rFonts w:cs="Helvetica"/>
        </w:rPr>
        <w:t>(ii)</w:t>
      </w:r>
      <w:r w:rsidRPr="00FE1518">
        <w:rPr>
          <w:rFonts w:cs="Helvetica"/>
        </w:rPr>
        <w:tab/>
        <w:t>a customer who is the occupier of a resid</w:t>
      </w:r>
      <w:r>
        <w:rPr>
          <w:rFonts w:cs="Helvetica"/>
        </w:rPr>
        <w:t xml:space="preserve">ential dwelling on the property </w:t>
      </w:r>
      <w:r w:rsidRPr="00FE1518">
        <w:rPr>
          <w:rFonts w:cs="Helvetica"/>
        </w:rPr>
        <w:t>– the customer has a tenancy agreement or similar agreement with the occupiers of the other residential dwellings.</w:t>
      </w:r>
    </w:p>
    <w:p w:rsidR="00874553" w:rsidRPr="00FE1518" w:rsidRDefault="00874553" w:rsidP="00BA32F7">
      <w:pPr>
        <w:keepNext/>
        <w:spacing w:before="240" w:after="240"/>
        <w:ind w:left="720" w:hanging="720"/>
        <w:jc w:val="both"/>
        <w:rPr>
          <w:rFonts w:cs="Helvetica"/>
          <w:b/>
        </w:rPr>
      </w:pPr>
      <w:r w:rsidRPr="00FE1518">
        <w:rPr>
          <w:rFonts w:cs="Helvetica"/>
          <w:b/>
        </w:rPr>
        <w:lastRenderedPageBreak/>
        <w:t>9</w:t>
      </w:r>
      <w:r w:rsidRPr="00FE1518">
        <w:rPr>
          <w:rFonts w:cs="Helvetica"/>
          <w:b/>
        </w:rPr>
        <w:tab/>
        <w:t>Sewerage services – annual price for body corporate customer</w:t>
      </w:r>
    </w:p>
    <w:p w:rsidR="00874553" w:rsidRPr="00FE1518" w:rsidRDefault="00874553" w:rsidP="00BA32F7">
      <w:pPr>
        <w:keepNext/>
        <w:spacing w:after="120"/>
        <w:ind w:left="680"/>
        <w:jc w:val="both"/>
        <w:rPr>
          <w:rFonts w:cs="Helvetica"/>
        </w:rPr>
      </w:pPr>
      <w:r w:rsidRPr="00FE1518">
        <w:rPr>
          <w:rFonts w:cs="Helvetica"/>
        </w:rPr>
        <w:t>A body corporate customer may be charged, on a pro rata basis, a fixed annual price for sewerage services in respect of the development for which the customer is the body corporate that does not exceed:</w:t>
      </w:r>
    </w:p>
    <w:p w:rsidR="00874553" w:rsidRPr="00FE1518" w:rsidRDefault="00874553" w:rsidP="00874553">
      <w:pPr>
        <w:spacing w:after="120"/>
        <w:ind w:left="1418" w:hanging="720"/>
        <w:jc w:val="both"/>
        <w:rPr>
          <w:rFonts w:cs="Helvetica"/>
        </w:rPr>
      </w:pPr>
      <w:r>
        <w:rPr>
          <w:rFonts w:cs="Helvetica"/>
        </w:rPr>
        <w:t>(a)</w:t>
      </w:r>
      <w:r>
        <w:rPr>
          <w:rFonts w:cs="Helvetica"/>
        </w:rPr>
        <w:tab/>
        <w:t>$809.81</w:t>
      </w:r>
      <w:r w:rsidRPr="00FE1518">
        <w:rPr>
          <w:rFonts w:cs="Helvetica"/>
        </w:rPr>
        <w:t xml:space="preserve"> for each unit of the development that is a residential dwelling; and</w:t>
      </w:r>
    </w:p>
    <w:p w:rsidR="00874553" w:rsidRPr="00FE1518" w:rsidRDefault="00874553" w:rsidP="00874553">
      <w:pPr>
        <w:spacing w:after="120"/>
        <w:ind w:left="1418" w:hanging="709"/>
        <w:jc w:val="both"/>
        <w:rPr>
          <w:rFonts w:cs="Helvetica"/>
        </w:rPr>
      </w:pPr>
      <w:r w:rsidRPr="00FE1518">
        <w:rPr>
          <w:rFonts w:cs="Helvetica"/>
        </w:rPr>
        <w:t>(b)</w:t>
      </w:r>
      <w:r w:rsidRPr="00FE1518">
        <w:rPr>
          <w:rFonts w:cs="Helvetica"/>
        </w:rPr>
        <w:tab/>
        <w:t>the amount permitted to be charged under clause 10 for each sanitary fitting in the development that is not located in a unit that is a residential dwelling.</w:t>
      </w:r>
    </w:p>
    <w:p w:rsidR="00874553" w:rsidRPr="00FE1518" w:rsidRDefault="00874553" w:rsidP="00874553">
      <w:pPr>
        <w:keepNext/>
        <w:spacing w:before="240" w:after="240"/>
        <w:ind w:left="720" w:hanging="720"/>
        <w:jc w:val="both"/>
        <w:rPr>
          <w:rFonts w:cs="Helvetica"/>
          <w:b/>
        </w:rPr>
      </w:pPr>
      <w:r w:rsidRPr="00FE1518">
        <w:rPr>
          <w:rFonts w:cs="Helvetica"/>
          <w:b/>
        </w:rPr>
        <w:t>10</w:t>
      </w:r>
      <w:r w:rsidRPr="00FE1518">
        <w:rPr>
          <w:rFonts w:cs="Helvetica"/>
          <w:b/>
        </w:rPr>
        <w:tab/>
        <w:t>Sewerage services – annual price for non-residential sewerage customer</w:t>
      </w:r>
    </w:p>
    <w:p w:rsidR="00874553" w:rsidRPr="00FE1518" w:rsidRDefault="00874553" w:rsidP="00874553">
      <w:pPr>
        <w:keepNext/>
        <w:spacing w:after="120"/>
        <w:ind w:left="720" w:hanging="720"/>
        <w:jc w:val="both"/>
        <w:rPr>
          <w:rFonts w:cs="Helvetica"/>
        </w:rPr>
      </w:pPr>
      <w:r w:rsidRPr="00FE1518">
        <w:rPr>
          <w:rFonts w:cs="Helvetica"/>
        </w:rPr>
        <w:tab/>
        <w:t>A non-residential sewerage customer may be charged, on a pro rata basis, for sewerage services supplied to the customer's property, a fixed annual price that:</w:t>
      </w:r>
    </w:p>
    <w:p w:rsidR="00874553" w:rsidRPr="00FE1518" w:rsidRDefault="00874553" w:rsidP="00874553">
      <w:pPr>
        <w:spacing w:after="120"/>
        <w:ind w:left="1440" w:hanging="720"/>
        <w:jc w:val="both"/>
        <w:rPr>
          <w:rFonts w:cs="Helvetica"/>
        </w:rPr>
      </w:pPr>
      <w:r w:rsidRPr="00FE1518">
        <w:rPr>
          <w:rFonts w:cs="Helvetica"/>
        </w:rPr>
        <w:t>(a)</w:t>
      </w:r>
      <w:r w:rsidRPr="00FE1518">
        <w:rPr>
          <w:rFonts w:cs="Helvetica"/>
        </w:rPr>
        <w:tab/>
        <w:t>is calculated with reference to the number of sanitary fittings on the property as specified in the following table; and</w:t>
      </w:r>
    </w:p>
    <w:p w:rsidR="00874553" w:rsidRPr="00FE1518" w:rsidRDefault="00874553" w:rsidP="00874553">
      <w:pPr>
        <w:spacing w:after="120"/>
        <w:ind w:left="1440" w:hanging="720"/>
        <w:jc w:val="both"/>
        <w:rPr>
          <w:rFonts w:cs="Helvetica"/>
        </w:rPr>
      </w:pPr>
      <w:r w:rsidRPr="00FE1518">
        <w:rPr>
          <w:rFonts w:cs="Helvetica"/>
        </w:rPr>
        <w:t>(b)</w:t>
      </w:r>
      <w:r w:rsidRPr="00FE1518">
        <w:rPr>
          <w:rFonts w:cs="Helvetica"/>
        </w:rPr>
        <w:tab/>
        <w:t>does not exceed the relevant amount specified in the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4179"/>
      </w:tblGrid>
      <w:tr w:rsidR="00874553" w:rsidRPr="00FE1518" w:rsidTr="00206848">
        <w:tc>
          <w:tcPr>
            <w:tcW w:w="0" w:type="auto"/>
          </w:tcPr>
          <w:p w:rsidR="00874553" w:rsidRPr="00FE1518" w:rsidRDefault="00874553" w:rsidP="00206848">
            <w:pPr>
              <w:pStyle w:val="NormalIndent"/>
              <w:tabs>
                <w:tab w:val="clear" w:pos="720"/>
                <w:tab w:val="clear" w:pos="1440"/>
                <w:tab w:val="left" w:pos="0"/>
                <w:tab w:val="left" w:pos="142"/>
                <w:tab w:val="left" w:pos="284"/>
              </w:tabs>
              <w:spacing w:before="120" w:after="120" w:line="240" w:lineRule="auto"/>
              <w:ind w:left="142"/>
              <w:rPr>
                <w:rFonts w:ascii="Helvetica" w:hAnsi="Helvetica" w:cs="Helvetica"/>
                <w:b/>
                <w:sz w:val="24"/>
                <w:szCs w:val="24"/>
              </w:rPr>
            </w:pPr>
            <w:r w:rsidRPr="00FE1518">
              <w:rPr>
                <w:rFonts w:ascii="Helvetica" w:hAnsi="Helvetica" w:cs="Helvetica"/>
                <w:b/>
                <w:sz w:val="24"/>
                <w:szCs w:val="24"/>
              </w:rPr>
              <w:t>Number of sanitary fittings</w:t>
            </w:r>
          </w:p>
        </w:tc>
        <w:tc>
          <w:tcPr>
            <w:tcW w:w="0" w:type="auto"/>
          </w:tcPr>
          <w:p w:rsidR="00874553" w:rsidRPr="00FE1518" w:rsidRDefault="00874553" w:rsidP="00206848">
            <w:pPr>
              <w:pStyle w:val="NormalIndent"/>
              <w:tabs>
                <w:tab w:val="clear" w:pos="720"/>
                <w:tab w:val="clear" w:pos="1440"/>
                <w:tab w:val="left" w:pos="0"/>
                <w:tab w:val="left" w:pos="709"/>
              </w:tabs>
              <w:spacing w:before="120" w:after="120" w:line="240" w:lineRule="auto"/>
              <w:ind w:left="0"/>
              <w:jc w:val="center"/>
              <w:rPr>
                <w:rFonts w:ascii="Helvetica" w:hAnsi="Helvetica" w:cs="Helvetica"/>
                <w:sz w:val="24"/>
                <w:szCs w:val="24"/>
              </w:rPr>
            </w:pPr>
            <w:r w:rsidRPr="00FE1518">
              <w:rPr>
                <w:rFonts w:ascii="Helvetica" w:hAnsi="Helvetica" w:cs="Helvetica"/>
                <w:b/>
                <w:sz w:val="24"/>
                <w:szCs w:val="24"/>
              </w:rPr>
              <w:t>Fixed Annual Price ($)</w:t>
            </w:r>
          </w:p>
        </w:tc>
      </w:tr>
      <w:tr w:rsidR="00874553" w:rsidRPr="00FE1518" w:rsidTr="00206848">
        <w:tc>
          <w:tcPr>
            <w:tcW w:w="0" w:type="auto"/>
          </w:tcPr>
          <w:p w:rsidR="00874553" w:rsidRPr="00FE1518" w:rsidRDefault="00874553" w:rsidP="00206848">
            <w:pPr>
              <w:pStyle w:val="NormalIndent"/>
              <w:tabs>
                <w:tab w:val="clear" w:pos="720"/>
                <w:tab w:val="clear" w:pos="1440"/>
                <w:tab w:val="left" w:pos="0"/>
                <w:tab w:val="left" w:pos="142"/>
                <w:tab w:val="left" w:pos="284"/>
              </w:tabs>
              <w:spacing w:before="40" w:after="40" w:line="240" w:lineRule="auto"/>
              <w:ind w:left="142"/>
              <w:rPr>
                <w:rFonts w:ascii="Helvetica" w:hAnsi="Helvetica" w:cs="Helvetica"/>
                <w:sz w:val="24"/>
                <w:szCs w:val="24"/>
              </w:rPr>
            </w:pPr>
            <w:r w:rsidRPr="00FE1518">
              <w:rPr>
                <w:rFonts w:ascii="Helvetica" w:hAnsi="Helvetica" w:cs="Helvetica"/>
                <w:sz w:val="24"/>
                <w:szCs w:val="24"/>
              </w:rPr>
              <w:t>0 – 2 sanitary fittings</w:t>
            </w:r>
          </w:p>
        </w:tc>
        <w:tc>
          <w:tcPr>
            <w:tcW w:w="0" w:type="auto"/>
          </w:tcPr>
          <w:p w:rsidR="00874553" w:rsidRPr="00FE1518" w:rsidRDefault="00874553" w:rsidP="00206848">
            <w:pPr>
              <w:pStyle w:val="NormalIndent"/>
              <w:tabs>
                <w:tab w:val="clear" w:pos="1440"/>
                <w:tab w:val="left" w:pos="0"/>
              </w:tabs>
              <w:spacing w:before="40" w:after="40" w:line="240" w:lineRule="auto"/>
              <w:ind w:left="0"/>
              <w:jc w:val="left"/>
              <w:rPr>
                <w:rFonts w:ascii="Helvetica" w:hAnsi="Helvetica" w:cs="Helvetica"/>
                <w:sz w:val="24"/>
                <w:szCs w:val="24"/>
              </w:rPr>
            </w:pPr>
            <w:r w:rsidRPr="00FE1518">
              <w:rPr>
                <w:rFonts w:ascii="Helvetica" w:hAnsi="Helvetica" w:cs="Helvetica"/>
                <w:sz w:val="24"/>
                <w:szCs w:val="24"/>
              </w:rPr>
              <w:t>809.81</w:t>
            </w:r>
          </w:p>
        </w:tc>
      </w:tr>
      <w:tr w:rsidR="00874553" w:rsidRPr="00FE1518" w:rsidTr="00206848">
        <w:tc>
          <w:tcPr>
            <w:tcW w:w="0" w:type="auto"/>
          </w:tcPr>
          <w:p w:rsidR="00874553" w:rsidRPr="00FE1518" w:rsidRDefault="00874553" w:rsidP="00206848">
            <w:pPr>
              <w:pStyle w:val="NormalIndent"/>
              <w:tabs>
                <w:tab w:val="clear" w:pos="720"/>
                <w:tab w:val="clear" w:pos="1440"/>
                <w:tab w:val="left" w:pos="0"/>
                <w:tab w:val="left" w:pos="142"/>
                <w:tab w:val="left" w:pos="284"/>
              </w:tabs>
              <w:spacing w:before="40" w:after="40" w:line="240" w:lineRule="auto"/>
              <w:ind w:left="142"/>
              <w:rPr>
                <w:rFonts w:ascii="Helvetica" w:hAnsi="Helvetica" w:cs="Helvetica"/>
                <w:sz w:val="24"/>
                <w:szCs w:val="24"/>
              </w:rPr>
            </w:pPr>
            <w:r w:rsidRPr="00FE1518">
              <w:rPr>
                <w:rFonts w:ascii="Helvetica" w:hAnsi="Helvetica" w:cs="Helvetica"/>
                <w:sz w:val="24"/>
                <w:szCs w:val="24"/>
              </w:rPr>
              <w:t>More than 2 sanitary fittings but less than 25</w:t>
            </w:r>
          </w:p>
        </w:tc>
        <w:tc>
          <w:tcPr>
            <w:tcW w:w="0" w:type="auto"/>
          </w:tcPr>
          <w:p w:rsidR="00874553" w:rsidRPr="00FE1518" w:rsidRDefault="00874553" w:rsidP="00206848">
            <w:pPr>
              <w:pStyle w:val="NormalIndent"/>
              <w:tabs>
                <w:tab w:val="clear" w:pos="1440"/>
                <w:tab w:val="left" w:pos="0"/>
              </w:tabs>
              <w:spacing w:before="40" w:after="40" w:line="240" w:lineRule="auto"/>
              <w:ind w:left="0"/>
              <w:rPr>
                <w:rFonts w:ascii="Helvetica" w:hAnsi="Helvetica" w:cs="Helvetica"/>
                <w:sz w:val="24"/>
                <w:szCs w:val="24"/>
              </w:rPr>
            </w:pPr>
            <w:r w:rsidRPr="00FE1518">
              <w:rPr>
                <w:rFonts w:ascii="Helvetica" w:hAnsi="Helvetica" w:cs="Helvetica"/>
                <w:sz w:val="24"/>
                <w:szCs w:val="24"/>
              </w:rPr>
              <w:t>809.81 plus 551.31 for each fitting more than 2</w:t>
            </w:r>
          </w:p>
        </w:tc>
      </w:tr>
      <w:tr w:rsidR="00874553" w:rsidRPr="00FE1518" w:rsidTr="00206848">
        <w:tc>
          <w:tcPr>
            <w:tcW w:w="0" w:type="auto"/>
          </w:tcPr>
          <w:p w:rsidR="00874553" w:rsidRPr="00FE1518" w:rsidRDefault="00874553" w:rsidP="00206848">
            <w:pPr>
              <w:pStyle w:val="NormalIndent"/>
              <w:tabs>
                <w:tab w:val="clear" w:pos="720"/>
                <w:tab w:val="clear" w:pos="1440"/>
                <w:tab w:val="left" w:pos="0"/>
                <w:tab w:val="left" w:pos="142"/>
                <w:tab w:val="left" w:pos="284"/>
              </w:tabs>
              <w:spacing w:before="40" w:after="40" w:line="240" w:lineRule="auto"/>
              <w:ind w:left="142"/>
              <w:rPr>
                <w:rFonts w:ascii="Helvetica" w:hAnsi="Helvetica" w:cs="Helvetica"/>
                <w:sz w:val="24"/>
                <w:szCs w:val="24"/>
              </w:rPr>
            </w:pPr>
            <w:r w:rsidRPr="00FE1518">
              <w:rPr>
                <w:rFonts w:ascii="Helvetica" w:hAnsi="Helvetica" w:cs="Helvetica"/>
                <w:sz w:val="24"/>
                <w:szCs w:val="24"/>
              </w:rPr>
              <w:t>More than 24 sanitary fittings but less than 50</w:t>
            </w:r>
          </w:p>
        </w:tc>
        <w:tc>
          <w:tcPr>
            <w:tcW w:w="0" w:type="auto"/>
          </w:tcPr>
          <w:p w:rsidR="00874553" w:rsidRPr="00FE1518" w:rsidRDefault="00874553" w:rsidP="00206848">
            <w:pPr>
              <w:pStyle w:val="NormalIndent"/>
              <w:tabs>
                <w:tab w:val="clear" w:pos="1440"/>
                <w:tab w:val="left" w:pos="0"/>
              </w:tabs>
              <w:spacing w:before="40" w:after="40" w:line="240" w:lineRule="auto"/>
              <w:ind w:left="0"/>
              <w:rPr>
                <w:rFonts w:ascii="Helvetica" w:hAnsi="Helvetica" w:cs="Helvetica"/>
                <w:sz w:val="24"/>
                <w:szCs w:val="24"/>
              </w:rPr>
            </w:pPr>
            <w:r w:rsidRPr="00FE1518">
              <w:rPr>
                <w:rFonts w:ascii="Helvetica" w:hAnsi="Helvetica" w:cs="Helvetica"/>
                <w:sz w:val="24"/>
                <w:szCs w:val="24"/>
              </w:rPr>
              <w:t>12,938.53 plus 517.14 for each fitting more than 24</w:t>
            </w:r>
          </w:p>
        </w:tc>
      </w:tr>
      <w:tr w:rsidR="00874553" w:rsidRPr="00FE1518" w:rsidTr="00206848">
        <w:tc>
          <w:tcPr>
            <w:tcW w:w="0" w:type="auto"/>
          </w:tcPr>
          <w:p w:rsidR="00874553" w:rsidRPr="00FE1518" w:rsidRDefault="00874553" w:rsidP="00206848">
            <w:pPr>
              <w:pStyle w:val="NormalIndent"/>
              <w:tabs>
                <w:tab w:val="clear" w:pos="720"/>
                <w:tab w:val="clear" w:pos="1440"/>
                <w:tab w:val="left" w:pos="0"/>
                <w:tab w:val="left" w:pos="142"/>
                <w:tab w:val="left" w:pos="284"/>
              </w:tabs>
              <w:spacing w:before="40" w:after="40" w:line="240" w:lineRule="auto"/>
              <w:ind w:left="142"/>
              <w:rPr>
                <w:rFonts w:ascii="Helvetica" w:hAnsi="Helvetica" w:cs="Helvetica"/>
                <w:sz w:val="24"/>
                <w:szCs w:val="24"/>
              </w:rPr>
            </w:pPr>
            <w:r w:rsidRPr="00FE1518">
              <w:rPr>
                <w:rFonts w:ascii="Helvetica" w:hAnsi="Helvetica" w:cs="Helvetica"/>
                <w:sz w:val="24"/>
                <w:szCs w:val="24"/>
              </w:rPr>
              <w:t>More than 49 sanitary fittings but less than 100</w:t>
            </w:r>
          </w:p>
        </w:tc>
        <w:tc>
          <w:tcPr>
            <w:tcW w:w="0" w:type="auto"/>
          </w:tcPr>
          <w:p w:rsidR="00874553" w:rsidRPr="00FE1518" w:rsidRDefault="00874553" w:rsidP="00206848">
            <w:pPr>
              <w:pStyle w:val="NormalIndent"/>
              <w:tabs>
                <w:tab w:val="clear" w:pos="1440"/>
                <w:tab w:val="left" w:pos="0"/>
              </w:tabs>
              <w:spacing w:before="40" w:after="40" w:line="240" w:lineRule="auto"/>
              <w:ind w:left="0"/>
              <w:rPr>
                <w:rFonts w:ascii="Helvetica" w:hAnsi="Helvetica" w:cs="Helvetica"/>
                <w:sz w:val="24"/>
                <w:szCs w:val="24"/>
              </w:rPr>
            </w:pPr>
            <w:r w:rsidRPr="00FE1518">
              <w:rPr>
                <w:rFonts w:ascii="Helvetica" w:hAnsi="Helvetica" w:cs="Helvetica"/>
                <w:sz w:val="24"/>
                <w:szCs w:val="24"/>
              </w:rPr>
              <w:t>25,867.13 plus 480.13 for each fitting more than 49</w:t>
            </w:r>
          </w:p>
        </w:tc>
      </w:tr>
      <w:tr w:rsidR="00874553" w:rsidRPr="00FE1518" w:rsidTr="00206848">
        <w:tc>
          <w:tcPr>
            <w:tcW w:w="0" w:type="auto"/>
          </w:tcPr>
          <w:p w:rsidR="00874553" w:rsidRPr="00FE1518" w:rsidRDefault="00874553" w:rsidP="00206848">
            <w:pPr>
              <w:pStyle w:val="NormalIndent"/>
              <w:tabs>
                <w:tab w:val="clear" w:pos="720"/>
                <w:tab w:val="clear" w:pos="1440"/>
                <w:tab w:val="left" w:pos="0"/>
                <w:tab w:val="left" w:pos="142"/>
                <w:tab w:val="left" w:pos="284"/>
              </w:tabs>
              <w:spacing w:before="40" w:after="40" w:line="240" w:lineRule="auto"/>
              <w:ind w:left="142"/>
              <w:rPr>
                <w:rFonts w:ascii="Helvetica" w:hAnsi="Helvetica" w:cs="Helvetica"/>
                <w:sz w:val="24"/>
                <w:szCs w:val="24"/>
              </w:rPr>
            </w:pPr>
            <w:r w:rsidRPr="00FE1518">
              <w:rPr>
                <w:rFonts w:ascii="Helvetica" w:hAnsi="Helvetica" w:cs="Helvetica"/>
                <w:sz w:val="24"/>
                <w:szCs w:val="24"/>
              </w:rPr>
              <w:t>More than 99 sanitary fittings but less than 150</w:t>
            </w:r>
          </w:p>
        </w:tc>
        <w:tc>
          <w:tcPr>
            <w:tcW w:w="0" w:type="auto"/>
          </w:tcPr>
          <w:p w:rsidR="00874553" w:rsidRPr="00FE1518" w:rsidRDefault="00874553" w:rsidP="00206848">
            <w:pPr>
              <w:pStyle w:val="NormalIndent"/>
              <w:tabs>
                <w:tab w:val="clear" w:pos="1440"/>
                <w:tab w:val="left" w:pos="0"/>
              </w:tabs>
              <w:spacing w:before="40" w:after="40" w:line="240" w:lineRule="auto"/>
              <w:ind w:left="0"/>
              <w:rPr>
                <w:rFonts w:ascii="Helvetica" w:hAnsi="Helvetica" w:cs="Helvetica"/>
                <w:sz w:val="24"/>
                <w:szCs w:val="24"/>
              </w:rPr>
            </w:pPr>
            <w:r w:rsidRPr="00FE1518">
              <w:rPr>
                <w:rFonts w:ascii="Helvetica" w:hAnsi="Helvetica" w:cs="Helvetica"/>
                <w:sz w:val="24"/>
                <w:szCs w:val="24"/>
              </w:rPr>
              <w:t>49,873.66 plus 446.12 for each fitting more than 99</w:t>
            </w:r>
          </w:p>
        </w:tc>
      </w:tr>
      <w:tr w:rsidR="00874553" w:rsidRPr="00FE1518" w:rsidTr="00206848">
        <w:tc>
          <w:tcPr>
            <w:tcW w:w="0" w:type="auto"/>
          </w:tcPr>
          <w:p w:rsidR="00874553" w:rsidRPr="00FE1518" w:rsidRDefault="00874553" w:rsidP="00206848">
            <w:pPr>
              <w:pStyle w:val="NormalIndent"/>
              <w:tabs>
                <w:tab w:val="clear" w:pos="720"/>
                <w:tab w:val="clear" w:pos="1440"/>
                <w:tab w:val="left" w:pos="0"/>
                <w:tab w:val="left" w:pos="142"/>
                <w:tab w:val="left" w:pos="284"/>
              </w:tabs>
              <w:spacing w:before="40" w:after="40" w:line="240" w:lineRule="auto"/>
              <w:ind w:left="142"/>
              <w:rPr>
                <w:rFonts w:ascii="Helvetica" w:hAnsi="Helvetica" w:cs="Helvetica"/>
                <w:sz w:val="24"/>
                <w:szCs w:val="24"/>
              </w:rPr>
            </w:pPr>
            <w:r w:rsidRPr="00FE1518">
              <w:rPr>
                <w:rFonts w:ascii="Helvetica" w:hAnsi="Helvetica" w:cs="Helvetica"/>
                <w:sz w:val="24"/>
                <w:szCs w:val="24"/>
              </w:rPr>
              <w:t xml:space="preserve">More than 149 sanitary fittings </w:t>
            </w:r>
          </w:p>
        </w:tc>
        <w:tc>
          <w:tcPr>
            <w:tcW w:w="0" w:type="auto"/>
          </w:tcPr>
          <w:p w:rsidR="00874553" w:rsidRPr="00FE1518" w:rsidRDefault="00874553" w:rsidP="00206848">
            <w:pPr>
              <w:pStyle w:val="NormalIndent"/>
              <w:tabs>
                <w:tab w:val="clear" w:pos="1440"/>
                <w:tab w:val="left" w:pos="0"/>
              </w:tabs>
              <w:spacing w:before="40" w:after="40" w:line="240" w:lineRule="auto"/>
              <w:ind w:left="0"/>
              <w:rPr>
                <w:rFonts w:ascii="Helvetica" w:hAnsi="Helvetica" w:cs="Helvetica"/>
                <w:sz w:val="24"/>
                <w:szCs w:val="24"/>
              </w:rPr>
            </w:pPr>
            <w:r w:rsidRPr="00FE1518">
              <w:rPr>
                <w:rFonts w:ascii="Helvetica" w:hAnsi="Helvetica" w:cs="Helvetica"/>
                <w:sz w:val="24"/>
                <w:szCs w:val="24"/>
              </w:rPr>
              <w:t>72,179.69 plus 432.00 for each fitting more than 149</w:t>
            </w:r>
          </w:p>
        </w:tc>
      </w:tr>
    </w:tbl>
    <w:p w:rsidR="00874553" w:rsidRPr="00FE1518" w:rsidRDefault="00874553" w:rsidP="00874553">
      <w:pPr>
        <w:keepNext/>
        <w:spacing w:before="240" w:after="240"/>
        <w:jc w:val="both"/>
        <w:rPr>
          <w:rFonts w:cs="Helvetica"/>
          <w:b/>
        </w:rPr>
      </w:pPr>
      <w:r w:rsidRPr="00FE1518">
        <w:rPr>
          <w:rFonts w:cs="Helvetica"/>
          <w:b/>
        </w:rPr>
        <w:t>11</w:t>
      </w:r>
      <w:r w:rsidRPr="00FE1518">
        <w:rPr>
          <w:rFonts w:cs="Helvetica"/>
          <w:b/>
        </w:rPr>
        <w:tab/>
        <w:t>Prices for related services</w:t>
      </w:r>
    </w:p>
    <w:p w:rsidR="00874553" w:rsidRPr="00FE1518" w:rsidRDefault="00874553" w:rsidP="00874553">
      <w:pPr>
        <w:spacing w:after="120"/>
        <w:ind w:left="709"/>
        <w:jc w:val="both"/>
        <w:rPr>
          <w:rFonts w:cs="Helvetica"/>
        </w:rPr>
      </w:pPr>
      <w:r w:rsidRPr="00FE1518">
        <w:rPr>
          <w:rFonts w:cs="Helvetica"/>
        </w:rPr>
        <w:t>A price charged for related services must be a fair and reasonable amount taking into consideration the costs of providing the services in an efficient manner.</w:t>
      </w:r>
    </w:p>
    <w:p w:rsidR="00874553" w:rsidRPr="00FE1518" w:rsidRDefault="00874553" w:rsidP="00874553">
      <w:pPr>
        <w:spacing w:before="240" w:after="240"/>
        <w:jc w:val="both"/>
        <w:rPr>
          <w:rFonts w:cs="Helvetica"/>
        </w:rPr>
      </w:pPr>
      <w:r w:rsidRPr="00FE1518">
        <w:rPr>
          <w:rFonts w:cs="Helvetica"/>
          <w:b/>
        </w:rPr>
        <w:t>12</w:t>
      </w:r>
      <w:r w:rsidRPr="00FE1518">
        <w:rPr>
          <w:rFonts w:cs="Helvetica"/>
          <w:b/>
        </w:rPr>
        <w:tab/>
        <w:t>Role of Utilities Commission</w:t>
      </w:r>
    </w:p>
    <w:p w:rsidR="00874553" w:rsidRPr="00FE1518" w:rsidRDefault="00874553" w:rsidP="00874553">
      <w:pPr>
        <w:spacing w:after="120"/>
        <w:ind w:left="709"/>
        <w:jc w:val="both"/>
        <w:rPr>
          <w:rFonts w:cs="Helvetica"/>
        </w:rPr>
      </w:pPr>
      <w:r w:rsidRPr="00FE1518">
        <w:rPr>
          <w:rFonts w:cs="Helvetica"/>
        </w:rPr>
        <w:t>The Utilities Commission must:</w:t>
      </w:r>
    </w:p>
    <w:p w:rsidR="00874553" w:rsidRPr="00FE1518" w:rsidRDefault="00874553" w:rsidP="00874553">
      <w:pPr>
        <w:spacing w:after="120"/>
        <w:ind w:left="720"/>
        <w:jc w:val="both"/>
        <w:rPr>
          <w:rFonts w:cs="Helvetica"/>
        </w:rPr>
      </w:pPr>
      <w:r w:rsidRPr="00FE1518">
        <w:rPr>
          <w:rFonts w:cs="Helvetica"/>
        </w:rPr>
        <w:t>(a)</w:t>
      </w:r>
      <w:r w:rsidRPr="00FE1518">
        <w:rPr>
          <w:rFonts w:cs="Helvetica"/>
        </w:rPr>
        <w:tab/>
        <w:t>monitor compliance with this pricing order; and</w:t>
      </w:r>
    </w:p>
    <w:p w:rsidR="00874553" w:rsidRPr="00FE1518" w:rsidRDefault="00874553" w:rsidP="00874553">
      <w:pPr>
        <w:pStyle w:val="BodyTextIndent"/>
        <w:ind w:left="1440" w:hanging="720"/>
        <w:rPr>
          <w:rFonts w:cs="Helvetica"/>
        </w:rPr>
      </w:pPr>
      <w:r w:rsidRPr="00FE1518">
        <w:rPr>
          <w:rFonts w:cs="Helvetica"/>
        </w:rPr>
        <w:lastRenderedPageBreak/>
        <w:t>(b)</w:t>
      </w:r>
      <w:r w:rsidRPr="00FE1518">
        <w:rPr>
          <w:rFonts w:cs="Helvetica"/>
        </w:rPr>
        <w:tab/>
      </w:r>
      <w:r w:rsidRPr="004A66EB">
        <w:rPr>
          <w:rFonts w:cs="Helvetica"/>
          <w:szCs w:val="24"/>
        </w:rPr>
        <w:t>enforce t</w:t>
      </w:r>
      <w:r>
        <w:rPr>
          <w:rFonts w:cs="Helvetica"/>
          <w:szCs w:val="24"/>
        </w:rPr>
        <w:t>his pricing order under section </w:t>
      </w:r>
      <w:r w:rsidRPr="004A66EB">
        <w:rPr>
          <w:rFonts w:cs="Helvetica"/>
          <w:szCs w:val="24"/>
        </w:rPr>
        <w:t xml:space="preserve">23 of the </w:t>
      </w:r>
      <w:r w:rsidRPr="004A66EB">
        <w:rPr>
          <w:rFonts w:cs="Helvetica"/>
          <w:i/>
          <w:szCs w:val="24"/>
        </w:rPr>
        <w:t>Utilities Commission Act</w:t>
      </w:r>
      <w:r w:rsidRPr="004A66EB">
        <w:rPr>
          <w:rFonts w:cs="Helvetica"/>
          <w:szCs w:val="24"/>
        </w:rPr>
        <w:t xml:space="preserve"> in the same way as if it were a determination under that Act; and</w:t>
      </w:r>
    </w:p>
    <w:p w:rsidR="005E1791" w:rsidRPr="00B31BF0" w:rsidRDefault="00874553" w:rsidP="00BA32F7">
      <w:pPr>
        <w:pStyle w:val="BodyTextIndent"/>
        <w:ind w:left="1440" w:hanging="720"/>
        <w:rPr>
          <w:rFonts w:cs="Helvetica"/>
        </w:rPr>
      </w:pPr>
      <w:r w:rsidRPr="00FE1518">
        <w:rPr>
          <w:rFonts w:cs="Helvetica"/>
          <w:szCs w:val="24"/>
        </w:rPr>
        <w:t>(c)</w:t>
      </w:r>
      <w:r w:rsidRPr="00FE1518">
        <w:rPr>
          <w:rFonts w:cs="Helvetica"/>
          <w:szCs w:val="24"/>
        </w:rPr>
        <w:tab/>
        <w:t xml:space="preserve">investigate any complaints made to the Utilities Commission by customers that prices to which this pricing order applies do not comply with this order. </w:t>
      </w:r>
      <w:bookmarkStart w:id="4" w:name="_GoBack"/>
      <w:bookmarkEnd w:id="4"/>
    </w:p>
    <w:sectPr w:rsidR="005E1791" w:rsidRPr="00B31BF0" w:rsidSect="00310E86">
      <w:headerReference w:type="default" r:id="rId9"/>
      <w:footerReference w:type="default" r:id="rId10"/>
      <w:pgSz w:w="11907" w:h="16839" w:code="9"/>
      <w:pgMar w:top="1440" w:right="1797" w:bottom="179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88" w:rsidRDefault="00605788" w:rsidP="00262753">
      <w:pPr>
        <w:spacing w:before="0" w:after="0"/>
      </w:pPr>
      <w:r>
        <w:separator/>
      </w:r>
    </w:p>
  </w:endnote>
  <w:endnote w:type="continuationSeparator" w:id="0">
    <w:p w:rsidR="00605788" w:rsidRDefault="00605788"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88" w:rsidRPr="00E433EF" w:rsidRDefault="00605788"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BA32F7">
      <w:rPr>
        <w:noProof/>
      </w:rPr>
      <w:t>14</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88" w:rsidRDefault="00605788" w:rsidP="00262753">
      <w:pPr>
        <w:spacing w:before="0" w:after="0"/>
      </w:pPr>
      <w:r>
        <w:separator/>
      </w:r>
    </w:p>
  </w:footnote>
  <w:footnote w:type="continuationSeparator" w:id="0">
    <w:p w:rsidR="00605788" w:rsidRDefault="00605788"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88" w:rsidRPr="00246A76" w:rsidRDefault="00605788" w:rsidP="00CF17A8">
    <w:pPr>
      <w:pStyle w:val="Header"/>
    </w:pPr>
    <w:r w:rsidRPr="00246A76">
      <w:t xml:space="preserve">Northern Territory Government Gazette No. </w:t>
    </w:r>
    <w:r w:rsidR="007E28F0">
      <w:t>S1</w:t>
    </w:r>
    <w:r w:rsidR="00CE1CD6">
      <w:t>23</w:t>
    </w:r>
    <w:r w:rsidRPr="00246A76">
      <w:t xml:space="preserve">, </w:t>
    </w:r>
    <w:r w:rsidR="00634CBF">
      <w:t>2</w:t>
    </w:r>
    <w:r w:rsidR="00CE1CD6">
      <w:t>9</w:t>
    </w:r>
    <w:r>
      <w:t xml:space="preserve"> 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244"/>
    <w:multiLevelType w:val="hybridMultilevel"/>
    <w:tmpl w:val="D126247A"/>
    <w:lvl w:ilvl="0" w:tplc="8FFEA4A2">
      <w:start w:val="100"/>
      <w:numFmt w:val="lowerRoman"/>
      <w:lvlText w:val="(%1)"/>
      <w:lvlJc w:val="left"/>
      <w:pPr>
        <w:tabs>
          <w:tab w:val="num" w:pos="1080"/>
        </w:tabs>
        <w:ind w:left="1080" w:hanging="720"/>
      </w:pPr>
    </w:lvl>
    <w:lvl w:ilvl="1" w:tplc="A59E2492">
      <w:start w:val="1"/>
      <w:numFmt w:val="lowerRoman"/>
      <w:lvlText w:val="(%2)"/>
      <w:lvlJc w:val="left"/>
      <w:pPr>
        <w:tabs>
          <w:tab w:val="num" w:pos="1211"/>
        </w:tabs>
        <w:ind w:left="1211" w:hanging="360"/>
      </w:pPr>
      <w:rPr>
        <w:rFonts w:ascii="Helvetica" w:eastAsia="Times New Roman" w:hAnsi="Helvetica" w:cs="Helvetica"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03492838"/>
    <w:multiLevelType w:val="singleLevel"/>
    <w:tmpl w:val="431A8766"/>
    <w:lvl w:ilvl="0">
      <w:start w:val="2"/>
      <w:numFmt w:val="lowerLetter"/>
      <w:lvlText w:val="(%1)"/>
      <w:lvlJc w:val="left"/>
      <w:pPr>
        <w:tabs>
          <w:tab w:val="num" w:pos="465"/>
        </w:tabs>
        <w:ind w:left="465" w:hanging="465"/>
      </w:pPr>
      <w:rPr>
        <w:rFonts w:hint="default"/>
      </w:rPr>
    </w:lvl>
  </w:abstractNum>
  <w:abstractNum w:abstractNumId="2" w15:restartNumberingAfterBreak="0">
    <w:nsid w:val="0679037D"/>
    <w:multiLevelType w:val="hybridMultilevel"/>
    <w:tmpl w:val="9E629FF8"/>
    <w:lvl w:ilvl="0" w:tplc="15F832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E1E5F"/>
    <w:multiLevelType w:val="hybridMultilevel"/>
    <w:tmpl w:val="9E629FF8"/>
    <w:lvl w:ilvl="0" w:tplc="15F832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067EF3"/>
    <w:multiLevelType w:val="hybridMultilevel"/>
    <w:tmpl w:val="A6DE45D2"/>
    <w:lvl w:ilvl="0" w:tplc="8394471C">
      <w:start w:val="2"/>
      <w:numFmt w:val="lowerLetter"/>
      <w:lvlText w:val="(%1)"/>
      <w:lvlJc w:val="left"/>
      <w:pPr>
        <w:tabs>
          <w:tab w:val="num" w:pos="720"/>
        </w:tabs>
        <w:ind w:left="720" w:hanging="360"/>
      </w:pPr>
    </w:lvl>
    <w:lvl w:ilvl="1" w:tplc="0A34ED78">
      <w:start w:val="1"/>
      <w:numFmt w:val="lowerRoman"/>
      <w:lvlText w:val="(%2)"/>
      <w:lvlJc w:val="left"/>
      <w:pPr>
        <w:tabs>
          <w:tab w:val="num" w:pos="1440"/>
        </w:tabs>
        <w:ind w:left="1440" w:hanging="360"/>
      </w:pPr>
      <w:rPr>
        <w:rFonts w:ascii="Helvetica" w:eastAsia="Times New Roman" w:hAnsi="Helvetica" w:cs="Helvetica"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0CF95383"/>
    <w:multiLevelType w:val="hybridMultilevel"/>
    <w:tmpl w:val="1A80EA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72477"/>
    <w:multiLevelType w:val="hybridMultilevel"/>
    <w:tmpl w:val="5A2E1278"/>
    <w:lvl w:ilvl="0" w:tplc="87622768">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0F0C78F1"/>
    <w:multiLevelType w:val="singleLevel"/>
    <w:tmpl w:val="1E5632A0"/>
    <w:lvl w:ilvl="0">
      <w:start w:val="2"/>
      <w:numFmt w:val="lowerLetter"/>
      <w:lvlText w:val="(%1)"/>
      <w:lvlJc w:val="left"/>
      <w:pPr>
        <w:tabs>
          <w:tab w:val="num" w:pos="469"/>
        </w:tabs>
        <w:ind w:left="469" w:hanging="435"/>
      </w:pPr>
      <w:rPr>
        <w:rFonts w:hint="default"/>
      </w:rPr>
    </w:lvl>
  </w:abstractNum>
  <w:abstractNum w:abstractNumId="8" w15:restartNumberingAfterBreak="0">
    <w:nsid w:val="1AA4448E"/>
    <w:multiLevelType w:val="hybridMultilevel"/>
    <w:tmpl w:val="5B1CA8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306E16"/>
    <w:multiLevelType w:val="hybridMultilevel"/>
    <w:tmpl w:val="CB2864A8"/>
    <w:lvl w:ilvl="0" w:tplc="F34AE3B8">
      <w:start w:val="1"/>
      <w:numFmt w:val="lowerLetter"/>
      <w:lvlText w:val="(%1)"/>
      <w:lvlJc w:val="left"/>
      <w:pPr>
        <w:ind w:left="816" w:hanging="45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DF156C"/>
    <w:multiLevelType w:val="hybridMultilevel"/>
    <w:tmpl w:val="FA4AAC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2" w15:restartNumberingAfterBreak="0">
    <w:nsid w:val="293C1D66"/>
    <w:multiLevelType w:val="hybridMultilevel"/>
    <w:tmpl w:val="1CA096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E17D7D"/>
    <w:multiLevelType w:val="hybridMultilevel"/>
    <w:tmpl w:val="D3BEA0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2D7AF8"/>
    <w:multiLevelType w:val="hybridMultilevel"/>
    <w:tmpl w:val="98F454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C630EB"/>
    <w:multiLevelType w:val="hybridMultilevel"/>
    <w:tmpl w:val="5A643200"/>
    <w:lvl w:ilvl="0" w:tplc="E14A8A68">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6"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8"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9"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134900"/>
    <w:multiLevelType w:val="singleLevel"/>
    <w:tmpl w:val="7D3C0B8A"/>
    <w:lvl w:ilvl="0">
      <w:start w:val="2"/>
      <w:numFmt w:val="lowerLetter"/>
      <w:lvlText w:val="(%1)"/>
      <w:lvlJc w:val="left"/>
      <w:pPr>
        <w:tabs>
          <w:tab w:val="num" w:pos="465"/>
        </w:tabs>
        <w:ind w:left="465" w:hanging="465"/>
      </w:pPr>
      <w:rPr>
        <w:rFonts w:hint="default"/>
      </w:rPr>
    </w:lvl>
  </w:abstractNum>
  <w:abstractNum w:abstractNumId="21" w15:restartNumberingAfterBreak="0">
    <w:nsid w:val="45D36D1D"/>
    <w:multiLevelType w:val="hybridMultilevel"/>
    <w:tmpl w:val="A1EEBCF6"/>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15:restartNumberingAfterBreak="0">
    <w:nsid w:val="560C58BA"/>
    <w:multiLevelType w:val="singleLevel"/>
    <w:tmpl w:val="4326801A"/>
    <w:lvl w:ilvl="0">
      <w:start w:val="2"/>
      <w:numFmt w:val="lowerLetter"/>
      <w:lvlText w:val="(%1)"/>
      <w:lvlJc w:val="left"/>
      <w:pPr>
        <w:tabs>
          <w:tab w:val="num" w:pos="465"/>
        </w:tabs>
        <w:ind w:left="465" w:hanging="465"/>
      </w:pPr>
      <w:rPr>
        <w:rFonts w:hint="default"/>
      </w:rPr>
    </w:lvl>
  </w:abstractNum>
  <w:abstractNum w:abstractNumId="23" w15:restartNumberingAfterBreak="0">
    <w:nsid w:val="5DB1252E"/>
    <w:multiLevelType w:val="singleLevel"/>
    <w:tmpl w:val="3EC21142"/>
    <w:lvl w:ilvl="0">
      <w:start w:val="1"/>
      <w:numFmt w:val="lowerLetter"/>
      <w:lvlText w:val="(%1)"/>
      <w:lvlJc w:val="left"/>
      <w:pPr>
        <w:tabs>
          <w:tab w:val="num" w:pos="360"/>
        </w:tabs>
        <w:ind w:left="360" w:hanging="360"/>
      </w:pPr>
      <w:rPr>
        <w:b w:val="0"/>
      </w:rPr>
    </w:lvl>
  </w:abstractNum>
  <w:abstractNum w:abstractNumId="24" w15:restartNumberingAfterBreak="0">
    <w:nsid w:val="60A74291"/>
    <w:multiLevelType w:val="singleLevel"/>
    <w:tmpl w:val="1402EC9E"/>
    <w:lvl w:ilvl="0">
      <w:start w:val="1"/>
      <w:numFmt w:val="lowerLetter"/>
      <w:lvlText w:val="(%1)"/>
      <w:lvlJc w:val="left"/>
      <w:pPr>
        <w:tabs>
          <w:tab w:val="num" w:pos="465"/>
        </w:tabs>
        <w:ind w:left="465" w:hanging="465"/>
      </w:pPr>
      <w:rPr>
        <w:rFonts w:hint="default"/>
      </w:rPr>
    </w:lvl>
  </w:abstractNum>
  <w:abstractNum w:abstractNumId="25"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6"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C027A1"/>
    <w:multiLevelType w:val="hybridMultilevel"/>
    <w:tmpl w:val="FF3EA8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6E2DE6"/>
    <w:multiLevelType w:val="hybridMultilevel"/>
    <w:tmpl w:val="51DCD25C"/>
    <w:lvl w:ilvl="0" w:tplc="0C3EF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DE586C"/>
    <w:multiLevelType w:val="hybridMultilevel"/>
    <w:tmpl w:val="62AE15A2"/>
    <w:lvl w:ilvl="0" w:tplc="50EE110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E94F89"/>
    <w:multiLevelType w:val="singleLevel"/>
    <w:tmpl w:val="0C090019"/>
    <w:lvl w:ilvl="0">
      <w:start w:val="1"/>
      <w:numFmt w:val="lowerLetter"/>
      <w:lvlText w:val="(%1)"/>
      <w:lvlJc w:val="left"/>
      <w:pPr>
        <w:tabs>
          <w:tab w:val="num" w:pos="360"/>
        </w:tabs>
        <w:ind w:left="360" w:hanging="360"/>
      </w:pPr>
    </w:lvl>
  </w:abstractNum>
  <w:abstractNum w:abstractNumId="31" w15:restartNumberingAfterBreak="0">
    <w:nsid w:val="76A03552"/>
    <w:multiLevelType w:val="singleLevel"/>
    <w:tmpl w:val="7E16A430"/>
    <w:lvl w:ilvl="0">
      <w:start w:val="2"/>
      <w:numFmt w:val="lowerLetter"/>
      <w:lvlText w:val="(%1)"/>
      <w:lvlJc w:val="left"/>
      <w:pPr>
        <w:tabs>
          <w:tab w:val="num" w:pos="465"/>
        </w:tabs>
        <w:ind w:left="465" w:hanging="465"/>
      </w:pPr>
      <w:rPr>
        <w:rFonts w:hint="default"/>
      </w:rPr>
    </w:lvl>
  </w:abstractNum>
  <w:abstractNum w:abstractNumId="32" w15:restartNumberingAfterBreak="0">
    <w:nsid w:val="783B3AF2"/>
    <w:multiLevelType w:val="hybridMultilevel"/>
    <w:tmpl w:val="44827E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4" w15:restartNumberingAfterBreak="0">
    <w:nsid w:val="7C5E6FC9"/>
    <w:multiLevelType w:val="hybridMultilevel"/>
    <w:tmpl w:val="950097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9"/>
  </w:num>
  <w:num w:numId="3">
    <w:abstractNumId w:val="25"/>
  </w:num>
  <w:num w:numId="4">
    <w:abstractNumId w:val="18"/>
  </w:num>
  <w:num w:numId="5">
    <w:abstractNumId w:val="11"/>
  </w:num>
  <w:num w:numId="6">
    <w:abstractNumId w:val="16"/>
  </w:num>
  <w:num w:numId="7">
    <w:abstractNumId w:val="17"/>
  </w:num>
  <w:num w:numId="8">
    <w:abstractNumId w:val="33"/>
  </w:num>
  <w:num w:numId="9">
    <w:abstractNumId w:val="20"/>
  </w:num>
  <w:num w:numId="10">
    <w:abstractNumId w:val="24"/>
  </w:num>
  <w:num w:numId="11">
    <w:abstractNumId w:val="31"/>
  </w:num>
  <w:num w:numId="12">
    <w:abstractNumId w:val="7"/>
  </w:num>
  <w:num w:numId="13">
    <w:abstractNumId w:val="22"/>
  </w:num>
  <w:num w:numId="14">
    <w:abstractNumId w:val="30"/>
  </w:num>
  <w:num w:numId="15">
    <w:abstractNumId w:val="23"/>
  </w:num>
  <w:num w:numId="16">
    <w:abstractNumId w:val="34"/>
  </w:num>
  <w:num w:numId="17">
    <w:abstractNumId w:val="13"/>
  </w:num>
  <w:num w:numId="18">
    <w:abstractNumId w:val="32"/>
  </w:num>
  <w:num w:numId="19">
    <w:abstractNumId w:val="10"/>
  </w:num>
  <w:num w:numId="20">
    <w:abstractNumId w:val="12"/>
  </w:num>
  <w:num w:numId="21">
    <w:abstractNumId w:val="14"/>
  </w:num>
  <w:num w:numId="22">
    <w:abstractNumId w:val="8"/>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num>
  <w:num w:numId="27">
    <w:abstractNumId w:val="9"/>
  </w:num>
  <w:num w:numId="28">
    <w:abstractNumId w:val="5"/>
  </w:num>
  <w:num w:numId="29">
    <w:abstractNumId w:val="2"/>
  </w:num>
  <w:num w:numId="30">
    <w:abstractNumId w:val="1"/>
  </w:num>
  <w:num w:numId="31">
    <w:abstractNumId w:val="27"/>
  </w:num>
  <w:num w:numId="32">
    <w:abstractNumId w:val="29"/>
  </w:num>
  <w:num w:numId="33">
    <w:abstractNumId w:val="3"/>
  </w:num>
  <w:num w:numId="34">
    <w:abstractNumId w:val="28"/>
  </w:num>
  <w:num w:numId="35">
    <w:abstractNumId w:val="15"/>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06F1"/>
    <w:rsid w:val="000008AB"/>
    <w:rsid w:val="00002297"/>
    <w:rsid w:val="00003153"/>
    <w:rsid w:val="00003A04"/>
    <w:rsid w:val="000041CD"/>
    <w:rsid w:val="000044D1"/>
    <w:rsid w:val="00006F10"/>
    <w:rsid w:val="00011403"/>
    <w:rsid w:val="0001270B"/>
    <w:rsid w:val="000137C6"/>
    <w:rsid w:val="00013F59"/>
    <w:rsid w:val="00015EC4"/>
    <w:rsid w:val="0001621D"/>
    <w:rsid w:val="00017BDF"/>
    <w:rsid w:val="000209AF"/>
    <w:rsid w:val="00021303"/>
    <w:rsid w:val="0002152D"/>
    <w:rsid w:val="00022ACE"/>
    <w:rsid w:val="00023B5E"/>
    <w:rsid w:val="000243DB"/>
    <w:rsid w:val="00024F77"/>
    <w:rsid w:val="00025589"/>
    <w:rsid w:val="00026E9F"/>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360"/>
    <w:rsid w:val="0005482B"/>
    <w:rsid w:val="00054A6A"/>
    <w:rsid w:val="000551CF"/>
    <w:rsid w:val="00057F46"/>
    <w:rsid w:val="00063341"/>
    <w:rsid w:val="00063A91"/>
    <w:rsid w:val="0006458F"/>
    <w:rsid w:val="00064BE3"/>
    <w:rsid w:val="00065CB0"/>
    <w:rsid w:val="00070FD9"/>
    <w:rsid w:val="00071DC1"/>
    <w:rsid w:val="0007569F"/>
    <w:rsid w:val="0007632A"/>
    <w:rsid w:val="00076A7C"/>
    <w:rsid w:val="000771F2"/>
    <w:rsid w:val="000773E4"/>
    <w:rsid w:val="000836B6"/>
    <w:rsid w:val="00083F3A"/>
    <w:rsid w:val="000842EE"/>
    <w:rsid w:val="00085FE8"/>
    <w:rsid w:val="00087800"/>
    <w:rsid w:val="00090395"/>
    <w:rsid w:val="000927F1"/>
    <w:rsid w:val="00093FFD"/>
    <w:rsid w:val="0009408C"/>
    <w:rsid w:val="0009533D"/>
    <w:rsid w:val="00096DCC"/>
    <w:rsid w:val="000A052A"/>
    <w:rsid w:val="000A0FE0"/>
    <w:rsid w:val="000A1466"/>
    <w:rsid w:val="000A335F"/>
    <w:rsid w:val="000A3CF6"/>
    <w:rsid w:val="000A4982"/>
    <w:rsid w:val="000A4CD5"/>
    <w:rsid w:val="000A507C"/>
    <w:rsid w:val="000A5954"/>
    <w:rsid w:val="000A6058"/>
    <w:rsid w:val="000B2ACA"/>
    <w:rsid w:val="000B2F6A"/>
    <w:rsid w:val="000B38D5"/>
    <w:rsid w:val="000B3A9F"/>
    <w:rsid w:val="000B4836"/>
    <w:rsid w:val="000C0DB6"/>
    <w:rsid w:val="000C1E94"/>
    <w:rsid w:val="000C7C49"/>
    <w:rsid w:val="000D1935"/>
    <w:rsid w:val="000D1BB9"/>
    <w:rsid w:val="000D5F62"/>
    <w:rsid w:val="000E2E01"/>
    <w:rsid w:val="000E362A"/>
    <w:rsid w:val="000E3EFD"/>
    <w:rsid w:val="000E5374"/>
    <w:rsid w:val="000E6BFC"/>
    <w:rsid w:val="000E71C3"/>
    <w:rsid w:val="000E7433"/>
    <w:rsid w:val="000F0B75"/>
    <w:rsid w:val="000F13BD"/>
    <w:rsid w:val="000F2551"/>
    <w:rsid w:val="000F2A84"/>
    <w:rsid w:val="000F523C"/>
    <w:rsid w:val="000F6DE7"/>
    <w:rsid w:val="00100AF8"/>
    <w:rsid w:val="00101291"/>
    <w:rsid w:val="00103FC6"/>
    <w:rsid w:val="0010434F"/>
    <w:rsid w:val="00105E93"/>
    <w:rsid w:val="00106C02"/>
    <w:rsid w:val="001077EE"/>
    <w:rsid w:val="001136C2"/>
    <w:rsid w:val="00113FDA"/>
    <w:rsid w:val="00114B84"/>
    <w:rsid w:val="001167A3"/>
    <w:rsid w:val="0012026E"/>
    <w:rsid w:val="00123755"/>
    <w:rsid w:val="00125D75"/>
    <w:rsid w:val="00126FC2"/>
    <w:rsid w:val="00130DFF"/>
    <w:rsid w:val="00132CA0"/>
    <w:rsid w:val="00135118"/>
    <w:rsid w:val="00135139"/>
    <w:rsid w:val="00135C9E"/>
    <w:rsid w:val="001361FD"/>
    <w:rsid w:val="001362CE"/>
    <w:rsid w:val="001400FE"/>
    <w:rsid w:val="00140835"/>
    <w:rsid w:val="00143E2E"/>
    <w:rsid w:val="00146D1A"/>
    <w:rsid w:val="00147C24"/>
    <w:rsid w:val="00150AAC"/>
    <w:rsid w:val="001519A1"/>
    <w:rsid w:val="001536F9"/>
    <w:rsid w:val="001553F8"/>
    <w:rsid w:val="001576EC"/>
    <w:rsid w:val="00157B4C"/>
    <w:rsid w:val="00161760"/>
    <w:rsid w:val="00163FCE"/>
    <w:rsid w:val="001640E9"/>
    <w:rsid w:val="00164F43"/>
    <w:rsid w:val="00165E3C"/>
    <w:rsid w:val="00170D55"/>
    <w:rsid w:val="00172A47"/>
    <w:rsid w:val="00173220"/>
    <w:rsid w:val="00173B15"/>
    <w:rsid w:val="00175B2D"/>
    <w:rsid w:val="0017611D"/>
    <w:rsid w:val="00177DE8"/>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2B5D"/>
    <w:rsid w:val="001C4F91"/>
    <w:rsid w:val="001C57BF"/>
    <w:rsid w:val="001C7319"/>
    <w:rsid w:val="001C7A8D"/>
    <w:rsid w:val="001C7F3A"/>
    <w:rsid w:val="001D025E"/>
    <w:rsid w:val="001D236D"/>
    <w:rsid w:val="001D441D"/>
    <w:rsid w:val="001D5995"/>
    <w:rsid w:val="001E028C"/>
    <w:rsid w:val="001E071E"/>
    <w:rsid w:val="001E076D"/>
    <w:rsid w:val="001E0D47"/>
    <w:rsid w:val="001E2EEC"/>
    <w:rsid w:val="001E4990"/>
    <w:rsid w:val="001E6E7C"/>
    <w:rsid w:val="001E79BD"/>
    <w:rsid w:val="001F4EBA"/>
    <w:rsid w:val="001F691D"/>
    <w:rsid w:val="00200AB1"/>
    <w:rsid w:val="00201844"/>
    <w:rsid w:val="00203EF3"/>
    <w:rsid w:val="0020465D"/>
    <w:rsid w:val="00207AAC"/>
    <w:rsid w:val="002102DC"/>
    <w:rsid w:val="0021057D"/>
    <w:rsid w:val="0021142B"/>
    <w:rsid w:val="002129ED"/>
    <w:rsid w:val="00214072"/>
    <w:rsid w:val="00214599"/>
    <w:rsid w:val="00216939"/>
    <w:rsid w:val="0021784A"/>
    <w:rsid w:val="002210B4"/>
    <w:rsid w:val="002210C9"/>
    <w:rsid w:val="00221151"/>
    <w:rsid w:val="0022612D"/>
    <w:rsid w:val="00227CC3"/>
    <w:rsid w:val="002305E1"/>
    <w:rsid w:val="00230E38"/>
    <w:rsid w:val="002312A3"/>
    <w:rsid w:val="00232C4B"/>
    <w:rsid w:val="00233AAB"/>
    <w:rsid w:val="002359AF"/>
    <w:rsid w:val="00236479"/>
    <w:rsid w:val="00237049"/>
    <w:rsid w:val="00237A18"/>
    <w:rsid w:val="0024052C"/>
    <w:rsid w:val="00240FCF"/>
    <w:rsid w:val="00241A73"/>
    <w:rsid w:val="0024232D"/>
    <w:rsid w:val="002438B0"/>
    <w:rsid w:val="00246A76"/>
    <w:rsid w:val="00250133"/>
    <w:rsid w:val="00250A21"/>
    <w:rsid w:val="00253CCD"/>
    <w:rsid w:val="00255853"/>
    <w:rsid w:val="00257B5B"/>
    <w:rsid w:val="00262753"/>
    <w:rsid w:val="002636CF"/>
    <w:rsid w:val="00264422"/>
    <w:rsid w:val="002648E0"/>
    <w:rsid w:val="00265E64"/>
    <w:rsid w:val="002715D8"/>
    <w:rsid w:val="00272C3D"/>
    <w:rsid w:val="00273334"/>
    <w:rsid w:val="00275E14"/>
    <w:rsid w:val="0027677A"/>
    <w:rsid w:val="00281C3B"/>
    <w:rsid w:val="00282700"/>
    <w:rsid w:val="002830FA"/>
    <w:rsid w:val="00283C5B"/>
    <w:rsid w:val="00284332"/>
    <w:rsid w:val="002855DD"/>
    <w:rsid w:val="00286926"/>
    <w:rsid w:val="00291BA5"/>
    <w:rsid w:val="00295F24"/>
    <w:rsid w:val="00296C5D"/>
    <w:rsid w:val="002A3CE6"/>
    <w:rsid w:val="002A441F"/>
    <w:rsid w:val="002A510A"/>
    <w:rsid w:val="002A67DA"/>
    <w:rsid w:val="002B06BD"/>
    <w:rsid w:val="002B2055"/>
    <w:rsid w:val="002B405A"/>
    <w:rsid w:val="002B6931"/>
    <w:rsid w:val="002C11E6"/>
    <w:rsid w:val="002C2402"/>
    <w:rsid w:val="002C2831"/>
    <w:rsid w:val="002C2BA9"/>
    <w:rsid w:val="002C486F"/>
    <w:rsid w:val="002C49DD"/>
    <w:rsid w:val="002C4F83"/>
    <w:rsid w:val="002C5606"/>
    <w:rsid w:val="002D2F80"/>
    <w:rsid w:val="002D4698"/>
    <w:rsid w:val="002D597D"/>
    <w:rsid w:val="002D7485"/>
    <w:rsid w:val="002E158D"/>
    <w:rsid w:val="002E256D"/>
    <w:rsid w:val="002E5004"/>
    <w:rsid w:val="002E5ADE"/>
    <w:rsid w:val="002E67DC"/>
    <w:rsid w:val="002F2F82"/>
    <w:rsid w:val="002F7645"/>
    <w:rsid w:val="002F7E37"/>
    <w:rsid w:val="0030026D"/>
    <w:rsid w:val="003008ED"/>
    <w:rsid w:val="0030119D"/>
    <w:rsid w:val="00302EC4"/>
    <w:rsid w:val="0030592F"/>
    <w:rsid w:val="0030696D"/>
    <w:rsid w:val="003070FE"/>
    <w:rsid w:val="00307A1F"/>
    <w:rsid w:val="00310AAE"/>
    <w:rsid w:val="00310E86"/>
    <w:rsid w:val="00311B9F"/>
    <w:rsid w:val="003125EB"/>
    <w:rsid w:val="00312CB3"/>
    <w:rsid w:val="00312FA9"/>
    <w:rsid w:val="003130C4"/>
    <w:rsid w:val="00314816"/>
    <w:rsid w:val="0031693F"/>
    <w:rsid w:val="00317027"/>
    <w:rsid w:val="003176A9"/>
    <w:rsid w:val="003209BA"/>
    <w:rsid w:val="00320F0A"/>
    <w:rsid w:val="0032141F"/>
    <w:rsid w:val="00323586"/>
    <w:rsid w:val="00323F4B"/>
    <w:rsid w:val="00324C51"/>
    <w:rsid w:val="003250BE"/>
    <w:rsid w:val="00326773"/>
    <w:rsid w:val="00330769"/>
    <w:rsid w:val="0033251A"/>
    <w:rsid w:val="0033275A"/>
    <w:rsid w:val="003332AD"/>
    <w:rsid w:val="003338F5"/>
    <w:rsid w:val="00333D9F"/>
    <w:rsid w:val="003340BD"/>
    <w:rsid w:val="0033549B"/>
    <w:rsid w:val="00336BA4"/>
    <w:rsid w:val="00337B34"/>
    <w:rsid w:val="003406A1"/>
    <w:rsid w:val="00341601"/>
    <w:rsid w:val="00342385"/>
    <w:rsid w:val="00344653"/>
    <w:rsid w:val="00344E0B"/>
    <w:rsid w:val="00347ADD"/>
    <w:rsid w:val="003536E4"/>
    <w:rsid w:val="00355BCE"/>
    <w:rsid w:val="0035606A"/>
    <w:rsid w:val="003575ED"/>
    <w:rsid w:val="003577A9"/>
    <w:rsid w:val="003603F7"/>
    <w:rsid w:val="00362883"/>
    <w:rsid w:val="00363D77"/>
    <w:rsid w:val="003649FB"/>
    <w:rsid w:val="003661B3"/>
    <w:rsid w:val="00370120"/>
    <w:rsid w:val="003724ED"/>
    <w:rsid w:val="00372F49"/>
    <w:rsid w:val="00374E36"/>
    <w:rsid w:val="0037616F"/>
    <w:rsid w:val="003811BE"/>
    <w:rsid w:val="00381C89"/>
    <w:rsid w:val="00382008"/>
    <w:rsid w:val="00382212"/>
    <w:rsid w:val="00382411"/>
    <w:rsid w:val="0038325C"/>
    <w:rsid w:val="00383ECF"/>
    <w:rsid w:val="00384110"/>
    <w:rsid w:val="00384C96"/>
    <w:rsid w:val="003851A1"/>
    <w:rsid w:val="00392814"/>
    <w:rsid w:val="00393241"/>
    <w:rsid w:val="00393F63"/>
    <w:rsid w:val="00395152"/>
    <w:rsid w:val="003A217B"/>
    <w:rsid w:val="003A2F10"/>
    <w:rsid w:val="003A35BC"/>
    <w:rsid w:val="003A6BF2"/>
    <w:rsid w:val="003A6EB5"/>
    <w:rsid w:val="003A70B8"/>
    <w:rsid w:val="003B15F5"/>
    <w:rsid w:val="003B15FC"/>
    <w:rsid w:val="003B2D67"/>
    <w:rsid w:val="003B59B7"/>
    <w:rsid w:val="003B7115"/>
    <w:rsid w:val="003C28B9"/>
    <w:rsid w:val="003C2D16"/>
    <w:rsid w:val="003C3AE8"/>
    <w:rsid w:val="003C4B0B"/>
    <w:rsid w:val="003C4EC6"/>
    <w:rsid w:val="003C5705"/>
    <w:rsid w:val="003C5C68"/>
    <w:rsid w:val="003C6397"/>
    <w:rsid w:val="003C65EC"/>
    <w:rsid w:val="003C6DD8"/>
    <w:rsid w:val="003D05D5"/>
    <w:rsid w:val="003D0D5C"/>
    <w:rsid w:val="003D110D"/>
    <w:rsid w:val="003D2062"/>
    <w:rsid w:val="003D418E"/>
    <w:rsid w:val="003D7578"/>
    <w:rsid w:val="003D787E"/>
    <w:rsid w:val="003D7FCE"/>
    <w:rsid w:val="003E0C3C"/>
    <w:rsid w:val="003E1701"/>
    <w:rsid w:val="003E277C"/>
    <w:rsid w:val="003E4AEA"/>
    <w:rsid w:val="003E5299"/>
    <w:rsid w:val="003E5F53"/>
    <w:rsid w:val="003E63A7"/>
    <w:rsid w:val="003F2C7D"/>
    <w:rsid w:val="003F3EE8"/>
    <w:rsid w:val="003F403B"/>
    <w:rsid w:val="003F6841"/>
    <w:rsid w:val="003F78D5"/>
    <w:rsid w:val="003F7B2D"/>
    <w:rsid w:val="003F7DE2"/>
    <w:rsid w:val="00401940"/>
    <w:rsid w:val="00404A5D"/>
    <w:rsid w:val="00404C98"/>
    <w:rsid w:val="00407EA4"/>
    <w:rsid w:val="004111A2"/>
    <w:rsid w:val="004116D2"/>
    <w:rsid w:val="00411B23"/>
    <w:rsid w:val="0041548D"/>
    <w:rsid w:val="0041591E"/>
    <w:rsid w:val="00417B9A"/>
    <w:rsid w:val="00420959"/>
    <w:rsid w:val="00420AEC"/>
    <w:rsid w:val="004210FE"/>
    <w:rsid w:val="00421101"/>
    <w:rsid w:val="00422E48"/>
    <w:rsid w:val="004235A5"/>
    <w:rsid w:val="00423A9F"/>
    <w:rsid w:val="00424611"/>
    <w:rsid w:val="00427AE3"/>
    <w:rsid w:val="00431F04"/>
    <w:rsid w:val="00432413"/>
    <w:rsid w:val="0043394C"/>
    <w:rsid w:val="00434F24"/>
    <w:rsid w:val="00435459"/>
    <w:rsid w:val="004363E2"/>
    <w:rsid w:val="00436C17"/>
    <w:rsid w:val="004406BF"/>
    <w:rsid w:val="00440A2D"/>
    <w:rsid w:val="00441119"/>
    <w:rsid w:val="00441777"/>
    <w:rsid w:val="00441F51"/>
    <w:rsid w:val="00442EB0"/>
    <w:rsid w:val="004448F4"/>
    <w:rsid w:val="004459E1"/>
    <w:rsid w:val="00445AAB"/>
    <w:rsid w:val="00446DEE"/>
    <w:rsid w:val="0045196E"/>
    <w:rsid w:val="00451A2D"/>
    <w:rsid w:val="00451D8B"/>
    <w:rsid w:val="004534AB"/>
    <w:rsid w:val="00454E20"/>
    <w:rsid w:val="00455A33"/>
    <w:rsid w:val="00455D3B"/>
    <w:rsid w:val="004561D5"/>
    <w:rsid w:val="00460668"/>
    <w:rsid w:val="00460CA0"/>
    <w:rsid w:val="00461C70"/>
    <w:rsid w:val="00462107"/>
    <w:rsid w:val="004643D9"/>
    <w:rsid w:val="004702EC"/>
    <w:rsid w:val="0047153B"/>
    <w:rsid w:val="00474CC6"/>
    <w:rsid w:val="004769F4"/>
    <w:rsid w:val="00477E7E"/>
    <w:rsid w:val="00477FFD"/>
    <w:rsid w:val="00481DDA"/>
    <w:rsid w:val="00482E23"/>
    <w:rsid w:val="00482EB5"/>
    <w:rsid w:val="00482FD7"/>
    <w:rsid w:val="0048308A"/>
    <w:rsid w:val="004834EA"/>
    <w:rsid w:val="004851CE"/>
    <w:rsid w:val="00486509"/>
    <w:rsid w:val="004868B8"/>
    <w:rsid w:val="0048764A"/>
    <w:rsid w:val="00491066"/>
    <w:rsid w:val="00493F4D"/>
    <w:rsid w:val="00494B38"/>
    <w:rsid w:val="004952A9"/>
    <w:rsid w:val="00496FBB"/>
    <w:rsid w:val="004973B2"/>
    <w:rsid w:val="004A21A8"/>
    <w:rsid w:val="004B000C"/>
    <w:rsid w:val="004B001E"/>
    <w:rsid w:val="004B0C47"/>
    <w:rsid w:val="004B0F67"/>
    <w:rsid w:val="004B2380"/>
    <w:rsid w:val="004B2A8B"/>
    <w:rsid w:val="004B46D6"/>
    <w:rsid w:val="004B63D3"/>
    <w:rsid w:val="004C25B7"/>
    <w:rsid w:val="004C2665"/>
    <w:rsid w:val="004C2E0C"/>
    <w:rsid w:val="004C37A3"/>
    <w:rsid w:val="004C43D6"/>
    <w:rsid w:val="004C449B"/>
    <w:rsid w:val="004C459B"/>
    <w:rsid w:val="004C5031"/>
    <w:rsid w:val="004C520C"/>
    <w:rsid w:val="004D223F"/>
    <w:rsid w:val="004D51E4"/>
    <w:rsid w:val="004D5DE0"/>
    <w:rsid w:val="004D5F96"/>
    <w:rsid w:val="004D6CC7"/>
    <w:rsid w:val="004E1709"/>
    <w:rsid w:val="004E1878"/>
    <w:rsid w:val="004E2AEA"/>
    <w:rsid w:val="004E3EE3"/>
    <w:rsid w:val="004E4342"/>
    <w:rsid w:val="004E658F"/>
    <w:rsid w:val="004E7B04"/>
    <w:rsid w:val="004F0F38"/>
    <w:rsid w:val="004F1785"/>
    <w:rsid w:val="004F1B26"/>
    <w:rsid w:val="004F361F"/>
    <w:rsid w:val="004F38F0"/>
    <w:rsid w:val="00500A9C"/>
    <w:rsid w:val="0050155E"/>
    <w:rsid w:val="0050204C"/>
    <w:rsid w:val="0050405B"/>
    <w:rsid w:val="005049A5"/>
    <w:rsid w:val="005056AB"/>
    <w:rsid w:val="00506222"/>
    <w:rsid w:val="00507DC6"/>
    <w:rsid w:val="00513651"/>
    <w:rsid w:val="0051404F"/>
    <w:rsid w:val="00514951"/>
    <w:rsid w:val="00514B3E"/>
    <w:rsid w:val="0051534B"/>
    <w:rsid w:val="00515A51"/>
    <w:rsid w:val="00517457"/>
    <w:rsid w:val="00520B9B"/>
    <w:rsid w:val="005215A6"/>
    <w:rsid w:val="00525103"/>
    <w:rsid w:val="00525F5B"/>
    <w:rsid w:val="00531E78"/>
    <w:rsid w:val="00532635"/>
    <w:rsid w:val="0053380C"/>
    <w:rsid w:val="00533DA3"/>
    <w:rsid w:val="00534735"/>
    <w:rsid w:val="00537DA8"/>
    <w:rsid w:val="005417C0"/>
    <w:rsid w:val="00541FB8"/>
    <w:rsid w:val="0054216C"/>
    <w:rsid w:val="00542507"/>
    <w:rsid w:val="005430C6"/>
    <w:rsid w:val="00545856"/>
    <w:rsid w:val="00545C14"/>
    <w:rsid w:val="005460DC"/>
    <w:rsid w:val="00546BE4"/>
    <w:rsid w:val="00551824"/>
    <w:rsid w:val="00552B80"/>
    <w:rsid w:val="005543A5"/>
    <w:rsid w:val="00555D8C"/>
    <w:rsid w:val="00555FF6"/>
    <w:rsid w:val="005601D9"/>
    <w:rsid w:val="00561294"/>
    <w:rsid w:val="00566C2D"/>
    <w:rsid w:val="0056747D"/>
    <w:rsid w:val="005676EA"/>
    <w:rsid w:val="00570257"/>
    <w:rsid w:val="00570FBA"/>
    <w:rsid w:val="00572679"/>
    <w:rsid w:val="0057338D"/>
    <w:rsid w:val="005733D2"/>
    <w:rsid w:val="00575345"/>
    <w:rsid w:val="0057728C"/>
    <w:rsid w:val="005805CD"/>
    <w:rsid w:val="005851BB"/>
    <w:rsid w:val="0059042D"/>
    <w:rsid w:val="0059142B"/>
    <w:rsid w:val="00591528"/>
    <w:rsid w:val="005933C6"/>
    <w:rsid w:val="00593700"/>
    <w:rsid w:val="00595A9D"/>
    <w:rsid w:val="005974B5"/>
    <w:rsid w:val="005A0EAD"/>
    <w:rsid w:val="005A3102"/>
    <w:rsid w:val="005A4426"/>
    <w:rsid w:val="005A6302"/>
    <w:rsid w:val="005B0F8C"/>
    <w:rsid w:val="005B18FE"/>
    <w:rsid w:val="005B29FB"/>
    <w:rsid w:val="005B4C84"/>
    <w:rsid w:val="005B6454"/>
    <w:rsid w:val="005C1048"/>
    <w:rsid w:val="005C2BD4"/>
    <w:rsid w:val="005C65FE"/>
    <w:rsid w:val="005C7869"/>
    <w:rsid w:val="005C7A86"/>
    <w:rsid w:val="005D057A"/>
    <w:rsid w:val="005D0864"/>
    <w:rsid w:val="005D1754"/>
    <w:rsid w:val="005D490D"/>
    <w:rsid w:val="005D53A1"/>
    <w:rsid w:val="005D72D1"/>
    <w:rsid w:val="005D7607"/>
    <w:rsid w:val="005E1088"/>
    <w:rsid w:val="005E1791"/>
    <w:rsid w:val="005E3A03"/>
    <w:rsid w:val="005E4B1F"/>
    <w:rsid w:val="005E6A50"/>
    <w:rsid w:val="005E73D0"/>
    <w:rsid w:val="005E78A0"/>
    <w:rsid w:val="005F06AE"/>
    <w:rsid w:val="005F0A4D"/>
    <w:rsid w:val="005F0AAF"/>
    <w:rsid w:val="005F1CFF"/>
    <w:rsid w:val="005F2099"/>
    <w:rsid w:val="005F2564"/>
    <w:rsid w:val="005F3F7D"/>
    <w:rsid w:val="005F41C4"/>
    <w:rsid w:val="005F7BB9"/>
    <w:rsid w:val="005F7F88"/>
    <w:rsid w:val="006015F3"/>
    <w:rsid w:val="00605234"/>
    <w:rsid w:val="00605788"/>
    <w:rsid w:val="006066E6"/>
    <w:rsid w:val="0060792F"/>
    <w:rsid w:val="006127FB"/>
    <w:rsid w:val="006128DE"/>
    <w:rsid w:val="0061290C"/>
    <w:rsid w:val="0061342C"/>
    <w:rsid w:val="00613B3E"/>
    <w:rsid w:val="00613E26"/>
    <w:rsid w:val="006146A6"/>
    <w:rsid w:val="006147D4"/>
    <w:rsid w:val="006161D9"/>
    <w:rsid w:val="0061621E"/>
    <w:rsid w:val="00620FFF"/>
    <w:rsid w:val="00625602"/>
    <w:rsid w:val="0062642E"/>
    <w:rsid w:val="00630213"/>
    <w:rsid w:val="00630590"/>
    <w:rsid w:val="00630D18"/>
    <w:rsid w:val="00630F88"/>
    <w:rsid w:val="00631080"/>
    <w:rsid w:val="00634CBF"/>
    <w:rsid w:val="006362D9"/>
    <w:rsid w:val="006363D3"/>
    <w:rsid w:val="0063710B"/>
    <w:rsid w:val="0064187A"/>
    <w:rsid w:val="006423E1"/>
    <w:rsid w:val="00644B81"/>
    <w:rsid w:val="00645437"/>
    <w:rsid w:val="00646354"/>
    <w:rsid w:val="0064656E"/>
    <w:rsid w:val="00647F31"/>
    <w:rsid w:val="006518BB"/>
    <w:rsid w:val="00654289"/>
    <w:rsid w:val="006554E7"/>
    <w:rsid w:val="00655BC9"/>
    <w:rsid w:val="00656EEA"/>
    <w:rsid w:val="0065716F"/>
    <w:rsid w:val="00657AB8"/>
    <w:rsid w:val="00660434"/>
    <w:rsid w:val="00661ADD"/>
    <w:rsid w:val="00662D73"/>
    <w:rsid w:val="006659D3"/>
    <w:rsid w:val="00665CC1"/>
    <w:rsid w:val="00672DF7"/>
    <w:rsid w:val="00677C27"/>
    <w:rsid w:val="00685BD3"/>
    <w:rsid w:val="00687690"/>
    <w:rsid w:val="006878B3"/>
    <w:rsid w:val="006878E3"/>
    <w:rsid w:val="00687FCB"/>
    <w:rsid w:val="00690988"/>
    <w:rsid w:val="00692B46"/>
    <w:rsid w:val="00695C65"/>
    <w:rsid w:val="00695E43"/>
    <w:rsid w:val="006A0C26"/>
    <w:rsid w:val="006A1BD1"/>
    <w:rsid w:val="006A2134"/>
    <w:rsid w:val="006A52D1"/>
    <w:rsid w:val="006A55C8"/>
    <w:rsid w:val="006B0215"/>
    <w:rsid w:val="006B177B"/>
    <w:rsid w:val="006B1946"/>
    <w:rsid w:val="006B4FBE"/>
    <w:rsid w:val="006B5400"/>
    <w:rsid w:val="006B6321"/>
    <w:rsid w:val="006C14C8"/>
    <w:rsid w:val="006C25EA"/>
    <w:rsid w:val="006C2718"/>
    <w:rsid w:val="006C2B3D"/>
    <w:rsid w:val="006C517B"/>
    <w:rsid w:val="006C6CAA"/>
    <w:rsid w:val="006D2DC3"/>
    <w:rsid w:val="006D320E"/>
    <w:rsid w:val="006D5358"/>
    <w:rsid w:val="006D7D5C"/>
    <w:rsid w:val="006D7F2C"/>
    <w:rsid w:val="006E0CEB"/>
    <w:rsid w:val="006E162E"/>
    <w:rsid w:val="006E33A1"/>
    <w:rsid w:val="006E38C3"/>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311A"/>
    <w:rsid w:val="00714553"/>
    <w:rsid w:val="00714FAA"/>
    <w:rsid w:val="00714FDE"/>
    <w:rsid w:val="00714FF5"/>
    <w:rsid w:val="00722570"/>
    <w:rsid w:val="00723421"/>
    <w:rsid w:val="007239B5"/>
    <w:rsid w:val="007270B7"/>
    <w:rsid w:val="0073176A"/>
    <w:rsid w:val="007326FD"/>
    <w:rsid w:val="00733307"/>
    <w:rsid w:val="00734A09"/>
    <w:rsid w:val="00737EEA"/>
    <w:rsid w:val="007402E2"/>
    <w:rsid w:val="00740314"/>
    <w:rsid w:val="00741596"/>
    <w:rsid w:val="00741E23"/>
    <w:rsid w:val="0074282F"/>
    <w:rsid w:val="00746E63"/>
    <w:rsid w:val="0075259F"/>
    <w:rsid w:val="00753207"/>
    <w:rsid w:val="007532AE"/>
    <w:rsid w:val="00755678"/>
    <w:rsid w:val="00755A4E"/>
    <w:rsid w:val="00755B11"/>
    <w:rsid w:val="007572B1"/>
    <w:rsid w:val="00757A29"/>
    <w:rsid w:val="00757F3C"/>
    <w:rsid w:val="00761819"/>
    <w:rsid w:val="0076207B"/>
    <w:rsid w:val="00764ED4"/>
    <w:rsid w:val="007657BA"/>
    <w:rsid w:val="007665C5"/>
    <w:rsid w:val="007673EC"/>
    <w:rsid w:val="00773FE6"/>
    <w:rsid w:val="00775C43"/>
    <w:rsid w:val="007760DF"/>
    <w:rsid w:val="0077760F"/>
    <w:rsid w:val="00781223"/>
    <w:rsid w:val="00783246"/>
    <w:rsid w:val="007834DE"/>
    <w:rsid w:val="00784E6F"/>
    <w:rsid w:val="00785590"/>
    <w:rsid w:val="007868D2"/>
    <w:rsid w:val="00792F70"/>
    <w:rsid w:val="00796128"/>
    <w:rsid w:val="007A0475"/>
    <w:rsid w:val="007A18B8"/>
    <w:rsid w:val="007A1A08"/>
    <w:rsid w:val="007A45F2"/>
    <w:rsid w:val="007A7CDD"/>
    <w:rsid w:val="007B3D5F"/>
    <w:rsid w:val="007B4899"/>
    <w:rsid w:val="007B531E"/>
    <w:rsid w:val="007B55B7"/>
    <w:rsid w:val="007B58A6"/>
    <w:rsid w:val="007B5AE1"/>
    <w:rsid w:val="007C1854"/>
    <w:rsid w:val="007C2468"/>
    <w:rsid w:val="007C296A"/>
    <w:rsid w:val="007C3C16"/>
    <w:rsid w:val="007D0D60"/>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31A"/>
    <w:rsid w:val="00804F55"/>
    <w:rsid w:val="00804F76"/>
    <w:rsid w:val="00806C0C"/>
    <w:rsid w:val="00806F49"/>
    <w:rsid w:val="0080700A"/>
    <w:rsid w:val="00807ABB"/>
    <w:rsid w:val="008101B6"/>
    <w:rsid w:val="0081069D"/>
    <w:rsid w:val="00812E74"/>
    <w:rsid w:val="008167E4"/>
    <w:rsid w:val="0082007C"/>
    <w:rsid w:val="0082261D"/>
    <w:rsid w:val="0082359C"/>
    <w:rsid w:val="00823852"/>
    <w:rsid w:val="00823A62"/>
    <w:rsid w:val="00825290"/>
    <w:rsid w:val="00825F7F"/>
    <w:rsid w:val="00831AF3"/>
    <w:rsid w:val="008357E8"/>
    <w:rsid w:val="008379C6"/>
    <w:rsid w:val="008401EE"/>
    <w:rsid w:val="0084100D"/>
    <w:rsid w:val="00845931"/>
    <w:rsid w:val="00847591"/>
    <w:rsid w:val="00850480"/>
    <w:rsid w:val="008537DF"/>
    <w:rsid w:val="00853D97"/>
    <w:rsid w:val="00853EF9"/>
    <w:rsid w:val="008565BE"/>
    <w:rsid w:val="0085753A"/>
    <w:rsid w:val="0085757B"/>
    <w:rsid w:val="0086076C"/>
    <w:rsid w:val="00860BC2"/>
    <w:rsid w:val="00862A2D"/>
    <w:rsid w:val="00862B3D"/>
    <w:rsid w:val="0086750F"/>
    <w:rsid w:val="00867909"/>
    <w:rsid w:val="0087054C"/>
    <w:rsid w:val="00871621"/>
    <w:rsid w:val="0087178E"/>
    <w:rsid w:val="0087188C"/>
    <w:rsid w:val="0087200B"/>
    <w:rsid w:val="008731D3"/>
    <w:rsid w:val="00874553"/>
    <w:rsid w:val="008772FB"/>
    <w:rsid w:val="00877D0D"/>
    <w:rsid w:val="00877E63"/>
    <w:rsid w:val="0088375C"/>
    <w:rsid w:val="00884198"/>
    <w:rsid w:val="008845D8"/>
    <w:rsid w:val="008852C6"/>
    <w:rsid w:val="00886892"/>
    <w:rsid w:val="00892391"/>
    <w:rsid w:val="00896D07"/>
    <w:rsid w:val="00897165"/>
    <w:rsid w:val="00897461"/>
    <w:rsid w:val="00897D84"/>
    <w:rsid w:val="008A022B"/>
    <w:rsid w:val="008A0C3C"/>
    <w:rsid w:val="008A0C4C"/>
    <w:rsid w:val="008A203F"/>
    <w:rsid w:val="008A33EA"/>
    <w:rsid w:val="008A3A28"/>
    <w:rsid w:val="008A3B4D"/>
    <w:rsid w:val="008A6280"/>
    <w:rsid w:val="008A7F6C"/>
    <w:rsid w:val="008B1083"/>
    <w:rsid w:val="008B1A5F"/>
    <w:rsid w:val="008B2669"/>
    <w:rsid w:val="008B28E6"/>
    <w:rsid w:val="008B3688"/>
    <w:rsid w:val="008B4206"/>
    <w:rsid w:val="008B700B"/>
    <w:rsid w:val="008B71A8"/>
    <w:rsid w:val="008B7AB7"/>
    <w:rsid w:val="008C1C92"/>
    <w:rsid w:val="008C23BC"/>
    <w:rsid w:val="008C7EDE"/>
    <w:rsid w:val="008D2E0C"/>
    <w:rsid w:val="008D322A"/>
    <w:rsid w:val="008D398D"/>
    <w:rsid w:val="008D4A1D"/>
    <w:rsid w:val="008D7F60"/>
    <w:rsid w:val="008D7FF6"/>
    <w:rsid w:val="008E1E1B"/>
    <w:rsid w:val="008E20F0"/>
    <w:rsid w:val="008E21F6"/>
    <w:rsid w:val="008E2DCF"/>
    <w:rsid w:val="008E58A6"/>
    <w:rsid w:val="008E6145"/>
    <w:rsid w:val="008E7C49"/>
    <w:rsid w:val="008F03A0"/>
    <w:rsid w:val="008F0D48"/>
    <w:rsid w:val="008F0F68"/>
    <w:rsid w:val="008F1F76"/>
    <w:rsid w:val="008F21FB"/>
    <w:rsid w:val="008F44CC"/>
    <w:rsid w:val="008F7ADF"/>
    <w:rsid w:val="009012BC"/>
    <w:rsid w:val="009014B0"/>
    <w:rsid w:val="00901C30"/>
    <w:rsid w:val="00904253"/>
    <w:rsid w:val="0090482B"/>
    <w:rsid w:val="0090623C"/>
    <w:rsid w:val="00906E72"/>
    <w:rsid w:val="00910AAD"/>
    <w:rsid w:val="0091113D"/>
    <w:rsid w:val="00913286"/>
    <w:rsid w:val="00915DCB"/>
    <w:rsid w:val="00920D8C"/>
    <w:rsid w:val="009215E2"/>
    <w:rsid w:val="0092282C"/>
    <w:rsid w:val="0092425B"/>
    <w:rsid w:val="009268FE"/>
    <w:rsid w:val="0092691B"/>
    <w:rsid w:val="0093449B"/>
    <w:rsid w:val="00934920"/>
    <w:rsid w:val="009353C7"/>
    <w:rsid w:val="00936A0C"/>
    <w:rsid w:val="00943ABB"/>
    <w:rsid w:val="009458B2"/>
    <w:rsid w:val="00946CCA"/>
    <w:rsid w:val="00950204"/>
    <w:rsid w:val="00951141"/>
    <w:rsid w:val="00952273"/>
    <w:rsid w:val="00953564"/>
    <w:rsid w:val="00955022"/>
    <w:rsid w:val="009560CB"/>
    <w:rsid w:val="00957EF7"/>
    <w:rsid w:val="00960AF8"/>
    <w:rsid w:val="00960F2C"/>
    <w:rsid w:val="00961026"/>
    <w:rsid w:val="00961FED"/>
    <w:rsid w:val="009627F5"/>
    <w:rsid w:val="00962812"/>
    <w:rsid w:val="00962B18"/>
    <w:rsid w:val="0096440C"/>
    <w:rsid w:val="00967022"/>
    <w:rsid w:val="009720E3"/>
    <w:rsid w:val="0097272C"/>
    <w:rsid w:val="009727F7"/>
    <w:rsid w:val="00972C59"/>
    <w:rsid w:val="009735E1"/>
    <w:rsid w:val="00977A5D"/>
    <w:rsid w:val="00980B47"/>
    <w:rsid w:val="00980D1B"/>
    <w:rsid w:val="00981FBF"/>
    <w:rsid w:val="00983175"/>
    <w:rsid w:val="00983759"/>
    <w:rsid w:val="009837A9"/>
    <w:rsid w:val="00983F96"/>
    <w:rsid w:val="009840D3"/>
    <w:rsid w:val="009840EC"/>
    <w:rsid w:val="009843B1"/>
    <w:rsid w:val="00985265"/>
    <w:rsid w:val="0098715E"/>
    <w:rsid w:val="0099322F"/>
    <w:rsid w:val="00994AB6"/>
    <w:rsid w:val="009956DF"/>
    <w:rsid w:val="00995E2A"/>
    <w:rsid w:val="0099614F"/>
    <w:rsid w:val="00996C6F"/>
    <w:rsid w:val="00996E97"/>
    <w:rsid w:val="009A0E40"/>
    <w:rsid w:val="009A2427"/>
    <w:rsid w:val="009A27EF"/>
    <w:rsid w:val="009A2BA3"/>
    <w:rsid w:val="009A2C2B"/>
    <w:rsid w:val="009A43BE"/>
    <w:rsid w:val="009A7E40"/>
    <w:rsid w:val="009B1404"/>
    <w:rsid w:val="009B19BA"/>
    <w:rsid w:val="009B2FAB"/>
    <w:rsid w:val="009B46A1"/>
    <w:rsid w:val="009B6212"/>
    <w:rsid w:val="009C36F3"/>
    <w:rsid w:val="009C5F21"/>
    <w:rsid w:val="009D0C32"/>
    <w:rsid w:val="009D1453"/>
    <w:rsid w:val="009D2394"/>
    <w:rsid w:val="009D2813"/>
    <w:rsid w:val="009D54BD"/>
    <w:rsid w:val="009E0C6B"/>
    <w:rsid w:val="009E270E"/>
    <w:rsid w:val="009E45A0"/>
    <w:rsid w:val="009E47D4"/>
    <w:rsid w:val="009E4BA4"/>
    <w:rsid w:val="009E5EA4"/>
    <w:rsid w:val="009E741C"/>
    <w:rsid w:val="009F02CB"/>
    <w:rsid w:val="009F2488"/>
    <w:rsid w:val="009F4319"/>
    <w:rsid w:val="009F62D4"/>
    <w:rsid w:val="009F6EDD"/>
    <w:rsid w:val="009F7593"/>
    <w:rsid w:val="009F7E90"/>
    <w:rsid w:val="00A00354"/>
    <w:rsid w:val="00A02B4D"/>
    <w:rsid w:val="00A02BD3"/>
    <w:rsid w:val="00A04149"/>
    <w:rsid w:val="00A042A9"/>
    <w:rsid w:val="00A0652F"/>
    <w:rsid w:val="00A0659D"/>
    <w:rsid w:val="00A06822"/>
    <w:rsid w:val="00A116F2"/>
    <w:rsid w:val="00A124AE"/>
    <w:rsid w:val="00A1354F"/>
    <w:rsid w:val="00A13C26"/>
    <w:rsid w:val="00A15847"/>
    <w:rsid w:val="00A160B3"/>
    <w:rsid w:val="00A177B8"/>
    <w:rsid w:val="00A17D38"/>
    <w:rsid w:val="00A20CF4"/>
    <w:rsid w:val="00A223CC"/>
    <w:rsid w:val="00A24441"/>
    <w:rsid w:val="00A264E2"/>
    <w:rsid w:val="00A27090"/>
    <w:rsid w:val="00A27A9E"/>
    <w:rsid w:val="00A30916"/>
    <w:rsid w:val="00A30D03"/>
    <w:rsid w:val="00A346E5"/>
    <w:rsid w:val="00A35B85"/>
    <w:rsid w:val="00A360F8"/>
    <w:rsid w:val="00A36A51"/>
    <w:rsid w:val="00A37EA7"/>
    <w:rsid w:val="00A40CF1"/>
    <w:rsid w:val="00A41943"/>
    <w:rsid w:val="00A42BA3"/>
    <w:rsid w:val="00A43117"/>
    <w:rsid w:val="00A4339A"/>
    <w:rsid w:val="00A43BA4"/>
    <w:rsid w:val="00A44366"/>
    <w:rsid w:val="00A45ACD"/>
    <w:rsid w:val="00A460DD"/>
    <w:rsid w:val="00A51F16"/>
    <w:rsid w:val="00A53737"/>
    <w:rsid w:val="00A53975"/>
    <w:rsid w:val="00A53B0C"/>
    <w:rsid w:val="00A5509A"/>
    <w:rsid w:val="00A56BA6"/>
    <w:rsid w:val="00A5722C"/>
    <w:rsid w:val="00A61209"/>
    <w:rsid w:val="00A639F5"/>
    <w:rsid w:val="00A63E5D"/>
    <w:rsid w:val="00A64FFA"/>
    <w:rsid w:val="00A651A9"/>
    <w:rsid w:val="00A67040"/>
    <w:rsid w:val="00A6757D"/>
    <w:rsid w:val="00A67AD3"/>
    <w:rsid w:val="00A7291F"/>
    <w:rsid w:val="00A72AEB"/>
    <w:rsid w:val="00A73680"/>
    <w:rsid w:val="00A75AA7"/>
    <w:rsid w:val="00A769EB"/>
    <w:rsid w:val="00A778B9"/>
    <w:rsid w:val="00A82EBC"/>
    <w:rsid w:val="00A83258"/>
    <w:rsid w:val="00A84ABF"/>
    <w:rsid w:val="00A857BA"/>
    <w:rsid w:val="00A873BF"/>
    <w:rsid w:val="00A87B48"/>
    <w:rsid w:val="00A87C3B"/>
    <w:rsid w:val="00A906B4"/>
    <w:rsid w:val="00A90B01"/>
    <w:rsid w:val="00A93205"/>
    <w:rsid w:val="00A943DE"/>
    <w:rsid w:val="00A954C2"/>
    <w:rsid w:val="00A97479"/>
    <w:rsid w:val="00A97634"/>
    <w:rsid w:val="00A977FA"/>
    <w:rsid w:val="00AA1915"/>
    <w:rsid w:val="00AA290D"/>
    <w:rsid w:val="00AA29F3"/>
    <w:rsid w:val="00AA4D66"/>
    <w:rsid w:val="00AA4E19"/>
    <w:rsid w:val="00AB152E"/>
    <w:rsid w:val="00AB19A9"/>
    <w:rsid w:val="00AB2589"/>
    <w:rsid w:val="00AB274C"/>
    <w:rsid w:val="00AB3FE2"/>
    <w:rsid w:val="00AB573C"/>
    <w:rsid w:val="00AB79CD"/>
    <w:rsid w:val="00AC11FA"/>
    <w:rsid w:val="00AC19EB"/>
    <w:rsid w:val="00AC470E"/>
    <w:rsid w:val="00AC4762"/>
    <w:rsid w:val="00AC4947"/>
    <w:rsid w:val="00AC5033"/>
    <w:rsid w:val="00AC6489"/>
    <w:rsid w:val="00AC6A42"/>
    <w:rsid w:val="00AC791D"/>
    <w:rsid w:val="00AD224E"/>
    <w:rsid w:val="00AD23CC"/>
    <w:rsid w:val="00AD26E6"/>
    <w:rsid w:val="00AD353D"/>
    <w:rsid w:val="00AD35C6"/>
    <w:rsid w:val="00AD3885"/>
    <w:rsid w:val="00AD4487"/>
    <w:rsid w:val="00AD50C2"/>
    <w:rsid w:val="00AD5780"/>
    <w:rsid w:val="00AD5FDC"/>
    <w:rsid w:val="00AE0219"/>
    <w:rsid w:val="00AE0757"/>
    <w:rsid w:val="00AE1C16"/>
    <w:rsid w:val="00AE312D"/>
    <w:rsid w:val="00AE32A8"/>
    <w:rsid w:val="00AE444A"/>
    <w:rsid w:val="00AF108A"/>
    <w:rsid w:val="00AF17B7"/>
    <w:rsid w:val="00AF440F"/>
    <w:rsid w:val="00AF4D83"/>
    <w:rsid w:val="00AF76B2"/>
    <w:rsid w:val="00AF790C"/>
    <w:rsid w:val="00AF7A46"/>
    <w:rsid w:val="00B008CE"/>
    <w:rsid w:val="00B01B53"/>
    <w:rsid w:val="00B027C1"/>
    <w:rsid w:val="00B0371E"/>
    <w:rsid w:val="00B05274"/>
    <w:rsid w:val="00B053A9"/>
    <w:rsid w:val="00B134CD"/>
    <w:rsid w:val="00B139FB"/>
    <w:rsid w:val="00B15A5D"/>
    <w:rsid w:val="00B16156"/>
    <w:rsid w:val="00B163F6"/>
    <w:rsid w:val="00B166DF"/>
    <w:rsid w:val="00B2122A"/>
    <w:rsid w:val="00B21C5F"/>
    <w:rsid w:val="00B23BEB"/>
    <w:rsid w:val="00B23D9A"/>
    <w:rsid w:val="00B255DF"/>
    <w:rsid w:val="00B26867"/>
    <w:rsid w:val="00B27B3E"/>
    <w:rsid w:val="00B27F67"/>
    <w:rsid w:val="00B32515"/>
    <w:rsid w:val="00B33655"/>
    <w:rsid w:val="00B37AD3"/>
    <w:rsid w:val="00B37FA2"/>
    <w:rsid w:val="00B4065D"/>
    <w:rsid w:val="00B411D0"/>
    <w:rsid w:val="00B41FA3"/>
    <w:rsid w:val="00B425E3"/>
    <w:rsid w:val="00B4282C"/>
    <w:rsid w:val="00B44908"/>
    <w:rsid w:val="00B46A39"/>
    <w:rsid w:val="00B46D6D"/>
    <w:rsid w:val="00B47FC4"/>
    <w:rsid w:val="00B5311D"/>
    <w:rsid w:val="00B53200"/>
    <w:rsid w:val="00B5361A"/>
    <w:rsid w:val="00B54CE9"/>
    <w:rsid w:val="00B55767"/>
    <w:rsid w:val="00B62E8D"/>
    <w:rsid w:val="00B63EF2"/>
    <w:rsid w:val="00B65A3C"/>
    <w:rsid w:val="00B7480E"/>
    <w:rsid w:val="00B76635"/>
    <w:rsid w:val="00B768ED"/>
    <w:rsid w:val="00B77674"/>
    <w:rsid w:val="00B80314"/>
    <w:rsid w:val="00B849CA"/>
    <w:rsid w:val="00B9034A"/>
    <w:rsid w:val="00B90E1E"/>
    <w:rsid w:val="00B91DA2"/>
    <w:rsid w:val="00B920BF"/>
    <w:rsid w:val="00B92D53"/>
    <w:rsid w:val="00B93021"/>
    <w:rsid w:val="00B93AB5"/>
    <w:rsid w:val="00B966E0"/>
    <w:rsid w:val="00BA2E4C"/>
    <w:rsid w:val="00BA32F7"/>
    <w:rsid w:val="00BA6AB0"/>
    <w:rsid w:val="00BB1A3E"/>
    <w:rsid w:val="00BB325B"/>
    <w:rsid w:val="00BB4199"/>
    <w:rsid w:val="00BB45E3"/>
    <w:rsid w:val="00BB6095"/>
    <w:rsid w:val="00BB6542"/>
    <w:rsid w:val="00BB65E7"/>
    <w:rsid w:val="00BB73CF"/>
    <w:rsid w:val="00BB76F2"/>
    <w:rsid w:val="00BB7C3E"/>
    <w:rsid w:val="00BC03E5"/>
    <w:rsid w:val="00BC279E"/>
    <w:rsid w:val="00BC2FD8"/>
    <w:rsid w:val="00BC31E4"/>
    <w:rsid w:val="00BC4017"/>
    <w:rsid w:val="00BC499B"/>
    <w:rsid w:val="00BC5595"/>
    <w:rsid w:val="00BC761F"/>
    <w:rsid w:val="00BC7666"/>
    <w:rsid w:val="00BD057C"/>
    <w:rsid w:val="00BD379C"/>
    <w:rsid w:val="00BD4C7A"/>
    <w:rsid w:val="00BE19A6"/>
    <w:rsid w:val="00BE2FAD"/>
    <w:rsid w:val="00BE3021"/>
    <w:rsid w:val="00BE3F9F"/>
    <w:rsid w:val="00BE5264"/>
    <w:rsid w:val="00BE6EFC"/>
    <w:rsid w:val="00BF09EB"/>
    <w:rsid w:val="00BF0BCD"/>
    <w:rsid w:val="00BF1AD6"/>
    <w:rsid w:val="00BF266F"/>
    <w:rsid w:val="00BF39AE"/>
    <w:rsid w:val="00BF6012"/>
    <w:rsid w:val="00BF63AD"/>
    <w:rsid w:val="00BF6825"/>
    <w:rsid w:val="00C0427F"/>
    <w:rsid w:val="00C0553E"/>
    <w:rsid w:val="00C060BC"/>
    <w:rsid w:val="00C10148"/>
    <w:rsid w:val="00C1279E"/>
    <w:rsid w:val="00C153EA"/>
    <w:rsid w:val="00C20552"/>
    <w:rsid w:val="00C21686"/>
    <w:rsid w:val="00C239CD"/>
    <w:rsid w:val="00C23B00"/>
    <w:rsid w:val="00C24AE0"/>
    <w:rsid w:val="00C306DF"/>
    <w:rsid w:val="00C30827"/>
    <w:rsid w:val="00C30EBF"/>
    <w:rsid w:val="00C328F9"/>
    <w:rsid w:val="00C33ACB"/>
    <w:rsid w:val="00C3689F"/>
    <w:rsid w:val="00C36FEB"/>
    <w:rsid w:val="00C37483"/>
    <w:rsid w:val="00C41603"/>
    <w:rsid w:val="00C4166B"/>
    <w:rsid w:val="00C42A2C"/>
    <w:rsid w:val="00C430B3"/>
    <w:rsid w:val="00C467E8"/>
    <w:rsid w:val="00C47515"/>
    <w:rsid w:val="00C47D5C"/>
    <w:rsid w:val="00C538EE"/>
    <w:rsid w:val="00C54D19"/>
    <w:rsid w:val="00C56139"/>
    <w:rsid w:val="00C56A03"/>
    <w:rsid w:val="00C61306"/>
    <w:rsid w:val="00C63B91"/>
    <w:rsid w:val="00C6552E"/>
    <w:rsid w:val="00C67E8E"/>
    <w:rsid w:val="00C707D3"/>
    <w:rsid w:val="00C711F5"/>
    <w:rsid w:val="00C72502"/>
    <w:rsid w:val="00C72D0D"/>
    <w:rsid w:val="00C74CE3"/>
    <w:rsid w:val="00C7774D"/>
    <w:rsid w:val="00C80BFF"/>
    <w:rsid w:val="00C8527F"/>
    <w:rsid w:val="00C852DC"/>
    <w:rsid w:val="00C85F9E"/>
    <w:rsid w:val="00C86956"/>
    <w:rsid w:val="00C8787A"/>
    <w:rsid w:val="00C91E37"/>
    <w:rsid w:val="00C921E4"/>
    <w:rsid w:val="00C94C4A"/>
    <w:rsid w:val="00C95287"/>
    <w:rsid w:val="00C95C3A"/>
    <w:rsid w:val="00C95ED9"/>
    <w:rsid w:val="00C97A82"/>
    <w:rsid w:val="00CA3C74"/>
    <w:rsid w:val="00CA4568"/>
    <w:rsid w:val="00CA5A19"/>
    <w:rsid w:val="00CA7157"/>
    <w:rsid w:val="00CB0BE2"/>
    <w:rsid w:val="00CB33BC"/>
    <w:rsid w:val="00CB486A"/>
    <w:rsid w:val="00CC03E6"/>
    <w:rsid w:val="00CC2661"/>
    <w:rsid w:val="00CC49E0"/>
    <w:rsid w:val="00CC5645"/>
    <w:rsid w:val="00CC6094"/>
    <w:rsid w:val="00CD2DB0"/>
    <w:rsid w:val="00CD3035"/>
    <w:rsid w:val="00CD3F18"/>
    <w:rsid w:val="00CE06F2"/>
    <w:rsid w:val="00CE1CD6"/>
    <w:rsid w:val="00CE26E4"/>
    <w:rsid w:val="00CE4681"/>
    <w:rsid w:val="00CE671B"/>
    <w:rsid w:val="00CE6EF7"/>
    <w:rsid w:val="00CE7EE6"/>
    <w:rsid w:val="00CF0D50"/>
    <w:rsid w:val="00CF17A8"/>
    <w:rsid w:val="00CF419C"/>
    <w:rsid w:val="00CF49DB"/>
    <w:rsid w:val="00CF5836"/>
    <w:rsid w:val="00CF72EE"/>
    <w:rsid w:val="00D00D92"/>
    <w:rsid w:val="00D024F8"/>
    <w:rsid w:val="00D04C36"/>
    <w:rsid w:val="00D06C6F"/>
    <w:rsid w:val="00D07AB9"/>
    <w:rsid w:val="00D07DFC"/>
    <w:rsid w:val="00D10DF6"/>
    <w:rsid w:val="00D15F6B"/>
    <w:rsid w:val="00D17E12"/>
    <w:rsid w:val="00D2026F"/>
    <w:rsid w:val="00D20C00"/>
    <w:rsid w:val="00D20D99"/>
    <w:rsid w:val="00D228D6"/>
    <w:rsid w:val="00D23156"/>
    <w:rsid w:val="00D2316A"/>
    <w:rsid w:val="00D23EA3"/>
    <w:rsid w:val="00D24206"/>
    <w:rsid w:val="00D252ED"/>
    <w:rsid w:val="00D253D2"/>
    <w:rsid w:val="00D2724E"/>
    <w:rsid w:val="00D274AD"/>
    <w:rsid w:val="00D3094C"/>
    <w:rsid w:val="00D340F5"/>
    <w:rsid w:val="00D3570D"/>
    <w:rsid w:val="00D36B8B"/>
    <w:rsid w:val="00D40DD4"/>
    <w:rsid w:val="00D41735"/>
    <w:rsid w:val="00D4417B"/>
    <w:rsid w:val="00D4574A"/>
    <w:rsid w:val="00D47499"/>
    <w:rsid w:val="00D500A0"/>
    <w:rsid w:val="00D52398"/>
    <w:rsid w:val="00D5288D"/>
    <w:rsid w:val="00D5478F"/>
    <w:rsid w:val="00D5501C"/>
    <w:rsid w:val="00D55A42"/>
    <w:rsid w:val="00D56C4D"/>
    <w:rsid w:val="00D60E83"/>
    <w:rsid w:val="00D630A6"/>
    <w:rsid w:val="00D677F4"/>
    <w:rsid w:val="00D70D0F"/>
    <w:rsid w:val="00D71B52"/>
    <w:rsid w:val="00D738ED"/>
    <w:rsid w:val="00D73EC2"/>
    <w:rsid w:val="00D7415F"/>
    <w:rsid w:val="00D7468B"/>
    <w:rsid w:val="00D76364"/>
    <w:rsid w:val="00D7670F"/>
    <w:rsid w:val="00D774B5"/>
    <w:rsid w:val="00D77CE4"/>
    <w:rsid w:val="00D830A9"/>
    <w:rsid w:val="00D87982"/>
    <w:rsid w:val="00D91EB3"/>
    <w:rsid w:val="00D94749"/>
    <w:rsid w:val="00D949FF"/>
    <w:rsid w:val="00D961CD"/>
    <w:rsid w:val="00DA29E6"/>
    <w:rsid w:val="00DA52EB"/>
    <w:rsid w:val="00DA57A2"/>
    <w:rsid w:val="00DA5824"/>
    <w:rsid w:val="00DA6D86"/>
    <w:rsid w:val="00DA7150"/>
    <w:rsid w:val="00DA76A4"/>
    <w:rsid w:val="00DB02A8"/>
    <w:rsid w:val="00DB087C"/>
    <w:rsid w:val="00DB1C47"/>
    <w:rsid w:val="00DB261D"/>
    <w:rsid w:val="00DB3014"/>
    <w:rsid w:val="00DB309A"/>
    <w:rsid w:val="00DB336B"/>
    <w:rsid w:val="00DB45D7"/>
    <w:rsid w:val="00DB4CE5"/>
    <w:rsid w:val="00DB61CB"/>
    <w:rsid w:val="00DB664E"/>
    <w:rsid w:val="00DC17B7"/>
    <w:rsid w:val="00DC26E8"/>
    <w:rsid w:val="00DC3707"/>
    <w:rsid w:val="00DC5C66"/>
    <w:rsid w:val="00DC6D75"/>
    <w:rsid w:val="00DD077F"/>
    <w:rsid w:val="00DD1096"/>
    <w:rsid w:val="00DD2661"/>
    <w:rsid w:val="00DD2D46"/>
    <w:rsid w:val="00DD2FCB"/>
    <w:rsid w:val="00DD5876"/>
    <w:rsid w:val="00DD6F6F"/>
    <w:rsid w:val="00DD7A62"/>
    <w:rsid w:val="00DE0BE7"/>
    <w:rsid w:val="00DE1EDB"/>
    <w:rsid w:val="00DE3303"/>
    <w:rsid w:val="00DE3F2F"/>
    <w:rsid w:val="00DE4D3E"/>
    <w:rsid w:val="00DE5790"/>
    <w:rsid w:val="00DE64FF"/>
    <w:rsid w:val="00DF105A"/>
    <w:rsid w:val="00DF1CF8"/>
    <w:rsid w:val="00DF3E4E"/>
    <w:rsid w:val="00DF3FA5"/>
    <w:rsid w:val="00DF5C6C"/>
    <w:rsid w:val="00DF601A"/>
    <w:rsid w:val="00DF6D7A"/>
    <w:rsid w:val="00DF6F2E"/>
    <w:rsid w:val="00DF7271"/>
    <w:rsid w:val="00E006A1"/>
    <w:rsid w:val="00E02B2A"/>
    <w:rsid w:val="00E04428"/>
    <w:rsid w:val="00E060F2"/>
    <w:rsid w:val="00E06B39"/>
    <w:rsid w:val="00E15297"/>
    <w:rsid w:val="00E153A9"/>
    <w:rsid w:val="00E2046C"/>
    <w:rsid w:val="00E26C96"/>
    <w:rsid w:val="00E2768D"/>
    <w:rsid w:val="00E27B91"/>
    <w:rsid w:val="00E33C40"/>
    <w:rsid w:val="00E35FAA"/>
    <w:rsid w:val="00E36B07"/>
    <w:rsid w:val="00E40451"/>
    <w:rsid w:val="00E40C55"/>
    <w:rsid w:val="00E41079"/>
    <w:rsid w:val="00E422A1"/>
    <w:rsid w:val="00E433EF"/>
    <w:rsid w:val="00E434B8"/>
    <w:rsid w:val="00E50956"/>
    <w:rsid w:val="00E51665"/>
    <w:rsid w:val="00E53DB1"/>
    <w:rsid w:val="00E55A7D"/>
    <w:rsid w:val="00E55C32"/>
    <w:rsid w:val="00E575BD"/>
    <w:rsid w:val="00E614EF"/>
    <w:rsid w:val="00E620C9"/>
    <w:rsid w:val="00E627D2"/>
    <w:rsid w:val="00E62FDA"/>
    <w:rsid w:val="00E66D93"/>
    <w:rsid w:val="00E67542"/>
    <w:rsid w:val="00E67D29"/>
    <w:rsid w:val="00E73393"/>
    <w:rsid w:val="00E7485D"/>
    <w:rsid w:val="00E755F9"/>
    <w:rsid w:val="00E76475"/>
    <w:rsid w:val="00E8264C"/>
    <w:rsid w:val="00E8329F"/>
    <w:rsid w:val="00E847CD"/>
    <w:rsid w:val="00E8517E"/>
    <w:rsid w:val="00E87F0F"/>
    <w:rsid w:val="00E900E7"/>
    <w:rsid w:val="00E93532"/>
    <w:rsid w:val="00E943CB"/>
    <w:rsid w:val="00E9588F"/>
    <w:rsid w:val="00E970D8"/>
    <w:rsid w:val="00E97620"/>
    <w:rsid w:val="00E97CB0"/>
    <w:rsid w:val="00EA04A8"/>
    <w:rsid w:val="00EA0C00"/>
    <w:rsid w:val="00EA36FF"/>
    <w:rsid w:val="00EA43C3"/>
    <w:rsid w:val="00EA67BB"/>
    <w:rsid w:val="00EB02F3"/>
    <w:rsid w:val="00EB1C2A"/>
    <w:rsid w:val="00EB270E"/>
    <w:rsid w:val="00EB4AE0"/>
    <w:rsid w:val="00EB4E56"/>
    <w:rsid w:val="00EB69C3"/>
    <w:rsid w:val="00EB69F9"/>
    <w:rsid w:val="00EC270E"/>
    <w:rsid w:val="00EC295B"/>
    <w:rsid w:val="00EC2AA6"/>
    <w:rsid w:val="00EC3EDD"/>
    <w:rsid w:val="00EC417A"/>
    <w:rsid w:val="00EC6DE7"/>
    <w:rsid w:val="00ED18A6"/>
    <w:rsid w:val="00ED1D67"/>
    <w:rsid w:val="00ED1FE9"/>
    <w:rsid w:val="00ED22A4"/>
    <w:rsid w:val="00ED2471"/>
    <w:rsid w:val="00ED31F9"/>
    <w:rsid w:val="00ED3290"/>
    <w:rsid w:val="00ED52A3"/>
    <w:rsid w:val="00ED643D"/>
    <w:rsid w:val="00EE14D6"/>
    <w:rsid w:val="00EE164D"/>
    <w:rsid w:val="00EE36F5"/>
    <w:rsid w:val="00EE37AB"/>
    <w:rsid w:val="00EE4B08"/>
    <w:rsid w:val="00EF0952"/>
    <w:rsid w:val="00EF140C"/>
    <w:rsid w:val="00EF14C1"/>
    <w:rsid w:val="00EF15BB"/>
    <w:rsid w:val="00EF2201"/>
    <w:rsid w:val="00EF27C4"/>
    <w:rsid w:val="00EF2C95"/>
    <w:rsid w:val="00EF36B9"/>
    <w:rsid w:val="00EF3ACD"/>
    <w:rsid w:val="00EF4165"/>
    <w:rsid w:val="00EF5375"/>
    <w:rsid w:val="00EF5992"/>
    <w:rsid w:val="00F00722"/>
    <w:rsid w:val="00F009FD"/>
    <w:rsid w:val="00F00DB7"/>
    <w:rsid w:val="00F03F18"/>
    <w:rsid w:val="00F04767"/>
    <w:rsid w:val="00F06377"/>
    <w:rsid w:val="00F1101A"/>
    <w:rsid w:val="00F12389"/>
    <w:rsid w:val="00F1309A"/>
    <w:rsid w:val="00F13AED"/>
    <w:rsid w:val="00F13AFB"/>
    <w:rsid w:val="00F16BF9"/>
    <w:rsid w:val="00F21916"/>
    <w:rsid w:val="00F21E1E"/>
    <w:rsid w:val="00F22949"/>
    <w:rsid w:val="00F231C3"/>
    <w:rsid w:val="00F235B6"/>
    <w:rsid w:val="00F25F24"/>
    <w:rsid w:val="00F264AA"/>
    <w:rsid w:val="00F2669E"/>
    <w:rsid w:val="00F27F08"/>
    <w:rsid w:val="00F30848"/>
    <w:rsid w:val="00F3358B"/>
    <w:rsid w:val="00F34595"/>
    <w:rsid w:val="00F36C76"/>
    <w:rsid w:val="00F40850"/>
    <w:rsid w:val="00F40C4B"/>
    <w:rsid w:val="00F41AAE"/>
    <w:rsid w:val="00F446B3"/>
    <w:rsid w:val="00F51436"/>
    <w:rsid w:val="00F52D5A"/>
    <w:rsid w:val="00F5430F"/>
    <w:rsid w:val="00F57576"/>
    <w:rsid w:val="00F57CE8"/>
    <w:rsid w:val="00F60C94"/>
    <w:rsid w:val="00F60DA6"/>
    <w:rsid w:val="00F62466"/>
    <w:rsid w:val="00F647F0"/>
    <w:rsid w:val="00F64BAA"/>
    <w:rsid w:val="00F655AC"/>
    <w:rsid w:val="00F658D3"/>
    <w:rsid w:val="00F65B06"/>
    <w:rsid w:val="00F70AA6"/>
    <w:rsid w:val="00F71605"/>
    <w:rsid w:val="00F71DA5"/>
    <w:rsid w:val="00F7327B"/>
    <w:rsid w:val="00F7401F"/>
    <w:rsid w:val="00F765AA"/>
    <w:rsid w:val="00F76D36"/>
    <w:rsid w:val="00F806E8"/>
    <w:rsid w:val="00F8083A"/>
    <w:rsid w:val="00F80CDB"/>
    <w:rsid w:val="00F849CC"/>
    <w:rsid w:val="00F860C4"/>
    <w:rsid w:val="00F87E41"/>
    <w:rsid w:val="00F909FC"/>
    <w:rsid w:val="00F9107A"/>
    <w:rsid w:val="00F931A2"/>
    <w:rsid w:val="00F949F6"/>
    <w:rsid w:val="00FA2433"/>
    <w:rsid w:val="00FA24F6"/>
    <w:rsid w:val="00FA3AB8"/>
    <w:rsid w:val="00FA416E"/>
    <w:rsid w:val="00FA49B9"/>
    <w:rsid w:val="00FA733B"/>
    <w:rsid w:val="00FA738E"/>
    <w:rsid w:val="00FA7627"/>
    <w:rsid w:val="00FA7C4F"/>
    <w:rsid w:val="00FB2119"/>
    <w:rsid w:val="00FB4ABA"/>
    <w:rsid w:val="00FC3BA8"/>
    <w:rsid w:val="00FC5CA1"/>
    <w:rsid w:val="00FC71C7"/>
    <w:rsid w:val="00FC737C"/>
    <w:rsid w:val="00FD0EB4"/>
    <w:rsid w:val="00FD1A90"/>
    <w:rsid w:val="00FD294E"/>
    <w:rsid w:val="00FD6041"/>
    <w:rsid w:val="00FD62B7"/>
    <w:rsid w:val="00FE03FC"/>
    <w:rsid w:val="00FE15D6"/>
    <w:rsid w:val="00FE1788"/>
    <w:rsid w:val="00FE5BC8"/>
    <w:rsid w:val="00FE79C7"/>
    <w:rsid w:val="00FF4C41"/>
    <w:rsid w:val="00FF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6289"/>
    <o:shapelayout v:ext="edit">
      <o:idmap v:ext="edit" data="1"/>
    </o:shapelayout>
  </w:shapeDefaults>
  <w:decimalSymbol w:val="."/>
  <w:listSeparator w:val=","/>
  <w15:docId w15:val="{90EE78C3-D752-4AAA-8FDA-9345FF9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7E15-6F63-4DB3-B151-9F444943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3202</Words>
  <Characters>16687</Characters>
  <Application>Microsoft Office Word</Application>
  <DocSecurity>0</DocSecurity>
  <Lines>476</Lines>
  <Paragraphs>320</Paragraphs>
  <ScaleCrop>false</ScaleCrop>
  <HeadingPairs>
    <vt:vector size="2" baseType="variant">
      <vt:variant>
        <vt:lpstr>Title</vt:lpstr>
      </vt:variant>
      <vt:variant>
        <vt:i4>1</vt:i4>
      </vt:variant>
    </vt:vector>
  </HeadingPairs>
  <TitlesOfParts>
    <vt:vector size="1" baseType="lpstr">
      <vt:lpstr>Northern Territory Government S121 2016</vt:lpstr>
    </vt:vector>
  </TitlesOfParts>
  <Company>NTG</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S121 2016</dc:title>
  <dc:creator>Northern Territory Government</dc:creator>
  <cp:lastModifiedBy>Leslie Wiseman</cp:lastModifiedBy>
  <cp:revision>8</cp:revision>
  <cp:lastPrinted>2016-12-20T02:46:00Z</cp:lastPrinted>
  <dcterms:created xsi:type="dcterms:W3CDTF">2016-12-22T23:27:00Z</dcterms:created>
  <dcterms:modified xsi:type="dcterms:W3CDTF">2016-12-28T00:03:00Z</dcterms:modified>
</cp:coreProperties>
</file>