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CB81B" w14:textId="77777777" w:rsidR="00F335A8" w:rsidRDefault="00F335A8" w:rsidP="007C6958">
      <w:bookmarkStart w:id="0" w:name="_GoBack"/>
      <w:bookmarkEnd w:id="0"/>
    </w:p>
    <w:p w14:paraId="6FEFE0B6" w14:textId="77777777" w:rsidR="00F63F94" w:rsidRDefault="00F63F94" w:rsidP="007C6958"/>
    <w:p w14:paraId="608C9E86" w14:textId="77777777" w:rsidR="007B0B40" w:rsidRPr="008223AE" w:rsidRDefault="007B0B40" w:rsidP="008223AE">
      <w:pPr>
        <w:widowControl w:val="0"/>
        <w:spacing w:after="240"/>
        <w:rPr>
          <w:rFonts w:ascii="Lato SemiBold" w:eastAsia="Arial" w:hAnsi="Lato SemiBold"/>
          <w:color w:val="1F1F5F"/>
          <w:spacing w:val="2"/>
          <w:position w:val="-1"/>
          <w:sz w:val="60"/>
          <w:szCs w:val="60"/>
          <w:lang w:val="en-US"/>
        </w:rPr>
      </w:pPr>
      <w:r w:rsidRPr="008223AE">
        <w:rPr>
          <w:rFonts w:ascii="Lato SemiBold" w:eastAsia="Arial" w:hAnsi="Lato SemiBold"/>
          <w:color w:val="1F1F5F"/>
          <w:spacing w:val="2"/>
          <w:position w:val="-1"/>
          <w:sz w:val="60"/>
          <w:szCs w:val="60"/>
          <w:lang w:val="en-US"/>
        </w:rPr>
        <w:t xml:space="preserve">Credit guide </w:t>
      </w:r>
    </w:p>
    <w:p w14:paraId="0DAA76FD" w14:textId="77777777" w:rsidR="007B0B40" w:rsidRPr="00331457" w:rsidRDefault="007B0B40" w:rsidP="007B0B40">
      <w:pPr>
        <w:spacing w:after="0"/>
        <w:rPr>
          <w:rFonts w:ascii="Lato" w:eastAsia="Calibri" w:hAnsi="Lato"/>
          <w:bCs w:val="0"/>
          <w:szCs w:val="22"/>
        </w:rPr>
      </w:pPr>
      <w:r w:rsidRPr="008223AE">
        <w:rPr>
          <w:rFonts w:ascii="Lato" w:eastAsia="Calibri" w:hAnsi="Lato"/>
          <w:bCs w:val="0"/>
          <w:szCs w:val="22"/>
        </w:rPr>
        <w:t xml:space="preserve">Under the </w:t>
      </w:r>
      <w:r w:rsidRPr="008223AE">
        <w:rPr>
          <w:rFonts w:ascii="Lato" w:eastAsia="Calibri" w:hAnsi="Lato"/>
          <w:bCs w:val="0"/>
          <w:i/>
          <w:szCs w:val="22"/>
        </w:rPr>
        <w:t>National Consumer Credit Protection Act 2009 (“National Credit Act</w:t>
      </w:r>
      <w:r w:rsidRPr="008223AE">
        <w:rPr>
          <w:rFonts w:ascii="Lato" w:eastAsia="Calibri" w:hAnsi="Lato"/>
          <w:bCs w:val="0"/>
          <w:szCs w:val="22"/>
        </w:rPr>
        <w:t>”), Chief Executive Officer (Housing) is required to provide you with this credit guide explaining our obligations as a credit provider.</w:t>
      </w:r>
    </w:p>
    <w:p w14:paraId="5FA3887F" w14:textId="77777777" w:rsidR="007B0B40" w:rsidRPr="00331457" w:rsidRDefault="007B0B40" w:rsidP="0099335D">
      <w:pPr>
        <w:pStyle w:val="Heading2"/>
        <w:rPr>
          <w:rFonts w:eastAsia="Arial"/>
        </w:rPr>
      </w:pPr>
      <w:r w:rsidRPr="008223AE">
        <w:rPr>
          <w:rFonts w:eastAsia="Arial"/>
          <w:lang w:val="en-US"/>
        </w:rPr>
        <w:t>Borrowing money from Chief Executive Officer (Housing)</w:t>
      </w:r>
    </w:p>
    <w:p w14:paraId="1FB86002" w14:textId="77777777" w:rsidR="007B0B40" w:rsidRPr="00331457" w:rsidRDefault="007B0B40" w:rsidP="00331457">
      <w:pPr>
        <w:pStyle w:val="Bodycopy"/>
        <w:rPr>
          <w:bCs/>
        </w:rPr>
      </w:pPr>
      <w:r w:rsidRPr="00331457">
        <w:t xml:space="preserve">Chief Executive Officer (Housing) provides loans to eligible clients only. Under the </w:t>
      </w:r>
      <w:r w:rsidRPr="00331457">
        <w:rPr>
          <w:i/>
        </w:rPr>
        <w:t>National Credit Act</w:t>
      </w:r>
      <w:r w:rsidRPr="00331457">
        <w:t>, we cannot enter into a credit contract with you if the contract is unsuitable for you.</w:t>
      </w:r>
    </w:p>
    <w:p w14:paraId="7F47E778" w14:textId="77777777" w:rsidR="00BA6584" w:rsidRPr="00331457" w:rsidRDefault="007B0B40" w:rsidP="00331457">
      <w:pPr>
        <w:pStyle w:val="Bodycopy"/>
        <w:rPr>
          <w:bCs/>
        </w:rPr>
      </w:pPr>
      <w:r w:rsidRPr="00331457">
        <w:t>A credit contract is unsuitable for you if, at the time you enter the contract:</w:t>
      </w:r>
    </w:p>
    <w:p w14:paraId="0487D006" w14:textId="77777777" w:rsidR="00331457" w:rsidRPr="00331457" w:rsidRDefault="007B0B40" w:rsidP="00331457">
      <w:pPr>
        <w:numPr>
          <w:ilvl w:val="0"/>
          <w:numId w:val="6"/>
        </w:numPr>
        <w:spacing w:before="200" w:after="200"/>
        <w:ind w:left="284" w:hanging="284"/>
        <w:contextualSpacing/>
        <w:rPr>
          <w:rFonts w:ascii="Lato" w:eastAsia="Calibri" w:hAnsi="Lato"/>
          <w:bCs w:val="0"/>
          <w:szCs w:val="22"/>
        </w:rPr>
      </w:pPr>
      <w:r w:rsidRPr="00331457">
        <w:rPr>
          <w:rFonts w:ascii="Lato" w:eastAsia="Calibri" w:hAnsi="Lato"/>
          <w:bCs w:val="0"/>
          <w:szCs w:val="22"/>
        </w:rPr>
        <w:t>it is likely that the contract does not meet your requirements or objectives; or</w:t>
      </w:r>
    </w:p>
    <w:p w14:paraId="6944192B" w14:textId="77777777" w:rsidR="007B0B40" w:rsidRPr="00331457" w:rsidRDefault="007B0B40" w:rsidP="00331457">
      <w:pPr>
        <w:pStyle w:val="ListParagraph"/>
        <w:numPr>
          <w:ilvl w:val="0"/>
          <w:numId w:val="6"/>
        </w:numPr>
        <w:spacing w:before="200" w:after="200"/>
        <w:ind w:left="284" w:hanging="284"/>
        <w:rPr>
          <w:rFonts w:ascii="Lato" w:eastAsia="Calibri" w:hAnsi="Lato"/>
          <w:bCs w:val="0"/>
          <w:szCs w:val="22"/>
        </w:rPr>
      </w:pPr>
      <w:r w:rsidRPr="00331457">
        <w:rPr>
          <w:rFonts w:ascii="Lato" w:eastAsia="Calibri" w:hAnsi="Lato"/>
          <w:bCs w:val="0"/>
          <w:szCs w:val="22"/>
        </w:rPr>
        <w:t>you will be unable to comply with your financial obligations under the contract or will only be able to comply with substantial hardship.</w:t>
      </w:r>
    </w:p>
    <w:p w14:paraId="74868027" w14:textId="77777777" w:rsidR="007B0B40" w:rsidRPr="00A75C26" w:rsidRDefault="007B0B40" w:rsidP="00331457">
      <w:pPr>
        <w:pStyle w:val="Heading2"/>
        <w:rPr>
          <w:rFonts w:eastAsia="Arial"/>
          <w:lang w:val="en-US"/>
        </w:rPr>
      </w:pPr>
      <w:r w:rsidRPr="00A75C26">
        <w:rPr>
          <w:rFonts w:eastAsia="Arial"/>
          <w:lang w:val="en-US"/>
        </w:rPr>
        <w:t>Agent for Chief Executive Officer (Housing)</w:t>
      </w:r>
    </w:p>
    <w:p w14:paraId="66EF49D5" w14:textId="77777777" w:rsidR="007B0B40" w:rsidRPr="0099335D" w:rsidRDefault="007B0B40" w:rsidP="0099335D">
      <w:pPr>
        <w:pStyle w:val="Bodycopy"/>
        <w:rPr>
          <w:bCs/>
        </w:rPr>
      </w:pPr>
      <w:r w:rsidRPr="00331457">
        <w:t xml:space="preserve">People's Choice ("People's Choice") acts as the agent for Chief Executive Officer (Housing) under a Mortgage Management </w:t>
      </w:r>
      <w:r w:rsidR="00BA6584" w:rsidRPr="00331457">
        <w:t>Contract</w:t>
      </w:r>
      <w:r w:rsidRPr="00331457">
        <w:t xml:space="preserve">. Under this </w:t>
      </w:r>
      <w:r w:rsidR="00BA6584" w:rsidRPr="00331457">
        <w:t>contract,</w:t>
      </w:r>
      <w:r w:rsidR="00902C77">
        <w:t xml:space="preserve"> </w:t>
      </w:r>
      <w:r w:rsidRPr="00331457">
        <w:t>People's Choice receives and assesses all applications for credit on behalf of Chief Executive Officer (Housing). All credit assessments are completed by People's Choice based on the guidelines and policies of Chief Executive Officer (Housing).</w:t>
      </w:r>
    </w:p>
    <w:p w14:paraId="04F05F5A" w14:textId="77777777" w:rsidR="007B0B40" w:rsidRPr="00A75C26" w:rsidRDefault="007B0B40" w:rsidP="00331457">
      <w:pPr>
        <w:pStyle w:val="Heading2"/>
        <w:rPr>
          <w:rFonts w:eastAsia="Arial"/>
          <w:lang w:val="en-US"/>
        </w:rPr>
      </w:pPr>
      <w:r w:rsidRPr="00A75C26">
        <w:rPr>
          <w:rFonts w:eastAsia="Arial"/>
          <w:lang w:val="en-US"/>
        </w:rPr>
        <w:t>Chief Executive Officer (Housing)’s obligation to make a credit suitability assessment</w:t>
      </w:r>
    </w:p>
    <w:p w14:paraId="1486B38C" w14:textId="77777777" w:rsidR="007B0B40" w:rsidRPr="0099335D" w:rsidRDefault="007B0B40" w:rsidP="0099335D">
      <w:pPr>
        <w:pStyle w:val="Bodycopy"/>
        <w:rPr>
          <w:bCs/>
        </w:rPr>
      </w:pPr>
      <w:r w:rsidRPr="0099335D">
        <w:t>Before you are offered credit, People's Choice, on behalf of Chief Executive Officer (Housing), must make an assessment as to whether the proposed credit contract will be suitable for you.</w:t>
      </w:r>
    </w:p>
    <w:p w14:paraId="0EA2D003" w14:textId="77777777" w:rsidR="00BA6584" w:rsidRPr="0099335D" w:rsidRDefault="007B0B40" w:rsidP="0099335D">
      <w:pPr>
        <w:pStyle w:val="Bodycopy"/>
        <w:rPr>
          <w:bCs/>
        </w:rPr>
      </w:pPr>
      <w:r w:rsidRPr="0099335D">
        <w:t>In order to make this assessment, People's Choice must:</w:t>
      </w:r>
    </w:p>
    <w:p w14:paraId="1712C7E0" w14:textId="77777777" w:rsidR="00BA6584" w:rsidRPr="0099335D" w:rsidRDefault="007B0B40" w:rsidP="0099335D">
      <w:pPr>
        <w:pStyle w:val="Bulletedlist"/>
        <w:rPr>
          <w:rFonts w:eastAsia="Calibri"/>
        </w:rPr>
      </w:pPr>
      <w:r w:rsidRPr="007B0B40">
        <w:rPr>
          <w:rFonts w:eastAsia="Calibri"/>
        </w:rPr>
        <w:t>make reasonable inquiries about your requirements and objectives in relation to the credit contract;</w:t>
      </w:r>
    </w:p>
    <w:p w14:paraId="468AAC79" w14:textId="77777777" w:rsidR="0099335D" w:rsidRDefault="0099335D" w:rsidP="0099335D">
      <w:pPr>
        <w:pStyle w:val="Bulletedlist"/>
        <w:numPr>
          <w:ilvl w:val="0"/>
          <w:numId w:val="0"/>
        </w:numPr>
        <w:rPr>
          <w:rFonts w:eastAsia="Calibri"/>
        </w:rPr>
      </w:pPr>
    </w:p>
    <w:p w14:paraId="51077E77" w14:textId="77777777" w:rsidR="00BA6584" w:rsidRPr="0099335D" w:rsidRDefault="007B0B40" w:rsidP="0099335D">
      <w:pPr>
        <w:pStyle w:val="Bulletedlist"/>
        <w:rPr>
          <w:rFonts w:eastAsia="Calibri"/>
        </w:rPr>
      </w:pPr>
      <w:r w:rsidRPr="007B0B40">
        <w:rPr>
          <w:rFonts w:eastAsia="Calibri"/>
        </w:rPr>
        <w:t>make reasonable inquiries about your financial situation; and</w:t>
      </w:r>
    </w:p>
    <w:p w14:paraId="278B7346" w14:textId="77777777" w:rsidR="0099335D" w:rsidRDefault="0099335D" w:rsidP="00657BEE">
      <w:pPr>
        <w:pStyle w:val="Bulletedlist"/>
        <w:numPr>
          <w:ilvl w:val="0"/>
          <w:numId w:val="0"/>
        </w:numPr>
        <w:ind w:left="284"/>
        <w:rPr>
          <w:rFonts w:eastAsia="Calibri"/>
        </w:rPr>
      </w:pPr>
    </w:p>
    <w:p w14:paraId="2BD20851" w14:textId="77777777" w:rsidR="007B0B40" w:rsidRPr="007B0B40" w:rsidRDefault="007B0B40" w:rsidP="0099335D">
      <w:pPr>
        <w:pStyle w:val="Bulletedlist"/>
        <w:rPr>
          <w:rFonts w:eastAsia="Calibri"/>
        </w:rPr>
      </w:pPr>
      <w:r w:rsidRPr="007B0B40">
        <w:rPr>
          <w:rFonts w:eastAsia="Calibri"/>
        </w:rPr>
        <w:t>take reasonable steps to verify your financial situation.</w:t>
      </w:r>
    </w:p>
    <w:p w14:paraId="3395D4A2" w14:textId="77777777" w:rsidR="007B0B40" w:rsidRPr="007B0B40" w:rsidRDefault="007B0B40" w:rsidP="007B0B40">
      <w:pPr>
        <w:spacing w:after="0"/>
        <w:rPr>
          <w:rFonts w:eastAsia="Calibri"/>
          <w:bCs w:val="0"/>
          <w:sz w:val="20"/>
          <w:szCs w:val="20"/>
        </w:rPr>
      </w:pPr>
    </w:p>
    <w:p w14:paraId="160B1017" w14:textId="77777777" w:rsidR="007B0B40" w:rsidRPr="007B0B40" w:rsidRDefault="007B0B40" w:rsidP="0099335D">
      <w:pPr>
        <w:pStyle w:val="Bodycopy"/>
        <w:rPr>
          <w:bCs/>
        </w:rPr>
      </w:pPr>
      <w:r w:rsidRPr="007B0B40">
        <w:t>Obtaining this information helps People's Choice get a reasonable understanding of your need for credit as well as your ability to meet all the repayments, fees, charges and transactions associated with the proposed credit contract.</w:t>
      </w:r>
    </w:p>
    <w:p w14:paraId="4174EF8A" w14:textId="77777777" w:rsidR="007B0B40" w:rsidRDefault="007B0B40" w:rsidP="0099335D">
      <w:pPr>
        <w:pStyle w:val="Bodycopy"/>
        <w:rPr>
          <w:bCs/>
        </w:rPr>
      </w:pPr>
      <w:r w:rsidRPr="007B0B40">
        <w:t>The extent of the inquiries People's Choice undertakes will depend on individual circumstances.</w:t>
      </w:r>
    </w:p>
    <w:p w14:paraId="3E1648EA" w14:textId="77777777" w:rsidR="00BA6584" w:rsidRDefault="00BA6584" w:rsidP="007B0B40">
      <w:pPr>
        <w:spacing w:after="0"/>
        <w:rPr>
          <w:rFonts w:eastAsia="Calibri"/>
          <w:bCs w:val="0"/>
          <w:sz w:val="20"/>
          <w:szCs w:val="20"/>
        </w:rPr>
      </w:pPr>
    </w:p>
    <w:p w14:paraId="77F8134B" w14:textId="77777777" w:rsidR="007B0B40" w:rsidRPr="00A75C26" w:rsidRDefault="007B0B40" w:rsidP="00331457">
      <w:pPr>
        <w:pStyle w:val="Heading2"/>
        <w:rPr>
          <w:rFonts w:eastAsia="Arial"/>
          <w:lang w:val="en-US"/>
        </w:rPr>
      </w:pPr>
      <w:r w:rsidRPr="00A75C26">
        <w:rPr>
          <w:rFonts w:eastAsia="Arial"/>
          <w:lang w:val="en-US"/>
        </w:rPr>
        <w:t>Your right to receive a copy of the credit suitability assessment</w:t>
      </w:r>
    </w:p>
    <w:p w14:paraId="03091FBB" w14:textId="77777777" w:rsidR="007B0B40" w:rsidRPr="007B0B40" w:rsidRDefault="007B0B40" w:rsidP="0099335D">
      <w:pPr>
        <w:pStyle w:val="Bodycopy"/>
        <w:rPr>
          <w:bCs/>
        </w:rPr>
      </w:pPr>
      <w:r w:rsidRPr="007B0B40">
        <w:t>You have the right to request a copy of the suitability assessment. You may request a copy of the credit assessment up to seven years after the date on which you enter into the credit contract. You are only entitled to receive a copy of your assessment if your loan is approved.</w:t>
      </w:r>
    </w:p>
    <w:p w14:paraId="1013099A" w14:textId="77777777" w:rsidR="007B0B40" w:rsidRPr="007B0B40" w:rsidRDefault="007B0B40" w:rsidP="0099335D">
      <w:pPr>
        <w:pStyle w:val="Bodycopy"/>
        <w:rPr>
          <w:bCs/>
        </w:rPr>
      </w:pPr>
      <w:r w:rsidRPr="007B0B40">
        <w:t xml:space="preserve">Under the provisions of the </w:t>
      </w:r>
      <w:r w:rsidRPr="007B0B40">
        <w:rPr>
          <w:i/>
        </w:rPr>
        <w:t>Privacy Act 1988 (Cth</w:t>
      </w:r>
      <w:r w:rsidRPr="007B0B40">
        <w:t>), you have other rights to access personal information collected about you by People's Choice on behalf of Chief Executive Officer (Housing).</w:t>
      </w:r>
    </w:p>
    <w:p w14:paraId="4564030F" w14:textId="77777777" w:rsidR="007B0B40" w:rsidRPr="00A75C26" w:rsidRDefault="007B0B40" w:rsidP="00331457">
      <w:pPr>
        <w:pStyle w:val="Heading2"/>
        <w:rPr>
          <w:rFonts w:eastAsia="Arial"/>
          <w:lang w:val="en-US"/>
        </w:rPr>
      </w:pPr>
      <w:r w:rsidRPr="00A75C26">
        <w:rPr>
          <w:rFonts w:eastAsia="Arial"/>
          <w:lang w:val="en-US"/>
        </w:rPr>
        <w:t>Lodging a complaint</w:t>
      </w:r>
    </w:p>
    <w:p w14:paraId="28D62414" w14:textId="77777777" w:rsidR="007B0B40" w:rsidRPr="007B0B40" w:rsidRDefault="007B0B40" w:rsidP="0099335D">
      <w:pPr>
        <w:pStyle w:val="Bodycopy"/>
        <w:rPr>
          <w:bCs/>
        </w:rPr>
      </w:pPr>
      <w:r w:rsidRPr="007B0B40">
        <w:t>Chief Executive Officer (Housing) and People's Choice are proud of the quality service they provide to Territorians. If you find reason to be dissatisfied with any of Chief Executive Officer (Housing)’s products or People’s Choice’s services, we need to know so the problem can be addressed.</w:t>
      </w:r>
    </w:p>
    <w:p w14:paraId="3A32CDA3" w14:textId="77777777" w:rsidR="007B0B40" w:rsidRPr="007B0B40" w:rsidRDefault="007B0B40" w:rsidP="0099335D">
      <w:pPr>
        <w:pStyle w:val="Bodycopy"/>
        <w:rPr>
          <w:bCs/>
        </w:rPr>
      </w:pPr>
      <w:r w:rsidRPr="007B0B40">
        <w:t>Chief Executive Officer (Housing) has a complaints and dispute resolution process in place. The process is designed to deal promptly and fairly with complaints that are not able to be resolved satisfactorily by the officer dealing with them.</w:t>
      </w:r>
    </w:p>
    <w:p w14:paraId="4A07ACCC" w14:textId="77777777" w:rsidR="007B0B40" w:rsidRPr="007B0B40" w:rsidRDefault="007B0B40" w:rsidP="0099335D">
      <w:pPr>
        <w:pStyle w:val="Bodycopy"/>
        <w:rPr>
          <w:bCs/>
        </w:rPr>
      </w:pPr>
      <w:r w:rsidRPr="007B0B40">
        <w:t>Please tell us if you have a complaint or feedback by following the steps outlined below. Feedback to Chief Executive Officer (Housing) or its agent, People's Choice, is a valuable way to help improve our products and procedures. Call us if you have a problem or if you think the service to you can be improved.</w:t>
      </w:r>
    </w:p>
    <w:p w14:paraId="237CEBFF" w14:textId="77777777" w:rsidR="007B0B40" w:rsidRPr="00A75C26" w:rsidRDefault="007B0B40" w:rsidP="00331457">
      <w:pPr>
        <w:pStyle w:val="Heading2"/>
        <w:rPr>
          <w:rFonts w:eastAsia="Arial"/>
          <w:lang w:val="en-US"/>
        </w:rPr>
      </w:pPr>
      <w:r w:rsidRPr="00A75C26">
        <w:rPr>
          <w:rFonts w:eastAsia="Arial"/>
          <w:lang w:val="en-US"/>
        </w:rPr>
        <w:t>Origin of the complaint</w:t>
      </w:r>
    </w:p>
    <w:p w14:paraId="0A765FF8" w14:textId="77777777" w:rsidR="007B0B40" w:rsidRPr="007B0B40" w:rsidRDefault="007B0B40" w:rsidP="0099335D">
      <w:pPr>
        <w:pStyle w:val="Bodycopy"/>
        <w:rPr>
          <w:bCs/>
        </w:rPr>
      </w:pPr>
      <w:r w:rsidRPr="007B0B40">
        <w:t>The complaints process covers both Chief Executive Officer (Housing)’s products and People's Choice’s services including:</w:t>
      </w:r>
    </w:p>
    <w:p w14:paraId="7A4C67C2" w14:textId="77777777" w:rsidR="007B0B40" w:rsidRPr="0099335D" w:rsidRDefault="007B0B40" w:rsidP="0099335D">
      <w:pPr>
        <w:pStyle w:val="Bulletedlist"/>
        <w:rPr>
          <w:rFonts w:eastAsia="Calibri"/>
        </w:rPr>
      </w:pPr>
      <w:r w:rsidRPr="007B0B40">
        <w:rPr>
          <w:rFonts w:eastAsia="Calibri"/>
        </w:rPr>
        <w:t>Chief Ex</w:t>
      </w:r>
      <w:r w:rsidRPr="0099335D">
        <w:rPr>
          <w:rFonts w:eastAsia="Calibri"/>
        </w:rPr>
        <w:t>ecutive Officer (Housing)’s loan products;</w:t>
      </w:r>
    </w:p>
    <w:p w14:paraId="6035864B" w14:textId="77777777" w:rsidR="00331457" w:rsidRPr="0099335D" w:rsidRDefault="00331457" w:rsidP="00657BEE">
      <w:pPr>
        <w:pStyle w:val="Bulletedlist"/>
        <w:numPr>
          <w:ilvl w:val="0"/>
          <w:numId w:val="0"/>
        </w:numPr>
        <w:ind w:left="284"/>
        <w:rPr>
          <w:rFonts w:eastAsia="Calibri"/>
        </w:rPr>
      </w:pPr>
    </w:p>
    <w:p w14:paraId="006DDF2A" w14:textId="77777777" w:rsidR="007B0B40" w:rsidRPr="0099335D" w:rsidRDefault="007B0B40" w:rsidP="0099335D">
      <w:pPr>
        <w:pStyle w:val="Bulletedlist"/>
        <w:rPr>
          <w:rFonts w:eastAsia="Calibri"/>
        </w:rPr>
      </w:pPr>
      <w:r w:rsidRPr="0099335D">
        <w:rPr>
          <w:rFonts w:eastAsia="Calibri"/>
        </w:rPr>
        <w:t>People’s Choice’s provision of services in the assessment of applications for credit and on-going management of loans; and</w:t>
      </w:r>
    </w:p>
    <w:p w14:paraId="121701A9" w14:textId="77777777" w:rsidR="00331457" w:rsidRPr="0099335D" w:rsidRDefault="00331457" w:rsidP="00657BEE">
      <w:pPr>
        <w:pStyle w:val="Bulletedlist"/>
        <w:numPr>
          <w:ilvl w:val="0"/>
          <w:numId w:val="0"/>
        </w:numPr>
        <w:ind w:left="284"/>
        <w:rPr>
          <w:rFonts w:eastAsia="Calibri"/>
        </w:rPr>
      </w:pPr>
    </w:p>
    <w:p w14:paraId="17A77B1A" w14:textId="77777777" w:rsidR="007B0B40" w:rsidRPr="00331457" w:rsidRDefault="007B0B40" w:rsidP="0099335D">
      <w:pPr>
        <w:pStyle w:val="Bulletedlist"/>
        <w:rPr>
          <w:rFonts w:eastAsia="Calibri"/>
        </w:rPr>
      </w:pPr>
      <w:r w:rsidRPr="0099335D">
        <w:rPr>
          <w:rFonts w:eastAsia="Calibri"/>
        </w:rPr>
        <w:t>concerns as to privacy issues consistent with the Information Act 2002 for Chief Executive Officer (Housin</w:t>
      </w:r>
      <w:r w:rsidRPr="007B0B40">
        <w:rPr>
          <w:rFonts w:eastAsia="Calibri"/>
        </w:rPr>
        <w:t xml:space="preserve">g) and the </w:t>
      </w:r>
      <w:r w:rsidRPr="007B0B40">
        <w:rPr>
          <w:rFonts w:eastAsia="Calibri"/>
          <w:i/>
        </w:rPr>
        <w:t>Privacy Act 1988</w:t>
      </w:r>
      <w:r w:rsidRPr="007B0B40">
        <w:rPr>
          <w:rFonts w:eastAsia="Calibri"/>
        </w:rPr>
        <w:t xml:space="preserve"> for People’s Choice.</w:t>
      </w:r>
    </w:p>
    <w:p w14:paraId="0F2A5719" w14:textId="77777777" w:rsidR="007B0B40" w:rsidRPr="00A75C26" w:rsidRDefault="007B0B40" w:rsidP="00331457">
      <w:pPr>
        <w:pStyle w:val="Heading2"/>
        <w:rPr>
          <w:rFonts w:eastAsia="Arial"/>
          <w:lang w:val="en-US"/>
        </w:rPr>
      </w:pPr>
      <w:r w:rsidRPr="00A75C26">
        <w:rPr>
          <w:rFonts w:eastAsia="Arial"/>
          <w:lang w:val="en-US"/>
        </w:rPr>
        <w:t>What to do if you have a complaint</w:t>
      </w:r>
    </w:p>
    <w:p w14:paraId="665C1037" w14:textId="77777777" w:rsidR="007B0B40" w:rsidRPr="00A75C26" w:rsidRDefault="007B0B40" w:rsidP="0099335D">
      <w:pPr>
        <w:pStyle w:val="Heading3"/>
        <w:rPr>
          <w:rFonts w:eastAsia="Arial"/>
          <w:lang w:val="en-US"/>
        </w:rPr>
      </w:pPr>
      <w:r w:rsidRPr="00A75C26">
        <w:rPr>
          <w:rFonts w:eastAsia="Arial"/>
          <w:lang w:val="en-US"/>
        </w:rPr>
        <w:t>Step one</w:t>
      </w:r>
    </w:p>
    <w:p w14:paraId="74E70407" w14:textId="77777777" w:rsidR="007B0B40" w:rsidRPr="007B0B40" w:rsidRDefault="007B0B40" w:rsidP="0099335D">
      <w:pPr>
        <w:pStyle w:val="Bodycopy"/>
        <w:rPr>
          <w:bCs/>
        </w:rPr>
      </w:pPr>
      <w:r w:rsidRPr="007B0B40">
        <w:t xml:space="preserve">Contact People’s Choice’s Call Centre on </w:t>
      </w:r>
      <w:r w:rsidR="00BA6584">
        <w:t xml:space="preserve">13 11 82 </w:t>
      </w:r>
      <w:r w:rsidRPr="007B0B40">
        <w:t xml:space="preserve"> or visit your local People’s Choice Branch and they may be able to resolve your complaint on the spot. If they are unable to resolve it immediately, then they will seek to resolve your complaint within </w:t>
      </w:r>
      <w:r w:rsidR="00BA6584">
        <w:t>30</w:t>
      </w:r>
      <w:r w:rsidRPr="007B0B40">
        <w:t xml:space="preserve"> days.</w:t>
      </w:r>
    </w:p>
    <w:p w14:paraId="5D92743B" w14:textId="77777777" w:rsidR="007B0B40" w:rsidRPr="007B0B40" w:rsidRDefault="007B0B40" w:rsidP="0099335D">
      <w:pPr>
        <w:pStyle w:val="Bodycopy"/>
        <w:rPr>
          <w:bCs/>
        </w:rPr>
      </w:pPr>
    </w:p>
    <w:p w14:paraId="5681E6A8" w14:textId="77777777" w:rsidR="007B0B40" w:rsidRDefault="007B0B40" w:rsidP="0099335D">
      <w:pPr>
        <w:pStyle w:val="Bodycopy"/>
        <w:rPr>
          <w:bCs/>
        </w:rPr>
      </w:pPr>
      <w:r w:rsidRPr="007B0B40">
        <w:lastRenderedPageBreak/>
        <w:t xml:space="preserve">If you are not satisfied with the result or People’s Choice is not able to resolve your complaint, advise the officer you have been dealing with how you would like the matter resolved. People’s Choice will refer the complaint to their </w:t>
      </w:r>
      <w:r w:rsidR="00BA6584">
        <w:t>Member Response</w:t>
      </w:r>
      <w:r w:rsidRPr="007B0B40">
        <w:t xml:space="preserve"> Department (</w:t>
      </w:r>
      <w:r w:rsidR="00BA6584">
        <w:t>memberresponse@peopleschoice.</w:t>
      </w:r>
      <w:r w:rsidRPr="007B0B40">
        <w:t>com.au) who are responsible for monitoring complaints in relation to Chief Executive Officer (Housing)’s products and services.</w:t>
      </w:r>
    </w:p>
    <w:p w14:paraId="507A9219" w14:textId="77777777" w:rsidR="007B0B40" w:rsidRPr="00A75C26" w:rsidRDefault="007B0B40" w:rsidP="00657BEE">
      <w:pPr>
        <w:pStyle w:val="Heading3"/>
        <w:rPr>
          <w:rFonts w:eastAsia="Arial"/>
          <w:lang w:val="en-US"/>
        </w:rPr>
      </w:pPr>
      <w:r w:rsidRPr="00A75C26">
        <w:rPr>
          <w:rFonts w:eastAsia="Arial"/>
          <w:lang w:val="en-US"/>
        </w:rPr>
        <w:t>Step two</w:t>
      </w:r>
    </w:p>
    <w:p w14:paraId="0943A579" w14:textId="77777777" w:rsidR="00BA6584" w:rsidRDefault="007B0B40" w:rsidP="0099335D">
      <w:pPr>
        <w:pStyle w:val="Bodycopy"/>
        <w:rPr>
          <w:bCs/>
        </w:rPr>
      </w:pPr>
      <w:r w:rsidRPr="007B0B40">
        <w:t xml:space="preserve">Once your complaint has been referred to People’s Choice’s Service Quality Department, a formal response will generally be issued within </w:t>
      </w:r>
      <w:r w:rsidR="00BA6584">
        <w:t xml:space="preserve">five </w:t>
      </w:r>
      <w:r w:rsidRPr="007B0B40">
        <w:t xml:space="preserve">days. </w:t>
      </w:r>
    </w:p>
    <w:p w14:paraId="032FC503" w14:textId="77777777" w:rsidR="00BA6584" w:rsidRDefault="00BA6584" w:rsidP="0099335D">
      <w:pPr>
        <w:pStyle w:val="Bodycopy"/>
        <w:rPr>
          <w:bCs/>
        </w:rPr>
      </w:pPr>
      <w:r>
        <w:t xml:space="preserve">Whilst People’s Choice will endeavour to resolve your complaint within 30 days, should the matter still not be resolved to your satisfaction, then you can request to have your complaint reviewed by Chief Executive Officer (Housing).  </w:t>
      </w:r>
    </w:p>
    <w:p w14:paraId="5AA5C474" w14:textId="77777777" w:rsidR="00BA6584" w:rsidRDefault="00BA6584" w:rsidP="0099335D">
      <w:pPr>
        <w:pStyle w:val="Bodycopy"/>
        <w:rPr>
          <w:bCs/>
        </w:rPr>
      </w:pPr>
      <w:r>
        <w:t xml:space="preserve">Chief Executive Officer (Housing) will contact you within three working days after receiving your </w:t>
      </w:r>
      <w:r w:rsidR="009B010C">
        <w:t>complaint</w:t>
      </w:r>
      <w:r>
        <w:t xml:space="preserve"> from People’s Choice, and will gather all the necessary information.  Chief Executive Officer (Housing) will keep you informed of the progress of the review of your dispute at least every 10 working days.   In most cases a decision will be given within 15 working </w:t>
      </w:r>
      <w:r w:rsidR="0099335D">
        <w:t>days.</w:t>
      </w:r>
    </w:p>
    <w:p w14:paraId="246E711C" w14:textId="77777777" w:rsidR="007B0B40" w:rsidRPr="00A75C26" w:rsidRDefault="007B0B40" w:rsidP="00657BEE">
      <w:pPr>
        <w:pStyle w:val="Heading3"/>
        <w:rPr>
          <w:rFonts w:eastAsia="Arial"/>
          <w:lang w:val="en-US"/>
        </w:rPr>
      </w:pPr>
      <w:r w:rsidRPr="00A75C26">
        <w:rPr>
          <w:rFonts w:eastAsia="Arial"/>
          <w:lang w:val="en-US"/>
        </w:rPr>
        <w:t>Step three</w:t>
      </w:r>
    </w:p>
    <w:p w14:paraId="3BF5F6EB" w14:textId="77777777" w:rsidR="009B010C" w:rsidRDefault="007B0B40" w:rsidP="0099335D">
      <w:pPr>
        <w:pStyle w:val="Bodycopy"/>
        <w:rPr>
          <w:bCs/>
        </w:rPr>
      </w:pPr>
      <w:r w:rsidRPr="007B0B40">
        <w:t xml:space="preserve">Chief Executive Officer (Housing) is not required to be a member of an external dispute resolution scheme. </w:t>
      </w:r>
    </w:p>
    <w:p w14:paraId="660E749A" w14:textId="77777777" w:rsidR="007B0B40" w:rsidRPr="007B0B40" w:rsidRDefault="009B010C" w:rsidP="0099335D">
      <w:pPr>
        <w:pStyle w:val="Bodycopy"/>
        <w:rPr>
          <w:bCs/>
        </w:rPr>
      </w:pPr>
      <w:r>
        <w:t xml:space="preserve">If you are not satisfied with the outcome you can email Territory Families, Housing and Communities complaints department directly at </w:t>
      </w:r>
      <w:hyperlink r:id="rId8" w:history="1">
        <w:r w:rsidRPr="0032283D">
          <w:rPr>
            <w:rStyle w:val="Hyperlink"/>
            <w:sz w:val="20"/>
            <w:szCs w:val="20"/>
          </w:rPr>
          <w:t>tfhc.complaints@nt.gov.au</w:t>
        </w:r>
      </w:hyperlink>
      <w:r>
        <w:t>.</w:t>
      </w:r>
    </w:p>
    <w:p w14:paraId="539C32FA" w14:textId="77777777" w:rsidR="007B0B40" w:rsidRPr="007B0B40" w:rsidRDefault="007B0B40" w:rsidP="0099335D">
      <w:pPr>
        <w:pStyle w:val="Bodycopy"/>
        <w:rPr>
          <w:bCs/>
        </w:rPr>
      </w:pPr>
      <w:r w:rsidRPr="007B0B40">
        <w:t>Alternatively, you can go to court.  You may wish to get legal advice, for example from your community legal centre or Legal Aid.</w:t>
      </w:r>
    </w:p>
    <w:p w14:paraId="2A5C8467" w14:textId="77777777" w:rsidR="007B0B40" w:rsidRPr="0099335D" w:rsidRDefault="007B0B40" w:rsidP="0099335D">
      <w:pPr>
        <w:pStyle w:val="Bodycopy"/>
        <w:rPr>
          <w:bCs/>
        </w:rPr>
      </w:pPr>
      <w:r w:rsidRPr="0099335D">
        <w:t xml:space="preserve">You can also contact ASIC, the regulator, for information on 1300 300 630 or through ASIC’s website at </w:t>
      </w:r>
      <w:hyperlink r:id="rId9" w:history="1">
        <w:r w:rsidRPr="0099335D">
          <w:rPr>
            <w:rStyle w:val="Hyperlink"/>
          </w:rPr>
          <w:t>https://asic.gov.au/for-consumers/</w:t>
        </w:r>
      </w:hyperlink>
      <w:r w:rsidRPr="0099335D">
        <w:t xml:space="preserve">. </w:t>
      </w:r>
    </w:p>
    <w:p w14:paraId="3A502641" w14:textId="77777777" w:rsidR="007B0B40" w:rsidRPr="00A75C26" w:rsidRDefault="007B0B40" w:rsidP="00331457">
      <w:pPr>
        <w:pStyle w:val="Heading2"/>
        <w:rPr>
          <w:rFonts w:eastAsia="Arial"/>
          <w:lang w:val="en-US"/>
        </w:rPr>
      </w:pPr>
      <w:r w:rsidRPr="00A75C26">
        <w:rPr>
          <w:rFonts w:eastAsia="Arial"/>
          <w:lang w:val="en-US"/>
        </w:rPr>
        <w:t>Updating this credit guide</w:t>
      </w:r>
    </w:p>
    <w:p w14:paraId="2FD8665A" w14:textId="77777777" w:rsidR="007B0B40" w:rsidRPr="007B0B40" w:rsidRDefault="007B0B40" w:rsidP="0099335D">
      <w:pPr>
        <w:pStyle w:val="Bodycopy"/>
        <w:rPr>
          <w:bCs/>
        </w:rPr>
      </w:pPr>
      <w:r w:rsidRPr="007B0B40">
        <w:t xml:space="preserve">All details are current as at the date this credit guide was published. Chief Executive Officer (Housing) will publish minor changes at </w:t>
      </w:r>
      <w:hyperlink r:id="rId10" w:history="1">
        <w:r>
          <w:rPr>
            <w:rStyle w:val="Hyperlink"/>
            <w:sz w:val="20"/>
            <w:szCs w:val="20"/>
          </w:rPr>
          <w:t>https://nt.gov.au/homebuild-access</w:t>
        </w:r>
      </w:hyperlink>
      <w:r w:rsidRPr="007B0B40">
        <w:t xml:space="preserve"> and update the credit guide if there are any material changes adverse to borrowers.</w:t>
      </w:r>
    </w:p>
    <w:p w14:paraId="1BDB6343" w14:textId="77777777" w:rsidR="007B0B40" w:rsidRPr="00A75C26" w:rsidRDefault="007B0B40" w:rsidP="00331457">
      <w:pPr>
        <w:pStyle w:val="Heading2"/>
        <w:rPr>
          <w:rFonts w:eastAsia="Arial"/>
          <w:lang w:val="en-US"/>
        </w:rPr>
      </w:pPr>
      <w:r w:rsidRPr="00A75C26">
        <w:rPr>
          <w:rFonts w:eastAsia="Arial"/>
          <w:lang w:val="en-US"/>
        </w:rPr>
        <w:t>More information</w:t>
      </w:r>
    </w:p>
    <w:p w14:paraId="4A7BCFA4" w14:textId="77777777" w:rsidR="0099335D" w:rsidRPr="0099335D" w:rsidRDefault="007B0B40" w:rsidP="0099335D">
      <w:pPr>
        <w:pStyle w:val="Bodycopy"/>
        <w:rPr>
          <w:rStyle w:val="Hyperlink"/>
        </w:rPr>
      </w:pPr>
      <w:r w:rsidRPr="0099335D">
        <w:t xml:space="preserve">For enquiries regarding Chief Executive Officer (Housing)’s loan initiatives, call People’s Choice on </w:t>
      </w:r>
      <w:r w:rsidR="009B010C" w:rsidRPr="0099335D">
        <w:t xml:space="preserve"> 13 11 82 </w:t>
      </w:r>
      <w:r w:rsidRPr="0099335D">
        <w:t xml:space="preserve"> or look us up online at </w:t>
      </w:r>
      <w:hyperlink r:id="rId11" w:history="1">
        <w:r w:rsidRPr="0099335D">
          <w:rPr>
            <w:rStyle w:val="Hyperlink"/>
          </w:rPr>
          <w:t>https://nt.gov.au/</w:t>
        </w:r>
      </w:hyperlink>
    </w:p>
    <w:p w14:paraId="17F7A243" w14:textId="77777777" w:rsidR="0096748F" w:rsidRPr="003B563F" w:rsidRDefault="0096748F" w:rsidP="0096748F">
      <w:pPr>
        <w:spacing w:after="0"/>
        <w:rPr>
          <w:sz w:val="14"/>
        </w:rPr>
      </w:pPr>
      <w:r w:rsidRPr="00FE2B7A">
        <w:rPr>
          <w:sz w:val="14"/>
        </w:rPr>
        <w:t xml:space="preserve">People’s Choice Credit Union (“People’s Choice”), </w:t>
      </w:r>
      <w:r w:rsidRPr="00B964D2">
        <w:rPr>
          <w:sz w:val="14"/>
        </w:rPr>
        <w:t xml:space="preserve">a trading name of </w:t>
      </w:r>
      <w:r w:rsidRPr="00FE2B7A">
        <w:rPr>
          <w:sz w:val="14"/>
        </w:rPr>
        <w:t xml:space="preserve">Heritage and People’s Choice </w:t>
      </w:r>
      <w:r w:rsidRPr="00B964D2">
        <w:rPr>
          <w:sz w:val="14"/>
        </w:rPr>
        <w:t>Ltd ABN 11 087 651 125, Australian Financial Services Licence 244310 and Australian Credit Licence 244310.  Pursuant to the Territory Insurance Office (Sale) Act 2014 (NT), People’s Choice is the successor in law to the Territory Insurance Office in respect of its banking business.  People’s Choice has replaced TIO as agent for Chief Executive Officer (Housing). People’s Choice is authorised to use the TIO mark under licence from Allianz Australia Insurance Limited.</w:t>
      </w:r>
    </w:p>
    <w:p w14:paraId="60BB66FF" w14:textId="77777777" w:rsidR="00F63F94" w:rsidRDefault="00F63F94" w:rsidP="008E5898"/>
    <w:sectPr w:rsidR="00F63F94" w:rsidSect="007B0B40">
      <w:headerReference w:type="even" r:id="rId12"/>
      <w:headerReference w:type="default" r:id="rId13"/>
      <w:footerReference w:type="even" r:id="rId14"/>
      <w:footerReference w:type="default" r:id="rId15"/>
      <w:headerReference w:type="first" r:id="rId16"/>
      <w:footerReference w:type="first" r:id="rId17"/>
      <w:pgSz w:w="11906" w:h="16838"/>
      <w:pgMar w:top="1701" w:right="849" w:bottom="992" w:left="1418" w:header="709"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FF84" w14:textId="77777777" w:rsidR="00164682" w:rsidRDefault="00164682" w:rsidP="007A4584">
      <w:pPr>
        <w:spacing w:after="0"/>
      </w:pPr>
      <w:r>
        <w:separator/>
      </w:r>
    </w:p>
  </w:endnote>
  <w:endnote w:type="continuationSeparator" w:id="0">
    <w:p w14:paraId="08C9D87A" w14:textId="77777777" w:rsidR="00164682" w:rsidRDefault="00164682" w:rsidP="007A4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7F1D" w14:textId="77777777" w:rsidR="00B829D1" w:rsidRDefault="00B82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E711" w14:textId="619CCB79" w:rsidR="003450D0" w:rsidRPr="00657BEE" w:rsidRDefault="008223AE">
    <w:pPr>
      <w:pStyle w:val="Footer"/>
      <w:rPr>
        <w:rFonts w:ascii="Lato" w:hAnsi="Lato"/>
      </w:rPr>
    </w:pPr>
    <w:r w:rsidRPr="00657BEE">
      <w:rPr>
        <w:rFonts w:ascii="Lato" w:hAnsi="Lato" w:cs="Arial"/>
        <w:noProof/>
      </w:rPr>
      <mc:AlternateContent>
        <mc:Choice Requires="wps">
          <w:drawing>
            <wp:anchor distT="45720" distB="45720" distL="114300" distR="114300" simplePos="0" relativeHeight="251665408" behindDoc="0" locked="0" layoutInCell="1" allowOverlap="1" wp14:anchorId="68884A03" wp14:editId="4F8C555E">
              <wp:simplePos x="0" y="0"/>
              <wp:positionH relativeFrom="margin">
                <wp:align>right</wp:align>
              </wp:positionH>
              <wp:positionV relativeFrom="paragraph">
                <wp:posOffset>-219075</wp:posOffset>
              </wp:positionV>
              <wp:extent cx="1724025" cy="596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96900"/>
                      </a:xfrm>
                      <a:prstGeom prst="rect">
                        <a:avLst/>
                      </a:prstGeom>
                      <a:solidFill>
                        <a:srgbClr val="FFFFFF"/>
                      </a:solidFill>
                      <a:ln w="9525">
                        <a:noFill/>
                        <a:miter lim="800000"/>
                        <a:headEnd/>
                        <a:tailEnd/>
                      </a:ln>
                    </wps:spPr>
                    <wps:txbx>
                      <w:txbxContent>
                        <w:p w14:paraId="5370B98B" w14:textId="77777777" w:rsidR="008223AE" w:rsidRDefault="008223AE" w:rsidP="008223AE">
                          <w:pPr>
                            <w:ind w:left="567"/>
                          </w:pPr>
                          <w:r>
                            <w:rPr>
                              <w:noProof/>
                              <w:lang w:eastAsia="en-AU"/>
                            </w:rPr>
                            <w:drawing>
                              <wp:inline distT="0" distB="0" distL="0" distR="0" wp14:anchorId="7F6A85A6" wp14:editId="3496255F">
                                <wp:extent cx="1246505" cy="537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537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84.55pt;margin-top:-17.25pt;width:135.75pt;height:4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deIAIAACIEAAAOAAAAZHJzL2Uyb0RvYy54bWysU1Fv2yAQfp+0/4B4X+xYSdtYcaouXaZJ&#10;XTep3Q/AGNtowDEgsbNfvwOnadS9TeMBcdzdx3ffHevbUStyEM5LMBWdz3JKhOHQSNNV9Mfz7sMN&#10;JT4w0zAFRlT0KDy93bx/tx5sKQroQTXCEQQxvhxsRfsQbJllnvdCMz8DKww6W3CaBTRdlzWODYiu&#10;VVbk+VU2gGusAy68x9v7yUk3Cb9tBQ/f2taLQFRFkVtIu0t7Hfdss2Zl55jtJT/RYP/AQjNp8NEz&#10;1D0LjOyd/AtKS+7AQxtmHHQGbSu5SDVgNfP8TTVPPbMi1YLieHuWyf8/WP54+O6IbCq6oMQwjS16&#10;FmMgH2EkRVRnsL7EoCeLYWHEa+xyqtTbB+A/PTGw7ZnpxJ1zMPSCNchuHjOzi9QJx0eQevgKDT7D&#10;9gES0Ng6HaVDMQiiY5eO585EKjw+eV0s8mJJCUffcnW1ylPrMla+ZFvnw2cBmsRDRR12PqGzw4MP&#10;kQ0rX0LiYx6UbHZSqWS4rt4qRw4Mp2SXVirgTZgyZKjoaok8YpaBmJ8GSMuAU6ykruhNHtc0V1GN&#10;T6ZJIYFJNZ2RiTIneaIikzZhrMfUh6RdlK6G5oh6OZiGFj8ZHnpwvykZcGAr6n/tmROUqC8GNV/N&#10;F4s44clYLK8LNNylp770MMMRqqKBkum4DelXTIXdYW9amWR7ZXKijIOY1Dx9mjjpl3aKev3amz8A&#10;AAD//wMAUEsDBBQABgAIAAAAIQAFSaQx3QAAAAcBAAAPAAAAZHJzL2Rvd25yZXYueG1sTI9BT8JA&#10;EIXvJv6HzZh4MbAFKZXSKVETjVeQHzBtl7ahO9t0F1r+veNJb/PyXt77JttNtlNXM/jWMcJiHoEy&#10;XLqq5Rrh+P0xewHlA3FFnWODcDMedvn9XUZp5Ubem+sh1EpK2KeE0ITQp1r7sjGW/Nz1hsU7ucFS&#10;EDnUuhpolHLb6WUUrbWllmWhod68N6Y8Hy4W4fQ1PsWbsfgMx2S/Wr9RmxTuhvj4ML1uQQUzhb8w&#10;/OILOuTCVLgLV151CPJIQJg9r2JQYi+ThRwFQryJQeeZ/s+f/wAAAP//AwBQSwECLQAUAAYACAAA&#10;ACEAtoM4kv4AAADhAQAAEwAAAAAAAAAAAAAAAAAAAAAAW0NvbnRlbnRfVHlwZXNdLnhtbFBLAQIt&#10;ABQABgAIAAAAIQA4/SH/1gAAAJQBAAALAAAAAAAAAAAAAAAAAC8BAABfcmVscy8ucmVsc1BLAQIt&#10;ABQABgAIAAAAIQAnfPdeIAIAACIEAAAOAAAAAAAAAAAAAAAAAC4CAABkcnMvZTJvRG9jLnhtbFBL&#10;AQItABQABgAIAAAAIQAFSaQx3QAAAAcBAAAPAAAAAAAAAAAAAAAAAHoEAABkcnMvZG93bnJldi54&#10;bWxQSwUGAAAAAAQABADzAAAAhAUAAAAA&#10;" stroked="f">
              <v:textbox>
                <w:txbxContent>
                  <w:p w:rsidR="008223AE" w:rsidRDefault="008223AE" w:rsidP="008223AE">
                    <w:pPr>
                      <w:ind w:left="567"/>
                    </w:pPr>
                    <w:r>
                      <w:rPr>
                        <w:noProof/>
                        <w:lang w:eastAsia="en-AU"/>
                      </w:rPr>
                      <w:drawing>
                        <wp:inline distT="0" distB="0" distL="0" distR="0" wp14:anchorId="0A54D9D9" wp14:editId="74360849">
                          <wp:extent cx="1246505" cy="537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 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6505" cy="537845"/>
                                  </a:xfrm>
                                  <a:prstGeom prst="rect">
                                    <a:avLst/>
                                  </a:prstGeom>
                                </pic:spPr>
                              </pic:pic>
                            </a:graphicData>
                          </a:graphic>
                        </wp:inline>
                      </w:drawing>
                    </w:r>
                  </w:p>
                </w:txbxContent>
              </v:textbox>
              <w10:wrap type="square" anchorx="margin"/>
            </v:shape>
          </w:pict>
        </mc:Fallback>
      </mc:AlternateContent>
    </w:r>
    <w:r w:rsidR="003450D0" w:rsidRPr="00657BEE">
      <w:rPr>
        <w:rFonts w:ascii="Lato" w:hAnsi="Lato" w:cs="Arial"/>
      </w:rPr>
      <w:t>TERRITORY FAMILIES, HOUSING AND COMMUNITIES</w:t>
    </w:r>
    <w:r w:rsidR="00B829D1" w:rsidRPr="00657BEE">
      <w:rPr>
        <w:rStyle w:val="PageNumber"/>
        <w:sz w:val="20"/>
      </w:rPr>
      <w:t xml:space="preserve">  Page </w:t>
    </w:r>
    <w:r w:rsidR="00B829D1" w:rsidRPr="00657BEE">
      <w:rPr>
        <w:rStyle w:val="PageNumber"/>
        <w:sz w:val="20"/>
      </w:rPr>
      <w:fldChar w:fldCharType="begin"/>
    </w:r>
    <w:r w:rsidR="00B829D1" w:rsidRPr="00657BEE">
      <w:rPr>
        <w:rStyle w:val="PageNumber"/>
        <w:sz w:val="20"/>
      </w:rPr>
      <w:instrText xml:space="preserve"> PAGE  \* Arabic  \* MERGEFORMAT </w:instrText>
    </w:r>
    <w:r w:rsidR="00B829D1" w:rsidRPr="00657BEE">
      <w:rPr>
        <w:rStyle w:val="PageNumber"/>
        <w:sz w:val="20"/>
      </w:rPr>
      <w:fldChar w:fldCharType="separate"/>
    </w:r>
    <w:r w:rsidR="006119EC">
      <w:rPr>
        <w:rStyle w:val="PageNumber"/>
        <w:noProof/>
        <w:sz w:val="20"/>
      </w:rPr>
      <w:t>3</w:t>
    </w:r>
    <w:r w:rsidR="00B829D1" w:rsidRPr="00657BEE">
      <w:rPr>
        <w:rStyle w:val="PageNumber"/>
        <w:sz w:val="20"/>
      </w:rPr>
      <w:fldChar w:fldCharType="end"/>
    </w:r>
    <w:r w:rsidR="00B829D1" w:rsidRPr="00657BEE">
      <w:rPr>
        <w:rStyle w:val="PageNumber"/>
        <w:sz w:val="20"/>
      </w:rPr>
      <w:t xml:space="preserve"> of </w:t>
    </w:r>
    <w:r w:rsidR="00B829D1" w:rsidRPr="00657BEE">
      <w:rPr>
        <w:rStyle w:val="PageNumber"/>
        <w:sz w:val="20"/>
      </w:rPr>
      <w:fldChar w:fldCharType="begin"/>
    </w:r>
    <w:r w:rsidR="00B829D1" w:rsidRPr="00657BEE">
      <w:rPr>
        <w:rStyle w:val="PageNumber"/>
        <w:sz w:val="20"/>
      </w:rPr>
      <w:instrText xml:space="preserve"> NUMPAGES  \* Arabic  \* MERGEFORMAT </w:instrText>
    </w:r>
    <w:r w:rsidR="00B829D1" w:rsidRPr="00657BEE">
      <w:rPr>
        <w:rStyle w:val="PageNumber"/>
        <w:sz w:val="20"/>
      </w:rPr>
      <w:fldChar w:fldCharType="separate"/>
    </w:r>
    <w:r w:rsidR="006119EC">
      <w:rPr>
        <w:rStyle w:val="PageNumber"/>
        <w:noProof/>
        <w:sz w:val="20"/>
      </w:rPr>
      <w:t>3</w:t>
    </w:r>
    <w:r w:rsidR="00B829D1" w:rsidRPr="00657BE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6C92" w14:textId="6534A8D3" w:rsidR="00F63F94" w:rsidRPr="00657BEE" w:rsidRDefault="008223AE" w:rsidP="00DF03F5">
    <w:pPr>
      <w:pStyle w:val="Footer"/>
      <w:rPr>
        <w:rFonts w:ascii="Lato" w:hAnsi="Lato"/>
        <w:bCs/>
        <w:lang w:val="en"/>
      </w:rPr>
    </w:pPr>
    <w:r w:rsidRPr="00657BEE">
      <w:rPr>
        <w:rStyle w:val="PageNumber"/>
        <w:noProof/>
        <w:sz w:val="20"/>
      </w:rPr>
      <mc:AlternateContent>
        <mc:Choice Requires="wps">
          <w:drawing>
            <wp:anchor distT="45720" distB="45720" distL="114300" distR="114300" simplePos="0" relativeHeight="251663360" behindDoc="0" locked="0" layoutInCell="1" allowOverlap="1" wp14:anchorId="42C0178A" wp14:editId="5E53E478">
              <wp:simplePos x="0" y="0"/>
              <wp:positionH relativeFrom="column">
                <wp:posOffset>4967605</wp:posOffset>
              </wp:positionH>
              <wp:positionV relativeFrom="paragraph">
                <wp:posOffset>-260985</wp:posOffset>
              </wp:positionV>
              <wp:extent cx="141605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638175"/>
                      </a:xfrm>
                      <a:prstGeom prst="rect">
                        <a:avLst/>
                      </a:prstGeom>
                      <a:solidFill>
                        <a:srgbClr val="FFFFFF"/>
                      </a:solidFill>
                      <a:ln w="9525">
                        <a:noFill/>
                        <a:miter lim="800000"/>
                        <a:headEnd/>
                        <a:tailEnd/>
                      </a:ln>
                    </wps:spPr>
                    <wps:txbx>
                      <w:txbxContent>
                        <w:p w14:paraId="38547685" w14:textId="77777777" w:rsidR="008223AE" w:rsidRDefault="008223AE">
                          <w:r>
                            <w:rPr>
                              <w:noProof/>
                              <w:lang w:eastAsia="en-AU"/>
                            </w:rPr>
                            <w:drawing>
                              <wp:inline distT="0" distB="0" distL="0" distR="0" wp14:anchorId="7F246EEC" wp14:editId="33C04387">
                                <wp:extent cx="1246505"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537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margin-left:391.15pt;margin-top:-20.55pt;width:111.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5HIAIAAB0EAAAOAAAAZHJzL2Uyb0RvYy54bWysU9tu2zAMfR+wfxD0vviy3GrEKbp0GQZ0&#10;F6DdB8iyHAuTRE1SYmdfP0pJ02x7G+YHQTTJw8NDanU7akUOwnkJpqbFJKdEGA6tNLuafnvavllS&#10;4gMzLVNgRE2PwtPb9etXq8FWooQeVCscQRDjq8HWtA/BVlnmeS808xOwwqCzA6dZQNPtstaxAdG1&#10;yso8n2cDuNY64MJ7/Ht/ctJ1wu86wcOXrvMiEFVT5BbS6dLZxDNbr1i1c8z2kp9psH9goZk0WPQC&#10;dc8CI3sn/4LSkjvw0IUJB51B10kuUg/YTZH/0c1jz6xIvaA43l5k8v8Pln8+fHVEtjUtiwUlhmkc&#10;0pMYA3kHIymjPoP1FYY9WgwMI/7GOadevX0A/t0TA5uemZ24cw6GXrAW+RUxM7tKPeH4CNIMn6DF&#10;MmwfIAGNndNRPJSDIDrO6XiZTaTCY8lpMc9n6OLom79dFotZKsGq52zrfPggQJN4qanD2Sd0dnjw&#10;IbJh1XNILOZByXYrlUqG2zUb5ciB4Z5s03dG/y1MGTLU9GZWzhKygZifVkjLgHuspK7pMo9fTGdV&#10;VOO9adM9MKlOd2SizFmeqMhJmzA2IwZGzRpojyiUg9O+4vvCSw/uJyUD7mpN/Y89c4IS9dGg2DfF&#10;dBqXOxnT2aJEw117mmsPMxyhahooOV03IT2IyNfAHQ6lk0mvFyZnrriDScbze4lLfm2nqJdXvf4F&#10;AAD//wMAUEsDBBQABgAIAAAAIQCb4KFL3wAAAAsBAAAPAAAAZHJzL2Rvd25yZXYueG1sTI/BToNA&#10;EIbvJr7DZky8mHahQmmRpVETjdfWPsDAToHIzhJ2W+jbuz3pcWa+/PP9xW42vbjQ6DrLCuJlBIK4&#10;trrjRsHx+2OxAeE8ssbeMim4koNdeX9XYK7txHu6HHwjQgi7HBW03g+5lK5uyaBb2oE43E52NOjD&#10;ODZSjziFcNPLVRStpcGOw4cWB3pvqf45nI2C09f0lG6n6tMfs32yfsMuq+xVqceH+fUFhKfZ/8Fw&#10;0w/qUAanyp5ZO9EryDar54AqWCRxDOJGRFEaVpWCdJuALAv5v0P5CwAA//8DAFBLAQItABQABgAI&#10;AAAAIQC2gziS/gAAAOEBAAATAAAAAAAAAAAAAAAAAAAAAABbQ29udGVudF9UeXBlc10ueG1sUEsB&#10;Ai0AFAAGAAgAAAAhADj9If/WAAAAlAEAAAsAAAAAAAAAAAAAAAAALwEAAF9yZWxzLy5yZWxzUEsB&#10;Ai0AFAAGAAgAAAAhAAMQPkcgAgAAHQQAAA4AAAAAAAAAAAAAAAAALgIAAGRycy9lMm9Eb2MueG1s&#10;UEsBAi0AFAAGAAgAAAAhAJvgoUvfAAAACwEAAA8AAAAAAAAAAAAAAAAAegQAAGRycy9kb3ducmV2&#10;LnhtbFBLBQYAAAAABAAEAPMAAACGBQAAAAA=&#10;" stroked="f">
              <v:textbox>
                <w:txbxContent>
                  <w:p w:rsidR="008223AE" w:rsidRDefault="008223AE">
                    <w:r>
                      <w:rPr>
                        <w:noProof/>
                        <w:lang w:eastAsia="en-AU"/>
                      </w:rPr>
                      <w:drawing>
                        <wp:inline distT="0" distB="0" distL="0" distR="0">
                          <wp:extent cx="1246505"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 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6505" cy="537845"/>
                                  </a:xfrm>
                                  <a:prstGeom prst="rect">
                                    <a:avLst/>
                                  </a:prstGeom>
                                </pic:spPr>
                              </pic:pic>
                            </a:graphicData>
                          </a:graphic>
                        </wp:inline>
                      </w:drawing>
                    </w:r>
                  </w:p>
                </w:txbxContent>
              </v:textbox>
              <w10:wrap type="square"/>
            </v:shape>
          </w:pict>
        </mc:Fallback>
      </mc:AlternateContent>
    </w:r>
    <w:r w:rsidR="003450D0" w:rsidRPr="00657BEE">
      <w:rPr>
        <w:rStyle w:val="PageNumber"/>
        <w:sz w:val="20"/>
      </w:rPr>
      <w:t xml:space="preserve"> TERRITORY FAMILIES, HOUSING AND COMMUNITIES</w:t>
    </w:r>
    <w:r w:rsidR="00657BEE" w:rsidRPr="00657BEE">
      <w:rPr>
        <w:rStyle w:val="PageNumber"/>
        <w:sz w:val="20"/>
      </w:rPr>
      <w:t xml:space="preserve">  </w:t>
    </w:r>
    <w:r w:rsidR="00DF03F5" w:rsidRPr="00657BEE">
      <w:rPr>
        <w:rStyle w:val="PageNumber"/>
        <w:sz w:val="20"/>
      </w:rPr>
      <w:t xml:space="preserve">Page </w:t>
    </w:r>
    <w:r w:rsidR="00DF03F5" w:rsidRPr="00657BEE">
      <w:rPr>
        <w:rStyle w:val="PageNumber"/>
        <w:sz w:val="20"/>
      </w:rPr>
      <w:fldChar w:fldCharType="begin"/>
    </w:r>
    <w:r w:rsidR="00DF03F5" w:rsidRPr="00657BEE">
      <w:rPr>
        <w:rStyle w:val="PageNumber"/>
        <w:sz w:val="20"/>
      </w:rPr>
      <w:instrText xml:space="preserve"> PAGE  \* Arabic  \* MERGEFORMAT </w:instrText>
    </w:r>
    <w:r w:rsidR="00DF03F5" w:rsidRPr="00657BEE">
      <w:rPr>
        <w:rStyle w:val="PageNumber"/>
        <w:sz w:val="20"/>
      </w:rPr>
      <w:fldChar w:fldCharType="separate"/>
    </w:r>
    <w:r w:rsidR="006119EC">
      <w:rPr>
        <w:rStyle w:val="PageNumber"/>
        <w:noProof/>
        <w:sz w:val="20"/>
      </w:rPr>
      <w:t>1</w:t>
    </w:r>
    <w:r w:rsidR="00DF03F5" w:rsidRPr="00657BEE">
      <w:rPr>
        <w:rStyle w:val="PageNumber"/>
        <w:sz w:val="20"/>
      </w:rPr>
      <w:fldChar w:fldCharType="end"/>
    </w:r>
    <w:r w:rsidR="00DF03F5" w:rsidRPr="00657BEE">
      <w:rPr>
        <w:rStyle w:val="PageNumber"/>
        <w:sz w:val="20"/>
      </w:rPr>
      <w:t xml:space="preserve"> of </w:t>
    </w:r>
    <w:r w:rsidR="00DF03F5" w:rsidRPr="00657BEE">
      <w:rPr>
        <w:rStyle w:val="PageNumber"/>
        <w:sz w:val="20"/>
      </w:rPr>
      <w:fldChar w:fldCharType="begin"/>
    </w:r>
    <w:r w:rsidR="00DF03F5" w:rsidRPr="00657BEE">
      <w:rPr>
        <w:rStyle w:val="PageNumber"/>
        <w:sz w:val="20"/>
      </w:rPr>
      <w:instrText xml:space="preserve"> NUMPAGES  \* Arabic  \* MERGEFORMAT </w:instrText>
    </w:r>
    <w:r w:rsidR="00DF03F5" w:rsidRPr="00657BEE">
      <w:rPr>
        <w:rStyle w:val="PageNumber"/>
        <w:sz w:val="20"/>
      </w:rPr>
      <w:fldChar w:fldCharType="separate"/>
    </w:r>
    <w:r w:rsidR="006119EC">
      <w:rPr>
        <w:rStyle w:val="PageNumber"/>
        <w:noProof/>
        <w:sz w:val="20"/>
      </w:rPr>
      <w:t>3</w:t>
    </w:r>
    <w:r w:rsidR="00DF03F5" w:rsidRPr="00657BEE">
      <w:rPr>
        <w:rStyle w:val="PageNumber"/>
        <w:sz w:val="20"/>
      </w:rPr>
      <w:fldChar w:fldCharType="end"/>
    </w:r>
    <w:r w:rsidR="00E26E18" w:rsidRPr="00657BEE">
      <w:rPr>
        <w:rFonts w:ascii="Lato" w:hAnsi="Lato"/>
        <w:bCs/>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B6F4" w14:textId="77777777" w:rsidR="00164682" w:rsidRDefault="00164682" w:rsidP="007A4584">
      <w:pPr>
        <w:spacing w:after="0"/>
      </w:pPr>
      <w:r>
        <w:separator/>
      </w:r>
    </w:p>
  </w:footnote>
  <w:footnote w:type="continuationSeparator" w:id="0">
    <w:p w14:paraId="39B6249F" w14:textId="77777777" w:rsidR="00164682" w:rsidRDefault="00164682" w:rsidP="007A4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D637" w14:textId="77777777" w:rsidR="00B829D1" w:rsidRDefault="00B8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4FB1" w14:textId="77777777" w:rsidR="00B829D1" w:rsidRDefault="00B82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195D" w14:textId="77777777" w:rsidR="00F63F94" w:rsidRDefault="00F63F94">
    <w:pPr>
      <w:pStyle w:val="Header"/>
    </w:pPr>
    <w:r>
      <w:rPr>
        <w:noProof/>
        <w:lang w:eastAsia="en-AU"/>
      </w:rPr>
      <w:drawing>
        <wp:anchor distT="0" distB="0" distL="114300" distR="114300" simplePos="0" relativeHeight="251661312" behindDoc="1" locked="0" layoutInCell="1" allowOverlap="1" wp14:anchorId="55B3DB40" wp14:editId="6FEF19DD">
          <wp:simplePos x="0" y="0"/>
          <wp:positionH relativeFrom="column">
            <wp:posOffset>-581025</wp:posOffset>
          </wp:positionH>
          <wp:positionV relativeFrom="paragraph">
            <wp:posOffset>-438785</wp:posOffset>
          </wp:positionV>
          <wp:extent cx="7110730" cy="20758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730" cy="207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E79"/>
    <w:multiLevelType w:val="hybridMultilevel"/>
    <w:tmpl w:val="F97E1A5E"/>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 w15:restartNumberingAfterBreak="0">
    <w:nsid w:val="0B777E6D"/>
    <w:multiLevelType w:val="hybridMultilevel"/>
    <w:tmpl w:val="D70A347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FB05AF7"/>
    <w:multiLevelType w:val="hybridMultilevel"/>
    <w:tmpl w:val="134A85DA"/>
    <w:lvl w:ilvl="0" w:tplc="A3D829D2">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E1754"/>
    <w:multiLevelType w:val="hybridMultilevel"/>
    <w:tmpl w:val="C02CF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93181"/>
    <w:multiLevelType w:val="hybridMultilevel"/>
    <w:tmpl w:val="7E700ECA"/>
    <w:lvl w:ilvl="0" w:tplc="1EC4946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845A3"/>
    <w:multiLevelType w:val="hybridMultilevel"/>
    <w:tmpl w:val="99AA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1E685C"/>
    <w:multiLevelType w:val="hybridMultilevel"/>
    <w:tmpl w:val="D97A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84"/>
    <w:rsid w:val="00004FAE"/>
    <w:rsid w:val="00025AA9"/>
    <w:rsid w:val="000550ED"/>
    <w:rsid w:val="0007041E"/>
    <w:rsid w:val="00094819"/>
    <w:rsid w:val="000D1F1A"/>
    <w:rsid w:val="000D2289"/>
    <w:rsid w:val="00100288"/>
    <w:rsid w:val="00164682"/>
    <w:rsid w:val="001678DD"/>
    <w:rsid w:val="0017280E"/>
    <w:rsid w:val="001C69D5"/>
    <w:rsid w:val="001D46A1"/>
    <w:rsid w:val="001E0A09"/>
    <w:rsid w:val="001E366C"/>
    <w:rsid w:val="00224625"/>
    <w:rsid w:val="00234BED"/>
    <w:rsid w:val="0024235B"/>
    <w:rsid w:val="00246492"/>
    <w:rsid w:val="0027042B"/>
    <w:rsid w:val="002814BA"/>
    <w:rsid w:val="002B154F"/>
    <w:rsid w:val="002B765F"/>
    <w:rsid w:val="002C3BAA"/>
    <w:rsid w:val="002E5585"/>
    <w:rsid w:val="002E7895"/>
    <w:rsid w:val="002F0794"/>
    <w:rsid w:val="003009B8"/>
    <w:rsid w:val="0031392D"/>
    <w:rsid w:val="00326F04"/>
    <w:rsid w:val="00331457"/>
    <w:rsid w:val="003450D0"/>
    <w:rsid w:val="00360888"/>
    <w:rsid w:val="00372E02"/>
    <w:rsid w:val="0037305C"/>
    <w:rsid w:val="0037309F"/>
    <w:rsid w:val="00373632"/>
    <w:rsid w:val="003A0CC3"/>
    <w:rsid w:val="003C373B"/>
    <w:rsid w:val="003F6918"/>
    <w:rsid w:val="003F753C"/>
    <w:rsid w:val="00411826"/>
    <w:rsid w:val="004366BF"/>
    <w:rsid w:val="004543A7"/>
    <w:rsid w:val="004660B2"/>
    <w:rsid w:val="00466A39"/>
    <w:rsid w:val="00467509"/>
    <w:rsid w:val="00487F97"/>
    <w:rsid w:val="004973A0"/>
    <w:rsid w:val="004B4841"/>
    <w:rsid w:val="004E7043"/>
    <w:rsid w:val="004F57FC"/>
    <w:rsid w:val="00501C36"/>
    <w:rsid w:val="0054669F"/>
    <w:rsid w:val="00562A21"/>
    <w:rsid w:val="005727FF"/>
    <w:rsid w:val="005D52B9"/>
    <w:rsid w:val="005E00B4"/>
    <w:rsid w:val="005E3DAB"/>
    <w:rsid w:val="006119EC"/>
    <w:rsid w:val="0062227E"/>
    <w:rsid w:val="00643CD4"/>
    <w:rsid w:val="00657BEE"/>
    <w:rsid w:val="006F6CED"/>
    <w:rsid w:val="007036B1"/>
    <w:rsid w:val="00746FF1"/>
    <w:rsid w:val="007539BC"/>
    <w:rsid w:val="00777646"/>
    <w:rsid w:val="00781F4B"/>
    <w:rsid w:val="007A4584"/>
    <w:rsid w:val="007B0B40"/>
    <w:rsid w:val="007B108B"/>
    <w:rsid w:val="007B4D05"/>
    <w:rsid w:val="007B697A"/>
    <w:rsid w:val="007C6958"/>
    <w:rsid w:val="007D347E"/>
    <w:rsid w:val="0080259C"/>
    <w:rsid w:val="00816223"/>
    <w:rsid w:val="008223AE"/>
    <w:rsid w:val="00832B59"/>
    <w:rsid w:val="00832C91"/>
    <w:rsid w:val="00887BD7"/>
    <w:rsid w:val="00895A95"/>
    <w:rsid w:val="008A5FCC"/>
    <w:rsid w:val="008B723F"/>
    <w:rsid w:val="008D5975"/>
    <w:rsid w:val="008E0F1B"/>
    <w:rsid w:val="008E5898"/>
    <w:rsid w:val="008F08DA"/>
    <w:rsid w:val="008F5149"/>
    <w:rsid w:val="00902C77"/>
    <w:rsid w:val="0090433B"/>
    <w:rsid w:val="0091186F"/>
    <w:rsid w:val="009649D3"/>
    <w:rsid w:val="0096748F"/>
    <w:rsid w:val="009760B3"/>
    <w:rsid w:val="009903A1"/>
    <w:rsid w:val="0099335D"/>
    <w:rsid w:val="009937BE"/>
    <w:rsid w:val="009B010C"/>
    <w:rsid w:val="009D2B4A"/>
    <w:rsid w:val="009E27B3"/>
    <w:rsid w:val="00A0032C"/>
    <w:rsid w:val="00A07EA8"/>
    <w:rsid w:val="00A10896"/>
    <w:rsid w:val="00A41666"/>
    <w:rsid w:val="00A50EC1"/>
    <w:rsid w:val="00A51C63"/>
    <w:rsid w:val="00A51E17"/>
    <w:rsid w:val="00A573EF"/>
    <w:rsid w:val="00A7247F"/>
    <w:rsid w:val="00A75C26"/>
    <w:rsid w:val="00AA281A"/>
    <w:rsid w:val="00AC4E22"/>
    <w:rsid w:val="00AC5EA4"/>
    <w:rsid w:val="00B23887"/>
    <w:rsid w:val="00B35A13"/>
    <w:rsid w:val="00B3640C"/>
    <w:rsid w:val="00B538D0"/>
    <w:rsid w:val="00B626D2"/>
    <w:rsid w:val="00B7474D"/>
    <w:rsid w:val="00B829D1"/>
    <w:rsid w:val="00BA22C3"/>
    <w:rsid w:val="00BA54CF"/>
    <w:rsid w:val="00BA6584"/>
    <w:rsid w:val="00BE4DF6"/>
    <w:rsid w:val="00BF7576"/>
    <w:rsid w:val="00C030EE"/>
    <w:rsid w:val="00C03C39"/>
    <w:rsid w:val="00C302F4"/>
    <w:rsid w:val="00C403D6"/>
    <w:rsid w:val="00C62442"/>
    <w:rsid w:val="00C66FC1"/>
    <w:rsid w:val="00C7009D"/>
    <w:rsid w:val="00CA3B46"/>
    <w:rsid w:val="00CE1C2E"/>
    <w:rsid w:val="00CE1C4C"/>
    <w:rsid w:val="00CE458B"/>
    <w:rsid w:val="00CF53B8"/>
    <w:rsid w:val="00D04FF5"/>
    <w:rsid w:val="00D06DDE"/>
    <w:rsid w:val="00D110A9"/>
    <w:rsid w:val="00D430E4"/>
    <w:rsid w:val="00D57B4A"/>
    <w:rsid w:val="00D6775F"/>
    <w:rsid w:val="00DC23B6"/>
    <w:rsid w:val="00DE7D87"/>
    <w:rsid w:val="00DF03F5"/>
    <w:rsid w:val="00DF0E2D"/>
    <w:rsid w:val="00DF1C8C"/>
    <w:rsid w:val="00DF1C98"/>
    <w:rsid w:val="00E049EC"/>
    <w:rsid w:val="00E13546"/>
    <w:rsid w:val="00E14F0A"/>
    <w:rsid w:val="00E26E18"/>
    <w:rsid w:val="00E460A2"/>
    <w:rsid w:val="00E625C6"/>
    <w:rsid w:val="00E81ADF"/>
    <w:rsid w:val="00E82A17"/>
    <w:rsid w:val="00E85A43"/>
    <w:rsid w:val="00EA236C"/>
    <w:rsid w:val="00EA409A"/>
    <w:rsid w:val="00F101BC"/>
    <w:rsid w:val="00F2612D"/>
    <w:rsid w:val="00F33472"/>
    <w:rsid w:val="00F335A8"/>
    <w:rsid w:val="00F63F94"/>
    <w:rsid w:val="00F74E89"/>
    <w:rsid w:val="00F971A2"/>
    <w:rsid w:val="00FB5120"/>
    <w:rsid w:val="00FE41A0"/>
    <w:rsid w:val="00FE643A"/>
    <w:rsid w:val="00FE7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6FA20E41"/>
  <w15:docId w15:val="{95514CB1-CB7D-4DC2-95D8-F8AF6F61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4A"/>
    <w:pPr>
      <w:spacing w:after="120"/>
    </w:pPr>
    <w:rPr>
      <w:rFonts w:ascii="Arial" w:hAnsi="Arial" w:cs="Arial"/>
      <w:bCs/>
      <w:sz w:val="22"/>
      <w:szCs w:val="24"/>
      <w:lang w:eastAsia="en-US"/>
    </w:rPr>
  </w:style>
  <w:style w:type="paragraph" w:styleId="Heading1">
    <w:name w:val="heading 1"/>
    <w:basedOn w:val="Normal"/>
    <w:next w:val="Normal"/>
    <w:link w:val="Heading1Char"/>
    <w:qFormat/>
    <w:rsid w:val="00D57B4A"/>
    <w:pPr>
      <w:keepNext/>
      <w:spacing w:after="150"/>
      <w:jc w:val="both"/>
      <w:outlineLvl w:val="0"/>
    </w:pPr>
    <w:rPr>
      <w:b/>
      <w:color w:val="080E73"/>
      <w:sz w:val="40"/>
      <w:szCs w:val="72"/>
    </w:rPr>
  </w:style>
  <w:style w:type="paragraph" w:styleId="Heading2">
    <w:name w:val="heading 2"/>
    <w:basedOn w:val="Normal"/>
    <w:next w:val="Normal"/>
    <w:link w:val="Heading2Char"/>
    <w:qFormat/>
    <w:rsid w:val="0099335D"/>
    <w:pPr>
      <w:keepNext/>
      <w:spacing w:before="360" w:line="252" w:lineRule="auto"/>
      <w:outlineLvl w:val="1"/>
    </w:pPr>
    <w:rPr>
      <w:rFonts w:ascii="Lato SemiBold" w:hAnsi="Lato SemiBold"/>
      <w:color w:val="1F1F5F"/>
      <w:sz w:val="36"/>
    </w:rPr>
  </w:style>
  <w:style w:type="paragraph" w:styleId="Heading3">
    <w:name w:val="heading 3"/>
    <w:basedOn w:val="Normal"/>
    <w:next w:val="Normal"/>
    <w:link w:val="Heading3Char"/>
    <w:qFormat/>
    <w:rsid w:val="0099335D"/>
    <w:pPr>
      <w:keepNext/>
      <w:spacing w:before="120"/>
      <w:jc w:val="both"/>
      <w:outlineLvl w:val="2"/>
    </w:pPr>
    <w:rPr>
      <w:rFonts w:ascii="Lato Heavy" w:hAnsi="Lato Heavy" w:cs="Times New Roman"/>
      <w:bCs w:val="0"/>
      <w:iCs/>
      <w:color w:val="1F1F5F"/>
      <w:sz w:val="26"/>
    </w:rPr>
  </w:style>
  <w:style w:type="paragraph" w:styleId="Heading4">
    <w:name w:val="heading 4"/>
    <w:basedOn w:val="Normal"/>
    <w:next w:val="Normal"/>
    <w:link w:val="Heading4Char"/>
    <w:qFormat/>
    <w:rsid w:val="00D57B4A"/>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B4A"/>
    <w:rPr>
      <w:rFonts w:ascii="Arial" w:hAnsi="Arial" w:cs="Arial"/>
      <w:b/>
      <w:bCs/>
      <w:color w:val="080E73"/>
      <w:sz w:val="40"/>
      <w:szCs w:val="72"/>
      <w:lang w:eastAsia="en-US"/>
    </w:rPr>
  </w:style>
  <w:style w:type="character" w:customStyle="1" w:styleId="Heading2Char">
    <w:name w:val="Heading 2 Char"/>
    <w:basedOn w:val="DefaultParagraphFont"/>
    <w:link w:val="Heading2"/>
    <w:rsid w:val="0099335D"/>
    <w:rPr>
      <w:rFonts w:ascii="Lato SemiBold" w:hAnsi="Lato SemiBold" w:cs="Arial"/>
      <w:bCs/>
      <w:color w:val="1F1F5F"/>
      <w:sz w:val="36"/>
      <w:szCs w:val="24"/>
      <w:lang w:eastAsia="en-US"/>
    </w:rPr>
  </w:style>
  <w:style w:type="character" w:customStyle="1" w:styleId="Heading3Char">
    <w:name w:val="Heading 3 Char"/>
    <w:basedOn w:val="DefaultParagraphFont"/>
    <w:link w:val="Heading3"/>
    <w:rsid w:val="0099335D"/>
    <w:rPr>
      <w:rFonts w:ascii="Lato Heavy" w:hAnsi="Lato Heavy"/>
      <w:iCs/>
      <w:color w:val="1F1F5F"/>
      <w:sz w:val="26"/>
      <w:szCs w:val="24"/>
      <w:lang w:eastAsia="en-US"/>
    </w:rPr>
  </w:style>
  <w:style w:type="character" w:customStyle="1" w:styleId="Heading4Char">
    <w:name w:val="Heading 4 Char"/>
    <w:basedOn w:val="DefaultParagraphFont"/>
    <w:link w:val="Heading4"/>
    <w:rsid w:val="00D57B4A"/>
    <w:rPr>
      <w:rFonts w:ascii="Arial" w:hAnsi="Arial" w:cs="Arial"/>
      <w:b/>
      <w:bCs/>
      <w:sz w:val="22"/>
      <w:szCs w:val="24"/>
      <w:lang w:eastAsia="en-US"/>
    </w:rPr>
  </w:style>
  <w:style w:type="paragraph" w:styleId="ListParagraph">
    <w:name w:val="List Paragraph"/>
    <w:basedOn w:val="Normal"/>
    <w:uiPriority w:val="34"/>
    <w:qFormat/>
    <w:rsid w:val="00D57B4A"/>
    <w:pPr>
      <w:spacing w:after="0"/>
      <w:ind w:left="720"/>
      <w:contextualSpacing/>
    </w:pPr>
  </w:style>
  <w:style w:type="paragraph" w:customStyle="1" w:styleId="Bulletedlist">
    <w:name w:val="Bulleted list"/>
    <w:basedOn w:val="NoSpacing"/>
    <w:link w:val="BulletedlistChar"/>
    <w:qFormat/>
    <w:rsid w:val="0099335D"/>
    <w:pPr>
      <w:numPr>
        <w:numId w:val="1"/>
      </w:numPr>
      <w:spacing w:after="200"/>
      <w:ind w:left="284" w:hanging="284"/>
      <w:contextualSpacing/>
    </w:pPr>
    <w:rPr>
      <w:rFonts w:ascii="Lato" w:hAnsi="Lato"/>
    </w:rPr>
  </w:style>
  <w:style w:type="paragraph" w:styleId="NoSpacing">
    <w:name w:val="No Spacing"/>
    <w:uiPriority w:val="1"/>
    <w:rsid w:val="00D57B4A"/>
    <w:rPr>
      <w:rFonts w:ascii="Arial" w:hAnsi="Arial" w:cs="Arial"/>
      <w:bCs/>
      <w:sz w:val="22"/>
      <w:szCs w:val="24"/>
      <w:lang w:eastAsia="en-US"/>
    </w:rPr>
  </w:style>
  <w:style w:type="character" w:customStyle="1" w:styleId="BulletedlistChar">
    <w:name w:val="Bulleted list Char"/>
    <w:basedOn w:val="DefaultParagraphFont"/>
    <w:link w:val="Bulletedlist"/>
    <w:rsid w:val="0099335D"/>
    <w:rPr>
      <w:rFonts w:ascii="Lato" w:hAnsi="Lato" w:cs="Arial"/>
      <w:bCs/>
      <w:sz w:val="22"/>
      <w:szCs w:val="24"/>
      <w:lang w:eastAsia="en-US"/>
    </w:rPr>
  </w:style>
  <w:style w:type="paragraph" w:customStyle="1" w:styleId="Corporatetemplates">
    <w:name w:val="Corporate templates"/>
    <w:basedOn w:val="Normal"/>
    <w:link w:val="CorporatetemplatesChar"/>
    <w:qFormat/>
    <w:rsid w:val="00D57B4A"/>
    <w:pPr>
      <w:tabs>
        <w:tab w:val="center" w:pos="4153"/>
        <w:tab w:val="right" w:pos="8306"/>
      </w:tabs>
      <w:jc w:val="right"/>
    </w:pPr>
    <w:rPr>
      <w:b/>
      <w:noProof/>
      <w:color w:val="080E73"/>
      <w:lang w:val="en-US" w:eastAsia="zh-TW"/>
    </w:rPr>
  </w:style>
  <w:style w:type="paragraph" w:styleId="Footer">
    <w:name w:val="footer"/>
    <w:next w:val="Corporatetemplates"/>
    <w:link w:val="FooterChar"/>
    <w:uiPriority w:val="99"/>
    <w:unhideWhenUsed/>
    <w:rsid w:val="00D57B4A"/>
    <w:pPr>
      <w:tabs>
        <w:tab w:val="center" w:pos="4513"/>
        <w:tab w:val="right" w:pos="9026"/>
      </w:tabs>
    </w:pPr>
  </w:style>
  <w:style w:type="character" w:customStyle="1" w:styleId="FooterChar">
    <w:name w:val="Footer Char"/>
    <w:basedOn w:val="DefaultParagraphFont"/>
    <w:link w:val="Footer"/>
    <w:uiPriority w:val="99"/>
    <w:rsid w:val="00D57B4A"/>
    <w:rPr>
      <w:rFonts w:ascii="Arial" w:hAnsi="Arial" w:cs="Arial"/>
      <w:bCs/>
      <w:sz w:val="22"/>
      <w:szCs w:val="24"/>
      <w:lang w:eastAsia="en-US"/>
    </w:rPr>
  </w:style>
  <w:style w:type="character" w:customStyle="1" w:styleId="CorporatetemplatesChar">
    <w:name w:val="Corporate templates Char"/>
    <w:basedOn w:val="FooterChar"/>
    <w:link w:val="Corporatetemplates"/>
    <w:rsid w:val="00D57B4A"/>
    <w:rPr>
      <w:rFonts w:ascii="Arial" w:hAnsi="Arial" w:cs="Arial"/>
      <w:b/>
      <w:bCs/>
      <w:noProof/>
      <w:color w:val="080E73"/>
      <w:sz w:val="22"/>
      <w:szCs w:val="24"/>
      <w:lang w:val="en-US" w:eastAsia="zh-TW"/>
    </w:rPr>
  </w:style>
  <w:style w:type="paragraph" w:styleId="Header">
    <w:name w:val="header"/>
    <w:basedOn w:val="Normal"/>
    <w:link w:val="HeaderChar"/>
    <w:uiPriority w:val="99"/>
    <w:unhideWhenUsed/>
    <w:rsid w:val="007A4584"/>
    <w:pPr>
      <w:tabs>
        <w:tab w:val="center" w:pos="4513"/>
        <w:tab w:val="right" w:pos="9026"/>
      </w:tabs>
      <w:spacing w:after="0"/>
    </w:pPr>
  </w:style>
  <w:style w:type="character" w:customStyle="1" w:styleId="HeaderChar">
    <w:name w:val="Header Char"/>
    <w:basedOn w:val="DefaultParagraphFont"/>
    <w:link w:val="Header"/>
    <w:uiPriority w:val="99"/>
    <w:rsid w:val="007A4584"/>
    <w:rPr>
      <w:rFonts w:ascii="Arial" w:hAnsi="Arial" w:cs="Arial"/>
      <w:bCs/>
      <w:sz w:val="22"/>
      <w:szCs w:val="24"/>
      <w:lang w:eastAsia="en-US"/>
    </w:rPr>
  </w:style>
  <w:style w:type="paragraph" w:styleId="BalloonText">
    <w:name w:val="Balloon Text"/>
    <w:basedOn w:val="Normal"/>
    <w:link w:val="BalloonTextChar"/>
    <w:uiPriority w:val="99"/>
    <w:semiHidden/>
    <w:unhideWhenUsed/>
    <w:rsid w:val="007A45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84"/>
    <w:rPr>
      <w:rFonts w:ascii="Tahoma" w:hAnsi="Tahoma" w:cs="Tahoma"/>
      <w:bCs/>
      <w:sz w:val="16"/>
      <w:szCs w:val="16"/>
      <w:lang w:eastAsia="en-US"/>
    </w:rPr>
  </w:style>
  <w:style w:type="table" w:styleId="TableGrid">
    <w:name w:val="Table Grid"/>
    <w:basedOn w:val="TableNormal"/>
    <w:uiPriority w:val="59"/>
    <w:rsid w:val="0056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7FC"/>
    <w:rPr>
      <w:color w:val="0000FF" w:themeColor="hyperlink"/>
      <w:u w:val="single"/>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szCs w:val="20"/>
    </w:rPr>
  </w:style>
  <w:style w:type="character" w:customStyle="1" w:styleId="CommentTextChar">
    <w:name w:val="Comment Text Char"/>
    <w:basedOn w:val="DefaultParagraphFont"/>
    <w:link w:val="CommentText"/>
    <w:uiPriority w:val="99"/>
    <w:semiHidden/>
    <w:rsid w:val="00C03C39"/>
    <w:rPr>
      <w:rFonts w:ascii="Arial" w:hAnsi="Arial" w:cs="Arial"/>
      <w:bCs/>
      <w:lang w:eastAsia="en-US"/>
    </w:rPr>
  </w:style>
  <w:style w:type="paragraph" w:styleId="CommentSubject">
    <w:name w:val="annotation subject"/>
    <w:basedOn w:val="CommentText"/>
    <w:next w:val="CommentText"/>
    <w:link w:val="CommentSubjectChar"/>
    <w:uiPriority w:val="99"/>
    <w:semiHidden/>
    <w:unhideWhenUsed/>
    <w:rsid w:val="00C03C39"/>
    <w:rPr>
      <w:b/>
    </w:rPr>
  </w:style>
  <w:style w:type="character" w:customStyle="1" w:styleId="CommentSubjectChar">
    <w:name w:val="Comment Subject Char"/>
    <w:basedOn w:val="CommentTextChar"/>
    <w:link w:val="CommentSubject"/>
    <w:uiPriority w:val="99"/>
    <w:semiHidden/>
    <w:rsid w:val="00C03C39"/>
    <w:rPr>
      <w:rFonts w:ascii="Arial" w:hAnsi="Arial" w:cs="Arial"/>
      <w:b/>
      <w:bCs/>
      <w:lang w:eastAsia="en-US"/>
    </w:rPr>
  </w:style>
  <w:style w:type="paragraph" w:styleId="Revision">
    <w:name w:val="Revision"/>
    <w:hidden/>
    <w:uiPriority w:val="99"/>
    <w:semiHidden/>
    <w:rsid w:val="004973A0"/>
    <w:rPr>
      <w:rFonts w:ascii="Arial" w:hAnsi="Arial" w:cs="Arial"/>
      <w:bCs/>
      <w:sz w:val="22"/>
      <w:szCs w:val="24"/>
      <w:lang w:eastAsia="en-US"/>
    </w:rPr>
  </w:style>
  <w:style w:type="character" w:styleId="PageNumber">
    <w:name w:val="page number"/>
    <w:aliases w:val="Page number"/>
    <w:basedOn w:val="DefaultParagraphFont"/>
    <w:uiPriority w:val="8"/>
    <w:rsid w:val="00DF03F5"/>
    <w:rPr>
      <w:rFonts w:ascii="Lato" w:hAnsi="Lato"/>
      <w:sz w:val="19"/>
    </w:rPr>
  </w:style>
  <w:style w:type="character" w:styleId="FollowedHyperlink">
    <w:name w:val="FollowedHyperlink"/>
    <w:basedOn w:val="DefaultParagraphFont"/>
    <w:uiPriority w:val="99"/>
    <w:semiHidden/>
    <w:unhideWhenUsed/>
    <w:rsid w:val="007B0B40"/>
    <w:rPr>
      <w:color w:val="800080" w:themeColor="followedHyperlink"/>
      <w:u w:val="single"/>
    </w:rPr>
  </w:style>
  <w:style w:type="paragraph" w:styleId="Title">
    <w:name w:val="Title"/>
    <w:basedOn w:val="Normal"/>
    <w:next w:val="Normal"/>
    <w:link w:val="TitleChar"/>
    <w:qFormat/>
    <w:rsid w:val="008223AE"/>
    <w:pPr>
      <w:spacing w:after="800"/>
    </w:pPr>
    <w:rPr>
      <w:rFonts w:ascii="Lato SemiBold" w:hAnsi="Lato SemiBold" w:cs="Times New Roman"/>
      <w:color w:val="1F1F5F"/>
      <w:kern w:val="32"/>
      <w:sz w:val="60"/>
      <w:szCs w:val="64"/>
    </w:rPr>
  </w:style>
  <w:style w:type="character" w:customStyle="1" w:styleId="TitleChar">
    <w:name w:val="Title Char"/>
    <w:basedOn w:val="DefaultParagraphFont"/>
    <w:link w:val="Title"/>
    <w:rsid w:val="008223AE"/>
    <w:rPr>
      <w:rFonts w:ascii="Lato SemiBold" w:hAnsi="Lato SemiBold"/>
      <w:bCs/>
      <w:color w:val="1F1F5F"/>
      <w:kern w:val="32"/>
      <w:sz w:val="60"/>
      <w:szCs w:val="64"/>
      <w:lang w:eastAsia="en-US"/>
    </w:rPr>
  </w:style>
  <w:style w:type="paragraph" w:customStyle="1" w:styleId="Bodycopy">
    <w:name w:val="Body copy"/>
    <w:basedOn w:val="Normal"/>
    <w:link w:val="BodycopyChar"/>
    <w:qFormat/>
    <w:rsid w:val="00331457"/>
    <w:pPr>
      <w:spacing w:after="200" w:line="252" w:lineRule="auto"/>
    </w:pPr>
    <w:rPr>
      <w:rFonts w:ascii="Lato" w:eastAsia="Calibri" w:hAnsi="Lato"/>
      <w:bCs w:val="0"/>
      <w:szCs w:val="22"/>
    </w:rPr>
  </w:style>
  <w:style w:type="character" w:customStyle="1" w:styleId="BodycopyChar">
    <w:name w:val="Body copy Char"/>
    <w:basedOn w:val="DefaultParagraphFont"/>
    <w:link w:val="Bodycopy"/>
    <w:rsid w:val="00331457"/>
    <w:rPr>
      <w:rFonts w:ascii="Lato" w:eastAsia="Calibri" w:hAnsi="Lato"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hc.complaints@n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t.gov.au/property/home-owner-assistance/low-or-middle-income-earners/homebuild-ac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ic.gov.au/for-consume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539B-F655-4B5C-A106-3EFE33FB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6088</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HomeBuild Access - Credit guide</vt:lpstr>
    </vt:vector>
  </TitlesOfParts>
  <Company>NTG</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HomeBuild Access - Credit guide</dc:title>
  <dc:creator>Northern Territory Government</dc:creator>
  <cp:lastModifiedBy>Julie-Anne Felton</cp:lastModifiedBy>
  <cp:revision>2</cp:revision>
  <cp:lastPrinted>2016-02-12T04:48:00Z</cp:lastPrinted>
  <dcterms:created xsi:type="dcterms:W3CDTF">2023-02-14T00:39:00Z</dcterms:created>
  <dcterms:modified xsi:type="dcterms:W3CDTF">2023-02-14T00:39:00Z</dcterms:modified>
</cp:coreProperties>
</file>