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9BE2E" w14:textId="7BF26B58" w:rsidR="002D34F0" w:rsidRDefault="002D34F0" w:rsidP="002D34F0">
      <w:pPr>
        <w:pStyle w:val="Heading1"/>
      </w:pPr>
      <w:bookmarkStart w:id="0" w:name="_GoBack"/>
      <w:bookmarkEnd w:id="0"/>
      <w:r>
        <w:t>Background</w:t>
      </w:r>
    </w:p>
    <w:p w14:paraId="0B8E8AEA" w14:textId="10629267" w:rsidR="002D34F0" w:rsidRPr="000902DA" w:rsidRDefault="002D34F0" w:rsidP="002D34F0">
      <w:pPr>
        <w:spacing w:before="240"/>
      </w:pPr>
      <w:r w:rsidRPr="000902DA">
        <w:t>The following information is to provide clarity around the application of section 29 of the Mineral Titles Act</w:t>
      </w:r>
      <w:r w:rsidR="00380F92" w:rsidRPr="000902DA">
        <w:t xml:space="preserve"> 2010</w:t>
      </w:r>
      <w:r w:rsidRPr="000902DA">
        <w:t xml:space="preserve"> (the Act), in particular in relation to exploration licences (EL’S) that contain either </w:t>
      </w:r>
      <w:r w:rsidR="00804EA4" w:rsidRPr="000902DA">
        <w:t xml:space="preserve">five </w:t>
      </w:r>
      <w:r w:rsidRPr="000902DA">
        <w:t xml:space="preserve">or </w:t>
      </w:r>
      <w:r w:rsidR="00804EA4" w:rsidRPr="000902DA">
        <w:t>six</w:t>
      </w:r>
      <w:r w:rsidRPr="000902DA">
        <w:t xml:space="preserve"> blocks.</w:t>
      </w:r>
    </w:p>
    <w:p w14:paraId="7673F9E3" w14:textId="6FB415BB" w:rsidR="002D34F0" w:rsidRPr="000902DA" w:rsidRDefault="002D34F0" w:rsidP="002D34F0">
      <w:pPr>
        <w:pStyle w:val="ListParagraph"/>
        <w:numPr>
          <w:ilvl w:val="0"/>
          <w:numId w:val="48"/>
        </w:numPr>
        <w:spacing w:after="200"/>
      </w:pPr>
      <w:r w:rsidRPr="000902DA">
        <w:t xml:space="preserve">Section 29 of the Act does apply to all EL’s where the block count is </w:t>
      </w:r>
      <w:r w:rsidR="00F25B5B" w:rsidRPr="000902DA">
        <w:t>greater</w:t>
      </w:r>
      <w:r w:rsidRPr="000902DA">
        <w:t xml:space="preserve"> than </w:t>
      </w:r>
      <w:r w:rsidR="00804EA4" w:rsidRPr="000902DA">
        <w:t>four</w:t>
      </w:r>
      <w:r w:rsidRPr="000902DA">
        <w:t xml:space="preserve"> blocks, to the extent allowed.</w:t>
      </w:r>
    </w:p>
    <w:p w14:paraId="5A467339" w14:textId="0547039F" w:rsidR="002D34F0" w:rsidRPr="000902DA" w:rsidRDefault="002D34F0" w:rsidP="002D34F0">
      <w:pPr>
        <w:pStyle w:val="ListParagraph"/>
        <w:numPr>
          <w:ilvl w:val="0"/>
          <w:numId w:val="48"/>
        </w:numPr>
        <w:spacing w:after="200"/>
      </w:pPr>
      <w:r w:rsidRPr="000902DA">
        <w:rPr>
          <w:bCs/>
        </w:rPr>
        <w:t>Example:</w:t>
      </w:r>
      <w:r w:rsidRPr="000902DA">
        <w:t xml:space="preserve"> An EL has </w:t>
      </w:r>
      <w:r w:rsidR="00804EA4" w:rsidRPr="000902DA">
        <w:t>five or six</w:t>
      </w:r>
      <w:r w:rsidRPr="000902DA">
        <w:t xml:space="preserve"> blocks.  The maximum reduction allowed is </w:t>
      </w:r>
      <w:r w:rsidR="00804EA4" w:rsidRPr="000902DA">
        <w:t>one or two</w:t>
      </w:r>
      <w:r w:rsidRPr="000902DA">
        <w:t xml:space="preserve"> blocks.  Although this is not </w:t>
      </w:r>
      <w:r w:rsidR="00F25B5B" w:rsidRPr="000902DA">
        <w:t>50%,</w:t>
      </w:r>
      <w:r w:rsidRPr="000902DA">
        <w:t xml:space="preserve"> it complies with s29 to the extent allowed by retaining a minimum of four blocks.</w:t>
      </w:r>
    </w:p>
    <w:p w14:paraId="5BBF31FD" w14:textId="277CC0B0" w:rsidR="002D34F0" w:rsidRPr="000902DA" w:rsidRDefault="002D34F0" w:rsidP="002D34F0">
      <w:pPr>
        <w:pStyle w:val="ListParagraph"/>
        <w:numPr>
          <w:ilvl w:val="0"/>
          <w:numId w:val="48"/>
        </w:numPr>
        <w:spacing w:after="200"/>
      </w:pPr>
      <w:r w:rsidRPr="000902DA">
        <w:t xml:space="preserve">Section 29 does not apply where the EL area consists of </w:t>
      </w:r>
      <w:r w:rsidR="00804EA4" w:rsidRPr="000902DA">
        <w:t>four</w:t>
      </w:r>
      <w:r w:rsidRPr="000902DA">
        <w:t xml:space="preserve"> or less blocks.  The </w:t>
      </w:r>
      <w:proofErr w:type="gramStart"/>
      <w:r w:rsidRPr="000902DA">
        <w:t>title holder</w:t>
      </w:r>
      <w:proofErr w:type="gramEnd"/>
      <w:r w:rsidRPr="000902DA">
        <w:t xml:space="preserve"> will not be required to nominate blocks for retention.</w:t>
      </w:r>
    </w:p>
    <w:p w14:paraId="28D9C124" w14:textId="0C416BB3" w:rsidR="00D61FD1" w:rsidRDefault="002D34F0" w:rsidP="00D61FD1">
      <w:pPr>
        <w:pStyle w:val="Heading1"/>
        <w:rPr>
          <w:lang w:eastAsia="en-AU"/>
        </w:rPr>
      </w:pPr>
      <w:r>
        <w:rPr>
          <w:lang w:eastAsia="en-AU"/>
        </w:rPr>
        <w:t xml:space="preserve">Reduction </w:t>
      </w:r>
      <w:r w:rsidR="00804EA4">
        <w:rPr>
          <w:lang w:eastAsia="en-AU"/>
        </w:rPr>
        <w:t>p</w:t>
      </w:r>
      <w:r>
        <w:rPr>
          <w:lang w:eastAsia="en-AU"/>
        </w:rPr>
        <w:t>eriod</w:t>
      </w:r>
    </w:p>
    <w:p w14:paraId="1D6D32E2" w14:textId="52755008" w:rsidR="002D34F0" w:rsidRDefault="002D34F0" w:rsidP="002D34F0">
      <w:r>
        <w:t xml:space="preserve">Section 29 of the Act states that a </w:t>
      </w:r>
      <w:proofErr w:type="gramStart"/>
      <w:r>
        <w:t>title holder</w:t>
      </w:r>
      <w:proofErr w:type="gramEnd"/>
      <w:r>
        <w:t xml:space="preserve"> must reduce the area of an EL by 50% at the end of each period of </w:t>
      </w:r>
      <w:r w:rsidR="00804EA4">
        <w:t>two</w:t>
      </w:r>
      <w:r>
        <w:t xml:space="preserve"> operational years, known as a reduction period.</w:t>
      </w:r>
    </w:p>
    <w:p w14:paraId="0145BFDA" w14:textId="77777777" w:rsidR="002D34F0" w:rsidRDefault="002D34F0" w:rsidP="002D34F0">
      <w:r>
        <w:t xml:space="preserve">Before the end of a reduction period, the </w:t>
      </w:r>
      <w:proofErr w:type="gramStart"/>
      <w:r>
        <w:t>title holder</w:t>
      </w:r>
      <w:proofErr w:type="gramEnd"/>
      <w:r>
        <w:t xml:space="preserve"> must give the Minister a notice nominating the blocks to be retained in the title area of the EL.</w:t>
      </w:r>
    </w:p>
    <w:p w14:paraId="6BDDC710" w14:textId="70685840" w:rsidR="002D34F0" w:rsidRPr="002D34F0" w:rsidRDefault="002D34F0" w:rsidP="002D34F0">
      <w:pPr>
        <w:rPr>
          <w:bCs/>
          <w:iCs/>
        </w:rPr>
      </w:pPr>
      <w:r w:rsidRPr="002D34F0">
        <w:rPr>
          <w:bCs/>
          <w:iCs/>
        </w:rPr>
        <w:t xml:space="preserve">Example: Reduction period – end of year </w:t>
      </w:r>
      <w:r w:rsidR="00804EA4">
        <w:rPr>
          <w:bCs/>
          <w:iCs/>
        </w:rPr>
        <w:t>two, four or six</w:t>
      </w:r>
      <w:r w:rsidRPr="002D34F0">
        <w:rPr>
          <w:bCs/>
          <w:iCs/>
        </w:rPr>
        <w:t>.</w:t>
      </w:r>
    </w:p>
    <w:p w14:paraId="362AABD9" w14:textId="0662423B" w:rsidR="002D34F0" w:rsidRDefault="002D34F0" w:rsidP="002D34F0">
      <w:r>
        <w:t xml:space="preserve">After the reduction, the title area will comprise no more than </w:t>
      </w:r>
      <w:r w:rsidR="00804EA4">
        <w:t>three</w:t>
      </w:r>
      <w:r>
        <w:t xml:space="preserve"> separate are</w:t>
      </w:r>
      <w:r w:rsidR="00804EA4">
        <w:t>as containing at least four</w:t>
      </w:r>
      <w:r>
        <w:t xml:space="preserve"> adjoining blocks each.</w:t>
      </w:r>
    </w:p>
    <w:p w14:paraId="1E0F6C97" w14:textId="77777777" w:rsidR="002D34F0" w:rsidRDefault="002D34F0" w:rsidP="002D34F0">
      <w:r w:rsidRPr="002D34F0">
        <w:t>NOTE:</w:t>
      </w:r>
      <w:r>
        <w:t xml:space="preserve"> The reduction requirement under section 29 only applies to the </w:t>
      </w:r>
      <w:r w:rsidRPr="002D34F0">
        <w:t>initial</w:t>
      </w:r>
      <w:r>
        <w:t xml:space="preserve"> term of grant.</w:t>
      </w:r>
    </w:p>
    <w:p w14:paraId="7943D184" w14:textId="06AB5455" w:rsidR="006A2F2D" w:rsidRDefault="002D34F0" w:rsidP="002D34F0">
      <w:pPr>
        <w:pStyle w:val="Heading1"/>
        <w:rPr>
          <w:lang w:bidi="en-US"/>
        </w:rPr>
      </w:pPr>
      <w:r>
        <w:rPr>
          <w:lang w:bidi="en-US"/>
        </w:rPr>
        <w:t>Application to vary reduction requirement</w:t>
      </w:r>
    </w:p>
    <w:p w14:paraId="1FCEB53E" w14:textId="77777777" w:rsidR="002D34F0" w:rsidRDefault="002D34F0" w:rsidP="002D34F0">
      <w:r>
        <w:t xml:space="preserve">If the title holder does not wish to reduce in accordance with s29, they may, before the end of each reduction period, make application to the Minister under </w:t>
      </w:r>
      <w:proofErr w:type="gramStart"/>
      <w:r>
        <w:t>s29(</w:t>
      </w:r>
      <w:proofErr w:type="gramEnd"/>
      <w:r>
        <w:t>4) of the Act for approval to vary this requirement.</w:t>
      </w:r>
    </w:p>
    <w:p w14:paraId="580BC272" w14:textId="03390F3D" w:rsidR="002D34F0" w:rsidRDefault="002D34F0" w:rsidP="002D34F0">
      <w:r>
        <w:t xml:space="preserve">This application </w:t>
      </w:r>
      <w:proofErr w:type="gramStart"/>
      <w:r>
        <w:t>is referred</w:t>
      </w:r>
      <w:proofErr w:type="gramEnd"/>
      <w:r>
        <w:t xml:space="preserve"> to as a </w:t>
      </w:r>
      <w:r w:rsidRPr="002D34F0">
        <w:t>Waiver of Reduction</w:t>
      </w:r>
      <w:r>
        <w:t xml:space="preserve"> and can relate to any of the following:</w:t>
      </w:r>
    </w:p>
    <w:p w14:paraId="562F6EB9" w14:textId="77777777" w:rsidR="002D34F0" w:rsidRPr="009D7596" w:rsidRDefault="002D34F0" w:rsidP="002D34F0">
      <w:pPr>
        <w:pStyle w:val="ListParagraph"/>
        <w:numPr>
          <w:ilvl w:val="0"/>
          <w:numId w:val="49"/>
        </w:numPr>
        <w:spacing w:after="200"/>
        <w:rPr>
          <w:i/>
        </w:rPr>
      </w:pPr>
      <w:r>
        <w:t>No reduction of the title area (full waiver)</w:t>
      </w:r>
    </w:p>
    <w:p w14:paraId="74B78AD7" w14:textId="77777777" w:rsidR="002D34F0" w:rsidRPr="009D7596" w:rsidRDefault="002D34F0" w:rsidP="002D34F0">
      <w:pPr>
        <w:pStyle w:val="ListParagraph"/>
        <w:numPr>
          <w:ilvl w:val="0"/>
          <w:numId w:val="49"/>
        </w:numPr>
        <w:spacing w:after="200"/>
        <w:rPr>
          <w:i/>
        </w:rPr>
      </w:pPr>
      <w:r>
        <w:t>A lesser reduction than is required (partial waiver)</w:t>
      </w:r>
    </w:p>
    <w:p w14:paraId="40565FED" w14:textId="77777777" w:rsidR="002D34F0" w:rsidRPr="009D7596" w:rsidRDefault="002D34F0" w:rsidP="002D34F0">
      <w:pPr>
        <w:pStyle w:val="ListParagraph"/>
        <w:numPr>
          <w:ilvl w:val="0"/>
          <w:numId w:val="49"/>
        </w:numPr>
        <w:spacing w:after="200"/>
        <w:rPr>
          <w:i/>
        </w:rPr>
      </w:pPr>
      <w:r>
        <w:t>A deferral of reduction</w:t>
      </w:r>
    </w:p>
    <w:p w14:paraId="4CAAF0D2" w14:textId="77777777" w:rsidR="002D34F0" w:rsidRDefault="002D34F0" w:rsidP="002D34F0">
      <w:r>
        <w:lastRenderedPageBreak/>
        <w:t xml:space="preserve">It is important to note that a deferral does not remove the need to reduce the title area </w:t>
      </w:r>
      <w:r>
        <w:rPr>
          <w:u w:val="single"/>
        </w:rPr>
        <w:t>or</w:t>
      </w:r>
      <w:r>
        <w:t xml:space="preserve"> make an application for a full or partial waiver at the end of the deferral period.</w:t>
      </w:r>
    </w:p>
    <w:p w14:paraId="75CEF660" w14:textId="0B88DCDE" w:rsidR="002D34F0" w:rsidRDefault="002D34F0" w:rsidP="002D34F0">
      <w:r>
        <w:t xml:space="preserve">This provision is generally only utilised when the </w:t>
      </w:r>
      <w:proofErr w:type="gramStart"/>
      <w:r>
        <w:t>title holder</w:t>
      </w:r>
      <w:proofErr w:type="gramEnd"/>
      <w:r>
        <w:t xml:space="preserve"> wishes to undertake further assessment before a final decision is made on the title area.  The maximum period allowed for a deferral is 12 months.</w:t>
      </w:r>
    </w:p>
    <w:p w14:paraId="1C8DDB5C" w14:textId="47610715" w:rsidR="002D34F0" w:rsidRDefault="002D34F0" w:rsidP="002D34F0">
      <w:pPr>
        <w:pStyle w:val="Heading1"/>
        <w:rPr>
          <w:lang w:bidi="en-US"/>
        </w:rPr>
      </w:pPr>
      <w:r>
        <w:rPr>
          <w:lang w:bidi="en-US"/>
        </w:rPr>
        <w:t>Requirements for a waiver of reduction application</w:t>
      </w:r>
    </w:p>
    <w:p w14:paraId="439E184C" w14:textId="4631F894" w:rsidR="002D34F0" w:rsidRDefault="002D34F0" w:rsidP="002D34F0">
      <w:r>
        <w:t>Approved Form 29</w:t>
      </w:r>
      <w:r w:rsidR="00F25B5B">
        <w:t xml:space="preserve"> </w:t>
      </w:r>
      <w:r>
        <w:t xml:space="preserve">to </w:t>
      </w:r>
      <w:proofErr w:type="gramStart"/>
      <w:r>
        <w:t>be completed</w:t>
      </w:r>
      <w:proofErr w:type="gramEnd"/>
      <w:r>
        <w:t xml:space="preserve"> with the following information:</w:t>
      </w:r>
    </w:p>
    <w:p w14:paraId="2316EEDB" w14:textId="77777777" w:rsidR="002D34F0" w:rsidRDefault="002D34F0" w:rsidP="002D34F0">
      <w:pPr>
        <w:pStyle w:val="ListParagraph"/>
        <w:numPr>
          <w:ilvl w:val="0"/>
          <w:numId w:val="50"/>
        </w:numPr>
        <w:spacing w:after="200"/>
      </w:pPr>
      <w:r>
        <w:t>Type of request;</w:t>
      </w:r>
    </w:p>
    <w:p w14:paraId="41D619D4" w14:textId="77777777" w:rsidR="002D34F0" w:rsidRDefault="002D34F0" w:rsidP="002D34F0">
      <w:pPr>
        <w:pStyle w:val="ListParagraph"/>
        <w:numPr>
          <w:ilvl w:val="0"/>
          <w:numId w:val="50"/>
        </w:numPr>
        <w:spacing w:after="200"/>
      </w:pPr>
      <w:r>
        <w:t>Project name (if applicable);</w:t>
      </w:r>
    </w:p>
    <w:p w14:paraId="4DA9C4CA" w14:textId="77777777" w:rsidR="002D34F0" w:rsidRDefault="002D34F0" w:rsidP="002D34F0">
      <w:pPr>
        <w:pStyle w:val="ListParagraph"/>
        <w:numPr>
          <w:ilvl w:val="0"/>
          <w:numId w:val="50"/>
        </w:numPr>
        <w:spacing w:after="200"/>
      </w:pPr>
      <w:r>
        <w:t>Estimated current year expenditure to date and a summary of activities undertaken for the current reporting year;</w:t>
      </w:r>
    </w:p>
    <w:p w14:paraId="04EF4D02" w14:textId="77777777" w:rsidR="002D34F0" w:rsidRDefault="002D34F0" w:rsidP="002D34F0">
      <w:pPr>
        <w:pStyle w:val="ListParagraph"/>
        <w:numPr>
          <w:ilvl w:val="0"/>
          <w:numId w:val="50"/>
        </w:numPr>
        <w:spacing w:after="200"/>
      </w:pPr>
      <w:r>
        <w:t>Proposed expenditure for the forthcoming year and a summary of the proposed activities for the next operational year; and</w:t>
      </w:r>
    </w:p>
    <w:p w14:paraId="6B69EE1C" w14:textId="77777777" w:rsidR="002D34F0" w:rsidRDefault="002D34F0" w:rsidP="002D34F0">
      <w:pPr>
        <w:pStyle w:val="ListParagraph"/>
        <w:numPr>
          <w:ilvl w:val="0"/>
          <w:numId w:val="50"/>
        </w:numPr>
        <w:spacing w:after="200"/>
      </w:pPr>
      <w:r>
        <w:t>Reasons behind the request.</w:t>
      </w:r>
    </w:p>
    <w:p w14:paraId="59E0A4B4" w14:textId="50DD9EA7" w:rsidR="002D34F0" w:rsidRDefault="002D34F0" w:rsidP="002D34F0">
      <w:r>
        <w:t xml:space="preserve">All applications must also be accompanied by the scheduled fee (refer to </w:t>
      </w:r>
      <w:hyperlink r:id="rId9" w:history="1">
        <w:r w:rsidRPr="00114205">
          <w:rPr>
            <w:rStyle w:val="Hyperlink"/>
          </w:rPr>
          <w:t>Mineral Title fees and rents</w:t>
        </w:r>
      </w:hyperlink>
      <w:r w:rsidR="00D45453">
        <w:rPr>
          <w:rStyle w:val="FootnoteReference"/>
        </w:rPr>
        <w:footnoteReference w:id="1"/>
      </w:r>
      <w:r>
        <w:t>)</w:t>
      </w:r>
    </w:p>
    <w:p w14:paraId="70599927" w14:textId="702A78BC" w:rsidR="002D34F0" w:rsidRDefault="002D34F0" w:rsidP="002D34F0">
      <w:pPr>
        <w:pStyle w:val="Heading1"/>
        <w:rPr>
          <w:lang w:bidi="en-US"/>
        </w:rPr>
      </w:pPr>
      <w:r>
        <w:rPr>
          <w:lang w:bidi="en-US"/>
        </w:rPr>
        <w:t>Notification of decision</w:t>
      </w:r>
    </w:p>
    <w:p w14:paraId="01D91C71" w14:textId="77777777" w:rsidR="002D34F0" w:rsidRDefault="002D34F0" w:rsidP="002D34F0">
      <w:r>
        <w:t xml:space="preserve">Once an application has been assessed and either approved or refused, the </w:t>
      </w:r>
      <w:proofErr w:type="gramStart"/>
      <w:r>
        <w:t>title holder</w:t>
      </w:r>
      <w:proofErr w:type="gramEnd"/>
      <w:r>
        <w:t xml:space="preserve"> will receive written advice of the decision.</w:t>
      </w:r>
    </w:p>
    <w:p w14:paraId="2866AB1A" w14:textId="2BDB89E2" w:rsidR="002D34F0" w:rsidRDefault="0091447B" w:rsidP="002D34F0">
      <w:pPr>
        <w:pStyle w:val="Heading1"/>
        <w:rPr>
          <w:lang w:bidi="en-US"/>
        </w:rPr>
      </w:pPr>
      <w:r>
        <w:rPr>
          <w:lang w:bidi="en-US"/>
        </w:rPr>
        <w:t xml:space="preserve">Further </w:t>
      </w:r>
      <w:r w:rsidR="002D34F0">
        <w:rPr>
          <w:lang w:bidi="en-US"/>
        </w:rPr>
        <w:t>information</w:t>
      </w:r>
    </w:p>
    <w:p w14:paraId="6215FCCA" w14:textId="6D86257D" w:rsidR="002D34F0" w:rsidRDefault="002D34F0" w:rsidP="002D34F0">
      <w:r>
        <w:t xml:space="preserve">Mineral Titles </w:t>
      </w:r>
    </w:p>
    <w:p w14:paraId="008FC800" w14:textId="77777777" w:rsidR="002D34F0" w:rsidRDefault="002D34F0" w:rsidP="002D34F0">
      <w:proofErr w:type="gramStart"/>
      <w:r>
        <w:t>5</w:t>
      </w:r>
      <w:r w:rsidRPr="00114205">
        <w:rPr>
          <w:vertAlign w:val="superscript"/>
        </w:rPr>
        <w:t>th</w:t>
      </w:r>
      <w:proofErr w:type="gramEnd"/>
      <w:r>
        <w:t xml:space="preserve"> Floor Centrepoint Building, The Mall</w:t>
      </w:r>
    </w:p>
    <w:p w14:paraId="26F849B8" w14:textId="77777777" w:rsidR="002D34F0" w:rsidRDefault="002D34F0" w:rsidP="002D34F0">
      <w:r>
        <w:t>Darwin, Northern Territory</w:t>
      </w:r>
    </w:p>
    <w:p w14:paraId="1E30E7A5" w14:textId="54462A6F" w:rsidR="002D34F0" w:rsidRDefault="002D34F0" w:rsidP="00DA0C7E">
      <w:pPr>
        <w:tabs>
          <w:tab w:val="left" w:pos="4305"/>
        </w:tabs>
      </w:pPr>
      <w:r>
        <w:t>Phone: 08 8999 5322</w:t>
      </w:r>
      <w:r w:rsidR="00DA0C7E">
        <w:tab/>
      </w:r>
    </w:p>
    <w:p w14:paraId="6E327205" w14:textId="59AA4D72" w:rsidR="002D34F0" w:rsidRDefault="002D34F0" w:rsidP="002D34F0">
      <w:pPr>
        <w:rPr>
          <w:rStyle w:val="Hyperlink"/>
        </w:rPr>
      </w:pPr>
      <w:r>
        <w:t xml:space="preserve">Email: </w:t>
      </w:r>
      <w:hyperlink r:id="rId10" w:history="1">
        <w:r>
          <w:rPr>
            <w:rStyle w:val="Hyperlink"/>
          </w:rPr>
          <w:t>titles.info@nt.gov.au</w:t>
        </w:r>
      </w:hyperlink>
    </w:p>
    <w:p w14:paraId="7B0B56C4" w14:textId="0F37B6D8" w:rsidR="002B2B64" w:rsidRPr="00136553" w:rsidRDefault="002B2B64" w:rsidP="002B2B64">
      <w:pPr>
        <w:ind w:right="-1"/>
        <w:rPr>
          <w:sz w:val="20"/>
        </w:rPr>
      </w:pPr>
      <w:r w:rsidRPr="00136553">
        <w:rPr>
          <w:b/>
          <w:sz w:val="20"/>
        </w:rPr>
        <w:t xml:space="preserve">Disclaimer </w:t>
      </w:r>
      <w:r w:rsidRPr="00136553">
        <w:rPr>
          <w:sz w:val="20"/>
        </w:rPr>
        <w:t xml:space="preserve">Whilst this information bulletin </w:t>
      </w:r>
      <w:proofErr w:type="gramStart"/>
      <w:r w:rsidRPr="00136553">
        <w:rPr>
          <w:sz w:val="20"/>
        </w:rPr>
        <w:t>has been provided</w:t>
      </w:r>
      <w:proofErr w:type="gramEnd"/>
      <w:r w:rsidRPr="00136553">
        <w:rPr>
          <w:sz w:val="20"/>
        </w:rPr>
        <w:t xml:space="preserve"> to assist applicants in their compliance with the </w:t>
      </w:r>
      <w:r w:rsidR="00F25B5B" w:rsidRPr="00F25B5B">
        <w:rPr>
          <w:sz w:val="20"/>
        </w:rPr>
        <w:t>Act</w:t>
      </w:r>
      <w:r w:rsidRPr="00136553">
        <w:rPr>
          <w:sz w:val="20"/>
        </w:rPr>
        <w:t>, it is incumbent on them to acquaint themselves with the provisions of the</w:t>
      </w:r>
      <w:r w:rsidR="00F25B5B">
        <w:rPr>
          <w:sz w:val="20"/>
        </w:rPr>
        <w:t xml:space="preserve"> Act</w:t>
      </w:r>
      <w:r w:rsidRPr="00136553">
        <w:rPr>
          <w:i/>
          <w:sz w:val="20"/>
        </w:rPr>
        <w:t xml:space="preserve"> </w:t>
      </w:r>
      <w:r w:rsidRPr="00136553">
        <w:rPr>
          <w:sz w:val="20"/>
        </w:rPr>
        <w:t xml:space="preserve">and all other laws of the Northern Territory as are applicable.  Fees are subject to change without notice. </w:t>
      </w:r>
    </w:p>
    <w:p w14:paraId="7569E88D" w14:textId="77777777" w:rsidR="002B2B64" w:rsidRPr="002D34F0" w:rsidRDefault="002B2B64" w:rsidP="002D34F0"/>
    <w:sectPr w:rsidR="002B2B64" w:rsidRPr="002D34F0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B3F42" w14:textId="77777777" w:rsidR="00220279" w:rsidRDefault="00220279" w:rsidP="007332FF">
      <w:r>
        <w:separator/>
      </w:r>
    </w:p>
  </w:endnote>
  <w:endnote w:type="continuationSeparator" w:id="0">
    <w:p w14:paraId="46DDB088" w14:textId="77777777" w:rsidR="00220279" w:rsidRDefault="0022027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428B8" w14:textId="77777777"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14:paraId="7402099A" w14:textId="77777777" w:rsidTr="001D258A">
      <w:trPr>
        <w:cantSplit/>
        <w:trHeight w:hRule="exact" w:val="567"/>
      </w:trPr>
      <w:tc>
        <w:tcPr>
          <w:tcW w:w="10318" w:type="dxa"/>
          <w:vAlign w:val="bottom"/>
        </w:tcPr>
        <w:p w14:paraId="4B7AD390" w14:textId="7AD211DC" w:rsidR="00996655" w:rsidRPr="00750D2F" w:rsidRDefault="00996655" w:rsidP="00996655">
          <w:pPr>
            <w:spacing w:after="0"/>
            <w:rPr>
              <w:rStyle w:val="PageNumber"/>
            </w:rPr>
          </w:pPr>
          <w:r w:rsidRPr="00750D2F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310921806"/>
              <w:placeholder>
                <w:docPart w:val="880E567BFBBF4FD0A792C1A0F818DB5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>
              <w:rPr>
                <w:rStyle w:val="PageNumber"/>
              </w:rPr>
            </w:sdtEndPr>
            <w:sdtContent>
              <w:r w:rsidR="00E86323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42132869" w14:textId="78A3A361"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81EA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81EA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D374166" w14:textId="77777777"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5128" w14:textId="77777777" w:rsidR="00D15D88" w:rsidRDefault="00D15D88" w:rsidP="00C0326E">
    <w:pPr>
      <w:spacing w:after="0"/>
    </w:pPr>
  </w:p>
  <w:p w14:paraId="63863A94" w14:textId="77777777"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14:paraId="6FC3051E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2F8231CF" w14:textId="1960082C" w:rsidR="00901430" w:rsidRPr="00901430" w:rsidRDefault="00901430" w:rsidP="00C0326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  <w:szCs w:val="19"/>
              </w:rPr>
              <w:alias w:val="Company"/>
              <w:tag w:val=""/>
              <w:id w:val="250782577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/>
            <w:sdtContent>
              <w:r w:rsidR="00E86323">
                <w:rPr>
                  <w:b/>
                  <w:sz w:val="19"/>
                  <w:szCs w:val="19"/>
                </w:rPr>
                <w:t>Industry, Tourism and Trade</w:t>
              </w:r>
            </w:sdtContent>
          </w:sdt>
        </w:p>
        <w:p w14:paraId="30BD9736" w14:textId="7470BF8A" w:rsidR="00C0326E" w:rsidRPr="00CE30CF" w:rsidRDefault="00C0326E" w:rsidP="00C0326E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781EA7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781EA7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14:paraId="745EB141" w14:textId="77777777"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C5D0487" wp14:editId="07837EEC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7A84F81" w14:textId="77777777"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FD957" w14:textId="77777777" w:rsidR="00220279" w:rsidRDefault="00220279" w:rsidP="007332FF">
      <w:r>
        <w:separator/>
      </w:r>
    </w:p>
  </w:footnote>
  <w:footnote w:type="continuationSeparator" w:id="0">
    <w:p w14:paraId="27751744" w14:textId="77777777" w:rsidR="00220279" w:rsidRDefault="00220279" w:rsidP="007332FF">
      <w:r>
        <w:continuationSeparator/>
      </w:r>
    </w:p>
  </w:footnote>
  <w:footnote w:id="1">
    <w:p w14:paraId="611C3CEA" w14:textId="5EBF6FA2" w:rsidR="00D45453" w:rsidRDefault="00D454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130F2">
          <w:rPr>
            <w:rStyle w:val="Hyperlink"/>
          </w:rPr>
          <w:t>https://nt.gov.au/industry/mining-and-petroleum/mineral-titles/mineral-title-fees-and-rents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7278" w14:textId="69A320CA" w:rsidR="00983000" w:rsidRPr="00162207" w:rsidRDefault="00781EA7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A4BDB">
          <w:t>Reduction of title area for an Exploration Licence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placeholder>
        <w:docPart w:val="A15A7D8E15F64D63820C074C8948BB2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color w:val="1F1F5F"/>
      <w:text w:multiLine="1"/>
    </w:sdtPr>
    <w:sdtEndPr>
      <w:rPr>
        <w:rStyle w:val="TitleChar"/>
      </w:rPr>
    </w:sdtEndPr>
    <w:sdtContent>
      <w:p w14:paraId="795CF6C4" w14:textId="77777777" w:rsidR="00804EA4" w:rsidRDefault="00804EA4" w:rsidP="00804EA4">
        <w:pPr>
          <w:pStyle w:val="Title"/>
          <w:spacing w:after="0"/>
          <w:rPr>
            <w:rStyle w:val="TitleChar"/>
          </w:rPr>
        </w:pPr>
        <w:r>
          <w:rPr>
            <w:rStyle w:val="TitleChar"/>
          </w:rPr>
          <w:t>Reduction of title area for an Exploration Licence</w:t>
        </w:r>
      </w:p>
    </w:sdtContent>
  </w:sdt>
  <w:p w14:paraId="47493A1C" w14:textId="7CE87DF0" w:rsidR="00E908F1" w:rsidRPr="000E3ED2" w:rsidRDefault="002D34F0" w:rsidP="00804EA4">
    <w:pPr>
      <w:pStyle w:val="Subtitle0"/>
      <w:jc w:val="left"/>
    </w:pPr>
    <w:r>
      <w:t>Information Bulletin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7759"/>
    <w:multiLevelType w:val="hybridMultilevel"/>
    <w:tmpl w:val="E9363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9B6A05"/>
    <w:multiLevelType w:val="hybridMultilevel"/>
    <w:tmpl w:val="0F64E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6" w15:restartNumberingAfterBreak="0">
    <w:nsid w:val="27D83E4D"/>
    <w:multiLevelType w:val="multilevel"/>
    <w:tmpl w:val="3928FD02"/>
    <w:numStyleLink w:val="Bulletlist"/>
  </w:abstractNum>
  <w:abstractNum w:abstractNumId="27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520E7"/>
    <w:multiLevelType w:val="multilevel"/>
    <w:tmpl w:val="4E6AC8F6"/>
    <w:numStyleLink w:val="Numberlist"/>
  </w:abstractNum>
  <w:abstractNum w:abstractNumId="2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3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AAA2B7E"/>
    <w:multiLevelType w:val="hybridMultilevel"/>
    <w:tmpl w:val="945C1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9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842BC6"/>
    <w:multiLevelType w:val="multilevel"/>
    <w:tmpl w:val="0C78A7AC"/>
    <w:numStyleLink w:val="Tablebulletlist"/>
  </w:abstractNum>
  <w:abstractNum w:abstractNumId="5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6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21323"/>
    <w:multiLevelType w:val="multilevel"/>
    <w:tmpl w:val="4E6AC8F6"/>
    <w:numStyleLink w:val="Numberlist"/>
  </w:abstractNum>
  <w:abstractNum w:abstractNumId="5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1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4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6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8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5"/>
  </w:num>
  <w:num w:numId="2">
    <w:abstractNumId w:val="23"/>
  </w:num>
  <w:num w:numId="3">
    <w:abstractNumId w:val="74"/>
  </w:num>
  <w:num w:numId="4">
    <w:abstractNumId w:val="46"/>
  </w:num>
  <w:num w:numId="5">
    <w:abstractNumId w:val="29"/>
  </w:num>
  <w:num w:numId="6">
    <w:abstractNumId w:val="16"/>
  </w:num>
  <w:num w:numId="7">
    <w:abstractNumId w:val="51"/>
  </w:num>
  <w:num w:numId="8">
    <w:abstractNumId w:val="26"/>
  </w:num>
  <w:num w:numId="9">
    <w:abstractNumId w:val="58"/>
  </w:num>
  <w:num w:numId="10">
    <w:abstractNumId w:val="22"/>
  </w:num>
  <w:num w:numId="11">
    <w:abstractNumId w:val="64"/>
  </w:num>
  <w:num w:numId="12">
    <w:abstractNumId w:val="18"/>
  </w:num>
  <w:num w:numId="13">
    <w:abstractNumId w:val="1"/>
  </w:num>
  <w:num w:numId="14">
    <w:abstractNumId w:val="62"/>
  </w:num>
  <w:num w:numId="15">
    <w:abstractNumId w:val="28"/>
  </w:num>
  <w:num w:numId="16">
    <w:abstractNumId w:val="63"/>
  </w:num>
  <w:num w:numId="17">
    <w:abstractNumId w:val="72"/>
  </w:num>
  <w:num w:numId="18">
    <w:abstractNumId w:val="57"/>
  </w:num>
  <w:num w:numId="19">
    <w:abstractNumId w:val="49"/>
  </w:num>
  <w:num w:numId="20">
    <w:abstractNumId w:val="53"/>
  </w:num>
  <w:num w:numId="21">
    <w:abstractNumId w:val="40"/>
  </w:num>
  <w:num w:numId="22">
    <w:abstractNumId w:val="56"/>
  </w:num>
  <w:num w:numId="23">
    <w:abstractNumId w:val="48"/>
  </w:num>
  <w:num w:numId="24">
    <w:abstractNumId w:val="42"/>
  </w:num>
  <w:num w:numId="25">
    <w:abstractNumId w:val="38"/>
  </w:num>
  <w:num w:numId="26">
    <w:abstractNumId w:val="10"/>
  </w:num>
  <w:num w:numId="27">
    <w:abstractNumId w:val="73"/>
  </w:num>
  <w:num w:numId="28">
    <w:abstractNumId w:val="37"/>
  </w:num>
  <w:num w:numId="29">
    <w:abstractNumId w:val="30"/>
  </w:num>
  <w:num w:numId="30">
    <w:abstractNumId w:val="0"/>
  </w:num>
  <w:num w:numId="31">
    <w:abstractNumId w:val="41"/>
  </w:num>
  <w:num w:numId="32">
    <w:abstractNumId w:val="9"/>
  </w:num>
  <w:num w:numId="33">
    <w:abstractNumId w:val="65"/>
  </w:num>
  <w:num w:numId="34">
    <w:abstractNumId w:val="33"/>
  </w:num>
  <w:num w:numId="35">
    <w:abstractNumId w:val="50"/>
  </w:num>
  <w:num w:numId="36">
    <w:abstractNumId w:val="66"/>
  </w:num>
  <w:num w:numId="37">
    <w:abstractNumId w:val="68"/>
  </w:num>
  <w:num w:numId="38">
    <w:abstractNumId w:val="15"/>
  </w:num>
  <w:num w:numId="39">
    <w:abstractNumId w:val="27"/>
  </w:num>
  <w:num w:numId="40">
    <w:abstractNumId w:val="69"/>
  </w:num>
  <w:num w:numId="41">
    <w:abstractNumId w:val="2"/>
  </w:num>
  <w:num w:numId="42">
    <w:abstractNumId w:val="61"/>
  </w:num>
  <w:num w:numId="43">
    <w:abstractNumId w:val="11"/>
  </w:num>
  <w:num w:numId="44">
    <w:abstractNumId w:val="36"/>
  </w:num>
  <w:num w:numId="45">
    <w:abstractNumId w:val="43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12"/>
  </w:num>
  <w:num w:numId="49">
    <w:abstractNumId w:val="21"/>
  </w:num>
  <w:num w:numId="50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0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02DA"/>
    <w:rsid w:val="000911EF"/>
    <w:rsid w:val="000962C5"/>
    <w:rsid w:val="00097865"/>
    <w:rsid w:val="000A4317"/>
    <w:rsid w:val="000A559C"/>
    <w:rsid w:val="000B2CA1"/>
    <w:rsid w:val="000C18C9"/>
    <w:rsid w:val="000D1F29"/>
    <w:rsid w:val="000D633D"/>
    <w:rsid w:val="000E342B"/>
    <w:rsid w:val="000E3ED2"/>
    <w:rsid w:val="000E5DD2"/>
    <w:rsid w:val="000F2958"/>
    <w:rsid w:val="000F3850"/>
    <w:rsid w:val="000F604F"/>
    <w:rsid w:val="00100E23"/>
    <w:rsid w:val="00104E7F"/>
    <w:rsid w:val="001137EC"/>
    <w:rsid w:val="00114404"/>
    <w:rsid w:val="001152F5"/>
    <w:rsid w:val="00117743"/>
    <w:rsid w:val="00117F5B"/>
    <w:rsid w:val="00127715"/>
    <w:rsid w:val="00132658"/>
    <w:rsid w:val="00150DC0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0279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2B64"/>
    <w:rsid w:val="002B38F7"/>
    <w:rsid w:val="002B4F50"/>
    <w:rsid w:val="002B5591"/>
    <w:rsid w:val="002B6AA4"/>
    <w:rsid w:val="002C1FE9"/>
    <w:rsid w:val="002D34F0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0F92"/>
    <w:rsid w:val="00390CE3"/>
    <w:rsid w:val="00394876"/>
    <w:rsid w:val="00394AAF"/>
    <w:rsid w:val="00394CE5"/>
    <w:rsid w:val="003A4BDB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365E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FC4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2F2D"/>
    <w:rsid w:val="006A756A"/>
    <w:rsid w:val="006D66F7"/>
    <w:rsid w:val="00705C9D"/>
    <w:rsid w:val="00705F13"/>
    <w:rsid w:val="00714F1D"/>
    <w:rsid w:val="00715225"/>
    <w:rsid w:val="0071748C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1EA7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263F"/>
    <w:rsid w:val="008015A8"/>
    <w:rsid w:val="00804EA4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422B"/>
    <w:rsid w:val="00901430"/>
    <w:rsid w:val="00902B13"/>
    <w:rsid w:val="00911941"/>
    <w:rsid w:val="0091447B"/>
    <w:rsid w:val="0092024D"/>
    <w:rsid w:val="00925146"/>
    <w:rsid w:val="00925F0F"/>
    <w:rsid w:val="00932F6B"/>
    <w:rsid w:val="009468BC"/>
    <w:rsid w:val="00947FAE"/>
    <w:rsid w:val="00953762"/>
    <w:rsid w:val="009616DF"/>
    <w:rsid w:val="00963E4F"/>
    <w:rsid w:val="0096542F"/>
    <w:rsid w:val="00967FA7"/>
    <w:rsid w:val="00971645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B76BF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6790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3BCB"/>
    <w:rsid w:val="00BF5099"/>
    <w:rsid w:val="00C0326E"/>
    <w:rsid w:val="00C10F10"/>
    <w:rsid w:val="00C15D4D"/>
    <w:rsid w:val="00C175DC"/>
    <w:rsid w:val="00C273B6"/>
    <w:rsid w:val="00C30171"/>
    <w:rsid w:val="00C309D8"/>
    <w:rsid w:val="00C322B4"/>
    <w:rsid w:val="00C357F6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76EBC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45453"/>
    <w:rsid w:val="00D517C6"/>
    <w:rsid w:val="00D61FD1"/>
    <w:rsid w:val="00D71D84"/>
    <w:rsid w:val="00D72464"/>
    <w:rsid w:val="00D72A57"/>
    <w:rsid w:val="00D768EB"/>
    <w:rsid w:val="00D81E17"/>
    <w:rsid w:val="00D82D1E"/>
    <w:rsid w:val="00D832D9"/>
    <w:rsid w:val="00D90F00"/>
    <w:rsid w:val="00D9724E"/>
    <w:rsid w:val="00D975C0"/>
    <w:rsid w:val="00DA0C7E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75451"/>
    <w:rsid w:val="00E770C4"/>
    <w:rsid w:val="00E84C5A"/>
    <w:rsid w:val="00E861DB"/>
    <w:rsid w:val="00E86323"/>
    <w:rsid w:val="00E908F1"/>
    <w:rsid w:val="00E93406"/>
    <w:rsid w:val="00E9402C"/>
    <w:rsid w:val="00E956C5"/>
    <w:rsid w:val="00E95C39"/>
    <w:rsid w:val="00EA2C39"/>
    <w:rsid w:val="00EB0A3C"/>
    <w:rsid w:val="00EB0A96"/>
    <w:rsid w:val="00EB164C"/>
    <w:rsid w:val="00EB1D82"/>
    <w:rsid w:val="00EB77F9"/>
    <w:rsid w:val="00EC46CB"/>
    <w:rsid w:val="00EC5769"/>
    <w:rsid w:val="00EC6A47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25B5B"/>
    <w:rsid w:val="00F5696E"/>
    <w:rsid w:val="00F60EFF"/>
    <w:rsid w:val="00F67D2D"/>
    <w:rsid w:val="00F858F2"/>
    <w:rsid w:val="00F860CC"/>
    <w:rsid w:val="00F94398"/>
    <w:rsid w:val="00FB2B56"/>
    <w:rsid w:val="00FB43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32DCDD"/>
  <w15:docId w15:val="{8793C0C6-0A89-4418-B528-7A7B2F5F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6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D34F0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45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453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itles.info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mineral-titles/mineral-title-fees-and-rent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mineral-titles/mineral-title-fees-and-re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ntg-factsheet-template_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E567BFBBF4FD0A792C1A0F818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6CB5-98FD-45DC-A074-998F9F283EE6}"/>
      </w:docPartPr>
      <w:docPartBody>
        <w:p w:rsidR="00FB5676" w:rsidRDefault="00146E62">
          <w:pPr>
            <w:pStyle w:val="880E567BFBBF4FD0A792C1A0F818DB56"/>
          </w:pPr>
          <w:r w:rsidRPr="000E6CF8">
            <w:rPr>
              <w:rStyle w:val="PlaceholderText"/>
            </w:rPr>
            <w:t>[Title]</w:t>
          </w:r>
        </w:p>
      </w:docPartBody>
    </w:docPart>
    <w:docPart>
      <w:docPartPr>
        <w:name w:val="A15A7D8E15F64D63820C074C8948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E209-AD2E-4889-B856-87492C3C4F56}"/>
      </w:docPartPr>
      <w:docPartBody>
        <w:p w:rsidR="00E0424D" w:rsidRDefault="002F756F" w:rsidP="002F756F">
          <w:pPr>
            <w:pStyle w:val="A15A7D8E15F64D63820C074C8948BB2D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62"/>
    <w:rsid w:val="00146E62"/>
    <w:rsid w:val="002F756F"/>
    <w:rsid w:val="00300DD4"/>
    <w:rsid w:val="009630F6"/>
    <w:rsid w:val="009A028D"/>
    <w:rsid w:val="009F58A1"/>
    <w:rsid w:val="00C379D5"/>
    <w:rsid w:val="00C90579"/>
    <w:rsid w:val="00E0424D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56F"/>
    <w:rPr>
      <w:color w:val="808080"/>
    </w:rPr>
  </w:style>
  <w:style w:type="paragraph" w:customStyle="1" w:styleId="880E567BFBBF4FD0A792C1A0F818DB56">
    <w:name w:val="880E567BFBBF4FD0A792C1A0F818DB56"/>
  </w:style>
  <w:style w:type="paragraph" w:customStyle="1" w:styleId="A15A7D8E15F64D63820C074C8948BB2D">
    <w:name w:val="A15A7D8E15F64D63820C074C8948BB2D"/>
    <w:rsid w:val="002F7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38761B-3125-4133-B016-70E6E649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ntg-factsheet-template_0.dotx</Template>
  <TotalTime>35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Reduction of title area for an Exploration Licence</vt:lpstr>
    </vt:vector>
  </TitlesOfParts>
  <Company>Industry, Tourism and Trade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Reduction of title area for an Exploration Licence</dc:title>
  <dc:creator>Northern Territory Government</dc:creator>
  <cp:lastModifiedBy>Alison Fry</cp:lastModifiedBy>
  <cp:revision>15</cp:revision>
  <cp:lastPrinted>2021-03-01T04:04:00Z</cp:lastPrinted>
  <dcterms:created xsi:type="dcterms:W3CDTF">2020-04-05T22:43:00Z</dcterms:created>
  <dcterms:modified xsi:type="dcterms:W3CDTF">2021-03-01T04:04:00Z</dcterms:modified>
</cp:coreProperties>
</file>