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9EA1" w14:textId="4BBC3C5B" w:rsidR="00FA4B80" w:rsidRDefault="00E63A4F" w:rsidP="00FA4B80">
      <w:pPr>
        <w:pStyle w:val="Title"/>
        <w:rPr>
          <w:sz w:val="48"/>
          <w:szCs w:val="48"/>
        </w:rPr>
      </w:pPr>
      <w:r>
        <w:rPr>
          <w:sz w:val="48"/>
          <w:szCs w:val="48"/>
        </w:rPr>
        <w:t xml:space="preserve">Commercial </w:t>
      </w:r>
      <w:r w:rsidR="00FA4B80" w:rsidRPr="00FA4B80">
        <w:rPr>
          <w:sz w:val="48"/>
          <w:szCs w:val="48"/>
        </w:rPr>
        <w:t xml:space="preserve">Barramundi Fishery </w:t>
      </w:r>
      <w:r w:rsidR="00041EE4">
        <w:rPr>
          <w:sz w:val="48"/>
          <w:szCs w:val="48"/>
        </w:rPr>
        <w:t>Status Report 2025</w:t>
      </w:r>
    </w:p>
    <w:p w14:paraId="5EADF187" w14:textId="0CA4F80A" w:rsidR="00041EE4" w:rsidRPr="00041EE4" w:rsidRDefault="00041EE4" w:rsidP="00041EE4">
      <w:pPr>
        <w:pStyle w:val="Heading1"/>
        <w:rPr>
          <w:color w:val="343741" w:themeColor="text1"/>
        </w:rPr>
      </w:pPr>
      <w:r w:rsidRPr="00041EE4">
        <w:rPr>
          <w:color w:val="343741" w:themeColor="text1"/>
        </w:rPr>
        <w:t>Fishing season: 1 February – 30 September 2025</w:t>
      </w:r>
    </w:p>
    <w:p w14:paraId="328B45AB" w14:textId="7AAC5453" w:rsidR="003C4941" w:rsidRDefault="00041EE4" w:rsidP="003C4941">
      <w:pPr>
        <w:pStyle w:val="Heading1"/>
        <w:rPr>
          <w:lang w:eastAsia="en-AU"/>
        </w:rPr>
      </w:pPr>
      <w:r>
        <w:t>Catch</w:t>
      </w:r>
    </w:p>
    <w:p w14:paraId="3137AE11" w14:textId="0269FA3C" w:rsidR="00E8764F" w:rsidRDefault="00E8764F" w:rsidP="00E8764F">
      <w:pPr>
        <w:shd w:val="clear" w:color="auto" w:fill="FFFFFF" w:themeFill="background1"/>
        <w:jc w:val="both"/>
        <w:rPr>
          <w:rFonts w:asciiTheme="minorHAnsi" w:hAnsiTheme="minorHAnsi"/>
          <w:lang w:eastAsia="en-AU"/>
        </w:rPr>
      </w:pPr>
      <w:r w:rsidRPr="009E45A7">
        <w:rPr>
          <w:rFonts w:asciiTheme="minorHAnsi" w:hAnsiTheme="minorHAnsi"/>
          <w:lang w:eastAsia="en-AU"/>
        </w:rPr>
        <w:t>The total commercial catch of Barramundi for the 202</w:t>
      </w:r>
      <w:r>
        <w:rPr>
          <w:rFonts w:asciiTheme="minorHAnsi" w:hAnsiTheme="minorHAnsi"/>
          <w:lang w:eastAsia="en-AU"/>
        </w:rPr>
        <w:t>5</w:t>
      </w:r>
      <w:r w:rsidRPr="009E45A7">
        <w:rPr>
          <w:rFonts w:asciiTheme="minorHAnsi" w:hAnsiTheme="minorHAnsi"/>
          <w:lang w:eastAsia="en-AU"/>
        </w:rPr>
        <w:t xml:space="preserve"> fishing season was </w:t>
      </w:r>
      <w:r>
        <w:rPr>
          <w:rFonts w:asciiTheme="minorHAnsi" w:hAnsiTheme="minorHAnsi"/>
          <w:lang w:eastAsia="en-AU"/>
        </w:rPr>
        <w:t>84</w:t>
      </w:r>
      <w:r w:rsidRPr="009E45A7">
        <w:rPr>
          <w:rFonts w:asciiTheme="minorHAnsi" w:hAnsiTheme="minorHAnsi"/>
          <w:lang w:eastAsia="en-AU"/>
        </w:rPr>
        <w:t>.</w:t>
      </w:r>
      <w:r>
        <w:rPr>
          <w:rFonts w:asciiTheme="minorHAnsi" w:hAnsiTheme="minorHAnsi"/>
          <w:lang w:eastAsia="en-AU"/>
        </w:rPr>
        <w:t>5</w:t>
      </w:r>
      <w:r w:rsidRPr="009E45A7">
        <w:rPr>
          <w:rFonts w:asciiTheme="minorHAnsi" w:hAnsiTheme="minorHAnsi"/>
          <w:lang w:eastAsia="en-AU"/>
        </w:rPr>
        <w:t xml:space="preserve"> tonnes and </w:t>
      </w:r>
      <w:r w:rsidRPr="009E45A7">
        <w:rPr>
          <w:rFonts w:asciiTheme="minorHAnsi" w:eastAsia="Times New Roman" w:hAnsiTheme="minorHAnsi"/>
        </w:rPr>
        <w:t>King Threadfin was</w:t>
      </w:r>
      <w:r>
        <w:rPr>
          <w:rFonts w:asciiTheme="minorHAnsi" w:eastAsia="Times New Roman" w:hAnsiTheme="minorHAnsi"/>
        </w:rPr>
        <w:t xml:space="preserve"> 35.3</w:t>
      </w:r>
      <w:r w:rsidRPr="009E45A7">
        <w:rPr>
          <w:rFonts w:asciiTheme="minorHAnsi" w:eastAsia="Times New Roman" w:hAnsiTheme="minorHAnsi"/>
        </w:rPr>
        <w:t xml:space="preserve"> tonnes</w:t>
      </w:r>
      <w:r>
        <w:rPr>
          <w:rFonts w:asciiTheme="minorHAnsi" w:eastAsia="Times New Roman" w:hAnsiTheme="minorHAnsi"/>
        </w:rPr>
        <w:t xml:space="preserve"> (Figure 1)</w:t>
      </w:r>
      <w:r w:rsidRPr="009E45A7">
        <w:rPr>
          <w:rFonts w:asciiTheme="minorHAnsi" w:eastAsia="Times New Roman" w:hAnsiTheme="minorHAnsi"/>
        </w:rPr>
        <w:t xml:space="preserve">. </w:t>
      </w:r>
      <w:r>
        <w:rPr>
          <w:rFonts w:asciiTheme="minorHAnsi" w:eastAsia="Times New Roman" w:hAnsiTheme="minorHAnsi"/>
        </w:rPr>
        <w:t>Catches of both Barramundi and King Threadfin have decreased from the 2024 fishing season, continuing a declining trend in</w:t>
      </w:r>
      <w:r w:rsidRPr="009E45A7">
        <w:rPr>
          <w:rFonts w:asciiTheme="minorHAnsi" w:eastAsia="Times New Roman" w:hAnsiTheme="minorHAnsi"/>
        </w:rPr>
        <w:t xml:space="preserve"> catch</w:t>
      </w:r>
      <w:r>
        <w:rPr>
          <w:rFonts w:asciiTheme="minorHAnsi" w:eastAsia="Times New Roman" w:hAnsiTheme="minorHAnsi"/>
        </w:rPr>
        <w:t>es</w:t>
      </w:r>
      <w:r w:rsidRPr="009E45A7">
        <w:rPr>
          <w:rFonts w:asciiTheme="minorHAnsi" w:eastAsia="Times New Roman" w:hAnsiTheme="minorHAnsi"/>
        </w:rPr>
        <w:t xml:space="preserve"> </w:t>
      </w:r>
      <w:r>
        <w:rPr>
          <w:rFonts w:asciiTheme="minorHAnsi" w:eastAsia="Times New Roman" w:hAnsiTheme="minorHAnsi"/>
        </w:rPr>
        <w:t>in</w:t>
      </w:r>
      <w:r w:rsidRPr="009E45A7">
        <w:rPr>
          <w:rFonts w:asciiTheme="minorHAnsi" w:eastAsia="Times New Roman" w:hAnsiTheme="minorHAnsi"/>
        </w:rPr>
        <w:t xml:space="preserve"> the </w:t>
      </w:r>
      <w:r>
        <w:rPr>
          <w:rFonts w:asciiTheme="minorHAnsi" w:eastAsia="Times New Roman" w:hAnsiTheme="minorHAnsi"/>
        </w:rPr>
        <w:t>Barramundi Fishery</w:t>
      </w:r>
      <w:r w:rsidRPr="009E45A7">
        <w:rPr>
          <w:rFonts w:asciiTheme="minorHAnsi" w:eastAsia="Times New Roman" w:hAnsiTheme="minorHAnsi"/>
        </w:rPr>
        <w:t xml:space="preserve"> </w:t>
      </w:r>
      <w:r>
        <w:rPr>
          <w:rFonts w:asciiTheme="minorHAnsi" w:eastAsia="Times New Roman" w:hAnsiTheme="minorHAnsi"/>
        </w:rPr>
        <w:t>across</w:t>
      </w:r>
      <w:r w:rsidRPr="009E45A7">
        <w:rPr>
          <w:rFonts w:asciiTheme="minorHAnsi" w:eastAsia="Times New Roman" w:hAnsiTheme="minorHAnsi"/>
        </w:rPr>
        <w:t xml:space="preserve"> the last </w:t>
      </w:r>
      <w:r>
        <w:rPr>
          <w:rFonts w:asciiTheme="minorHAnsi" w:eastAsia="Times New Roman" w:hAnsiTheme="minorHAnsi"/>
        </w:rPr>
        <w:t xml:space="preserve">two </w:t>
      </w:r>
      <w:r w:rsidRPr="009E45A7">
        <w:rPr>
          <w:rFonts w:asciiTheme="minorHAnsi" w:eastAsia="Times New Roman" w:hAnsiTheme="minorHAnsi"/>
        </w:rPr>
        <w:t>decade</w:t>
      </w:r>
      <w:r>
        <w:rPr>
          <w:rFonts w:asciiTheme="minorHAnsi" w:eastAsia="Times New Roman" w:hAnsiTheme="minorHAnsi"/>
        </w:rPr>
        <w:t>s</w:t>
      </w:r>
      <w:r w:rsidRPr="009E45A7">
        <w:rPr>
          <w:rFonts w:asciiTheme="minorHAnsi" w:eastAsia="Times New Roman" w:hAnsiTheme="minorHAnsi"/>
        </w:rPr>
        <w:t>.</w:t>
      </w:r>
    </w:p>
    <w:p w14:paraId="401D9CB1" w14:textId="77777777" w:rsidR="00E8764F" w:rsidRDefault="00E8764F" w:rsidP="00E8764F">
      <w:pPr>
        <w:shd w:val="clear" w:color="auto" w:fill="FFFFFF" w:themeFill="background1"/>
        <w:jc w:val="both"/>
        <w:rPr>
          <w:rFonts w:asciiTheme="minorHAnsi" w:hAnsiTheme="minorHAnsi"/>
          <w:lang w:eastAsia="en-AU"/>
        </w:rPr>
      </w:pPr>
      <w:r>
        <w:rPr>
          <w:noProof/>
        </w:rPr>
        <w:drawing>
          <wp:inline distT="0" distB="0" distL="0" distR="0" wp14:anchorId="11A8AEDE" wp14:editId="3B7D40AA">
            <wp:extent cx="5962650" cy="3933825"/>
            <wp:effectExtent l="0" t="0" r="0" b="0"/>
            <wp:docPr id="9972808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419C18B-A3FE-C467-BC5F-648FDC5586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4B8B907" w14:textId="77777777" w:rsidR="00E8764F" w:rsidRDefault="00E8764F" w:rsidP="00E8764F">
      <w:pPr>
        <w:keepNext/>
        <w:shd w:val="clear" w:color="auto" w:fill="FFFFFF" w:themeFill="background1"/>
        <w:jc w:val="both"/>
      </w:pPr>
    </w:p>
    <w:p w14:paraId="1D9F3981" w14:textId="34A01595" w:rsidR="00E8764F" w:rsidRDefault="00E8764F" w:rsidP="00E8764F">
      <w:pPr>
        <w:pStyle w:val="Caption"/>
        <w:jc w:val="center"/>
        <w:rPr>
          <w:rFonts w:asciiTheme="minorHAnsi" w:eastAsia="Times New Roman" w:hAnsiTheme="minorHAnsi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F53F53">
        <w:rPr>
          <w:noProof/>
        </w:rPr>
        <w:t>1</w:t>
      </w:r>
      <w:r>
        <w:fldChar w:fldCharType="end"/>
      </w:r>
      <w:r>
        <w:t>. C</w:t>
      </w:r>
      <w:r w:rsidRPr="003D3563">
        <w:t>atch composition of the Barramundi Fishery between 2014 and 202</w:t>
      </w:r>
      <w:r>
        <w:t>5</w:t>
      </w:r>
      <w:r w:rsidRPr="003D3563">
        <w:t>.</w:t>
      </w:r>
    </w:p>
    <w:p w14:paraId="4C15A19D" w14:textId="3EBF507F" w:rsidR="00C24258" w:rsidRDefault="00041EE4" w:rsidP="007C69D5">
      <w:pPr>
        <w:pStyle w:val="Subtitle0"/>
      </w:pPr>
      <w:r>
        <w:t>Effort</w:t>
      </w:r>
    </w:p>
    <w:p w14:paraId="7CB31B8D" w14:textId="09AD9DA8" w:rsidR="00E8764F" w:rsidRDefault="00E8764F" w:rsidP="00E8764F">
      <w:pPr>
        <w:shd w:val="clear" w:color="auto" w:fill="FFFFFF" w:themeFill="background1"/>
        <w:jc w:val="both"/>
        <w:rPr>
          <w:rFonts w:asciiTheme="minorHAnsi" w:hAnsiTheme="minorHAnsi"/>
        </w:rPr>
      </w:pPr>
      <w:r w:rsidRPr="009E45A7">
        <w:rPr>
          <w:rFonts w:asciiTheme="minorHAnsi" w:hAnsiTheme="minorHAnsi"/>
        </w:rPr>
        <w:t>Effort for the 202</w:t>
      </w:r>
      <w:r>
        <w:rPr>
          <w:rFonts w:asciiTheme="minorHAnsi" w:hAnsiTheme="minorHAnsi"/>
        </w:rPr>
        <w:t>5</w:t>
      </w:r>
      <w:r w:rsidRPr="009E45A7">
        <w:rPr>
          <w:rFonts w:asciiTheme="minorHAnsi" w:hAnsiTheme="minorHAnsi"/>
        </w:rPr>
        <w:t xml:space="preserve"> fishing season was reported as 3</w:t>
      </w:r>
      <w:r>
        <w:rPr>
          <w:rFonts w:asciiTheme="minorHAnsi" w:hAnsiTheme="minorHAnsi"/>
        </w:rPr>
        <w:t>207</w:t>
      </w:r>
      <w:r w:rsidRPr="009E45A7">
        <w:rPr>
          <w:rFonts w:asciiTheme="minorHAnsi" w:hAnsiTheme="minorHAnsi"/>
        </w:rPr>
        <w:t xml:space="preserve"> </w:t>
      </w:r>
      <w:proofErr w:type="gramStart"/>
      <w:r w:rsidRPr="009E45A7">
        <w:rPr>
          <w:rFonts w:asciiTheme="minorHAnsi" w:hAnsiTheme="minorHAnsi"/>
        </w:rPr>
        <w:t>Hundred</w:t>
      </w:r>
      <w:proofErr w:type="gramEnd"/>
      <w:r w:rsidRPr="009E45A7">
        <w:rPr>
          <w:rFonts w:asciiTheme="minorHAnsi" w:hAnsiTheme="minorHAnsi"/>
        </w:rPr>
        <w:t xml:space="preserve"> Metre Net Days </w:t>
      </w:r>
      <w:r>
        <w:rPr>
          <w:rFonts w:asciiTheme="minorHAnsi" w:hAnsiTheme="minorHAnsi"/>
        </w:rPr>
        <w:t>(HMND) (Figure 2).</w:t>
      </w:r>
      <w:r w:rsidRPr="009E45A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HMND</w:t>
      </w:r>
      <w:r w:rsidRPr="00993A87">
        <w:rPr>
          <w:rFonts w:asciiTheme="minorHAnsi" w:hAnsiTheme="minorHAnsi"/>
        </w:rPr>
        <w:t xml:space="preserve"> refers to the length of net (measured in units of 100 m) used each day </w:t>
      </w:r>
      <w:r>
        <w:rPr>
          <w:rFonts w:asciiTheme="minorHAnsi" w:hAnsiTheme="minorHAnsi"/>
        </w:rPr>
        <w:t>by commercial fishers. Th</w:t>
      </w:r>
      <w:r w:rsidR="00E63A4F">
        <w:rPr>
          <w:rFonts w:asciiTheme="minorHAnsi" w:hAnsiTheme="minorHAnsi"/>
        </w:rPr>
        <w:t xml:space="preserve">e </w:t>
      </w:r>
      <w:r>
        <w:rPr>
          <w:rFonts w:asciiTheme="minorHAnsi" w:hAnsiTheme="minorHAnsi"/>
        </w:rPr>
        <w:t xml:space="preserve">level of effort </w:t>
      </w:r>
      <w:r w:rsidR="00E63A4F">
        <w:rPr>
          <w:rFonts w:asciiTheme="minorHAnsi" w:hAnsiTheme="minorHAnsi"/>
        </w:rPr>
        <w:t xml:space="preserve">reported in 2025 </w:t>
      </w:r>
      <w:r>
        <w:rPr>
          <w:rFonts w:asciiTheme="minorHAnsi" w:hAnsiTheme="minorHAnsi"/>
        </w:rPr>
        <w:t>is the lowest recorded in the history of the commercial Barramundi Fishery.</w:t>
      </w:r>
    </w:p>
    <w:p w14:paraId="3E97E1F0" w14:textId="5E100A14" w:rsidR="00041EE4" w:rsidRDefault="00041EE4" w:rsidP="00041EE4">
      <w:pPr>
        <w:shd w:val="clear" w:color="auto" w:fill="FFFFFF" w:themeFill="background1"/>
        <w:jc w:val="both"/>
        <w:rPr>
          <w:rFonts w:asciiTheme="minorHAnsi" w:hAnsiTheme="minorHAnsi"/>
        </w:rPr>
      </w:pPr>
    </w:p>
    <w:p w14:paraId="64F3E812" w14:textId="77777777" w:rsidR="00E8764F" w:rsidRDefault="00E8764F" w:rsidP="00E8764F">
      <w:pPr>
        <w:shd w:val="clear" w:color="auto" w:fill="FFFFFF" w:themeFill="background1"/>
        <w:jc w:val="both"/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7C5F1A7D" wp14:editId="15E2274B">
            <wp:extent cx="6496050" cy="3724275"/>
            <wp:effectExtent l="0" t="0" r="0" b="0"/>
            <wp:docPr id="16826552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C694E3C-1BED-9E65-712D-2B75AB4A03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C1AF844" w14:textId="77777777" w:rsidR="00E8764F" w:rsidRDefault="00E8764F" w:rsidP="00E8764F">
      <w:pPr>
        <w:keepNext/>
        <w:shd w:val="clear" w:color="auto" w:fill="FFFFFF" w:themeFill="background1"/>
        <w:jc w:val="center"/>
      </w:pPr>
    </w:p>
    <w:p w14:paraId="31B340F7" w14:textId="575706EC" w:rsidR="00E8764F" w:rsidRPr="009E45A7" w:rsidRDefault="00E8764F" w:rsidP="00E8764F">
      <w:pPr>
        <w:pStyle w:val="Caption"/>
        <w:jc w:val="center"/>
        <w:rPr>
          <w:rFonts w:asciiTheme="minorHAnsi" w:hAnsiTheme="minorHAnsi"/>
        </w:rPr>
      </w:pPr>
      <w:bookmarkStart w:id="0" w:name="_Ref184198452"/>
      <w:bookmarkStart w:id="1" w:name="_Ref184211392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F53F53">
        <w:rPr>
          <w:noProof/>
        </w:rPr>
        <w:t>2</w:t>
      </w:r>
      <w:r>
        <w:fldChar w:fldCharType="end"/>
      </w:r>
      <w:bookmarkEnd w:id="0"/>
      <w:r>
        <w:t xml:space="preserve">. Effort levels in HMND by fishing season </w:t>
      </w:r>
      <w:r w:rsidR="00265CFF">
        <w:t xml:space="preserve">between </w:t>
      </w:r>
      <w:r>
        <w:t>2014 to 202</w:t>
      </w:r>
      <w:r w:rsidR="00BD5118">
        <w:t>5</w:t>
      </w:r>
      <w:r>
        <w:t>.</w:t>
      </w:r>
      <w:bookmarkEnd w:id="1"/>
    </w:p>
    <w:p w14:paraId="36131184" w14:textId="40636679" w:rsidR="00A61144" w:rsidRDefault="00041EE4" w:rsidP="00277E8A">
      <w:pPr>
        <w:pStyle w:val="Heading1"/>
        <w:rPr>
          <w:lang w:eastAsia="en-AU"/>
        </w:rPr>
      </w:pPr>
      <w:r>
        <w:rPr>
          <w:lang w:eastAsia="en-AU"/>
        </w:rPr>
        <w:t>Catch per Unit of Effort</w:t>
      </w:r>
    </w:p>
    <w:p w14:paraId="3BE99CAB" w14:textId="77777777" w:rsidR="00E8764F" w:rsidRDefault="00E8764F" w:rsidP="00E8764F">
      <w:pPr>
        <w:shd w:val="clear" w:color="auto" w:fill="FFFFFF" w:themeFill="background1"/>
        <w:jc w:val="both"/>
        <w:rPr>
          <w:rFonts w:asciiTheme="minorHAnsi" w:eastAsia="Times New Roman" w:hAnsiTheme="minorHAnsi"/>
        </w:rPr>
      </w:pPr>
      <w:r w:rsidRPr="009E45A7">
        <w:rPr>
          <w:rFonts w:asciiTheme="minorHAnsi" w:eastAsia="Times New Roman" w:hAnsiTheme="minorHAnsi"/>
        </w:rPr>
        <w:t>The nominal Catch per Unit Effort (CPUE) is based on total catch</w:t>
      </w:r>
      <w:r>
        <w:rPr>
          <w:rFonts w:asciiTheme="minorHAnsi" w:eastAsia="Times New Roman" w:hAnsiTheme="minorHAnsi"/>
        </w:rPr>
        <w:t xml:space="preserve"> in </w:t>
      </w:r>
      <w:r w:rsidRPr="009E45A7">
        <w:rPr>
          <w:rFonts w:asciiTheme="minorHAnsi" w:eastAsia="Times New Roman" w:hAnsiTheme="minorHAnsi"/>
        </w:rPr>
        <w:t>kilograms</w:t>
      </w:r>
      <w:r>
        <w:rPr>
          <w:rFonts w:asciiTheme="minorHAnsi" w:eastAsia="Times New Roman" w:hAnsiTheme="minorHAnsi"/>
        </w:rPr>
        <w:t xml:space="preserve"> (kgs)</w:t>
      </w:r>
      <w:r w:rsidRPr="009E45A7">
        <w:rPr>
          <w:rFonts w:asciiTheme="minorHAnsi" w:eastAsia="Times New Roman" w:hAnsiTheme="minorHAnsi"/>
        </w:rPr>
        <w:t xml:space="preserve"> divided by HMND. The CPUE was above the target</w:t>
      </w:r>
      <w:r>
        <w:rPr>
          <w:rFonts w:asciiTheme="minorHAnsi" w:eastAsia="Times New Roman" w:hAnsiTheme="minorHAnsi"/>
        </w:rPr>
        <w:t xml:space="preserve"> reference point </w:t>
      </w:r>
      <w:r w:rsidRPr="009E45A7">
        <w:rPr>
          <w:rFonts w:asciiTheme="minorHAnsi" w:eastAsia="Times New Roman" w:hAnsiTheme="minorHAnsi"/>
        </w:rPr>
        <w:t xml:space="preserve">for each of the </w:t>
      </w:r>
      <w:r>
        <w:rPr>
          <w:rFonts w:asciiTheme="minorHAnsi" w:eastAsia="Times New Roman" w:hAnsiTheme="minorHAnsi"/>
        </w:rPr>
        <w:t>spat</w:t>
      </w:r>
      <w:r>
        <w:t>ial management areas for Barramundi and King Threadfin (</w:t>
      </w:r>
      <w:proofErr w:type="gramStart"/>
      <w:r>
        <w:t>with the exception of</w:t>
      </w:r>
      <w:proofErr w:type="gramEnd"/>
      <w:r>
        <w:t xml:space="preserve"> Anson Bay, which was above the trigger reference point for King Threadfin) </w:t>
      </w:r>
      <w:r>
        <w:rPr>
          <w:rFonts w:asciiTheme="minorHAnsi" w:eastAsia="Times New Roman" w:hAnsiTheme="minorHAnsi"/>
        </w:rPr>
        <w:t>outlined in</w:t>
      </w:r>
      <w:r w:rsidRPr="009E45A7">
        <w:rPr>
          <w:rFonts w:asciiTheme="minorHAnsi" w:eastAsia="Times New Roman" w:hAnsiTheme="minorHAnsi"/>
        </w:rPr>
        <w:t xml:space="preserve"> the Harvest Strategy</w:t>
      </w:r>
      <w:r>
        <w:rPr>
          <w:rFonts w:asciiTheme="minorHAnsi" w:eastAsia="Times New Roman" w:hAnsiTheme="minorHAnsi"/>
        </w:rPr>
        <w:t xml:space="preserve">. </w:t>
      </w:r>
      <w:r w:rsidRPr="009E45A7">
        <w:rPr>
          <w:rFonts w:asciiTheme="minorHAnsi" w:eastAsia="Times New Roman" w:hAnsiTheme="minorHAnsi"/>
        </w:rPr>
        <w:t>High CPUE in the fishery for the 202</w:t>
      </w:r>
      <w:r>
        <w:rPr>
          <w:rFonts w:asciiTheme="minorHAnsi" w:eastAsia="Times New Roman" w:hAnsiTheme="minorHAnsi"/>
        </w:rPr>
        <w:t>5</w:t>
      </w:r>
      <w:r w:rsidRPr="009E45A7">
        <w:rPr>
          <w:rFonts w:asciiTheme="minorHAnsi" w:eastAsia="Times New Roman" w:hAnsiTheme="minorHAnsi"/>
        </w:rPr>
        <w:t xml:space="preserve"> season is likely driven by </w:t>
      </w:r>
      <w:r>
        <w:rPr>
          <w:rFonts w:asciiTheme="minorHAnsi" w:eastAsia="Times New Roman" w:hAnsiTheme="minorHAnsi"/>
        </w:rPr>
        <w:t>generally above average</w:t>
      </w:r>
      <w:r w:rsidRPr="009E45A7">
        <w:rPr>
          <w:rFonts w:asciiTheme="minorHAnsi" w:eastAsia="Times New Roman" w:hAnsiTheme="minorHAnsi"/>
        </w:rPr>
        <w:t xml:space="preserve"> rainfall during </w:t>
      </w:r>
      <w:r>
        <w:rPr>
          <w:rFonts w:asciiTheme="minorHAnsi" w:eastAsia="Times New Roman" w:hAnsiTheme="minorHAnsi"/>
        </w:rPr>
        <w:t>recent wet seasons across the Northern Territory.</w:t>
      </w:r>
    </w:p>
    <w:p w14:paraId="0C2C13AE" w14:textId="78C7386F" w:rsidR="00E8764F" w:rsidRDefault="00E8764F" w:rsidP="00E8764F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F53F53">
        <w:rPr>
          <w:noProof/>
        </w:rPr>
        <w:t>1</w:t>
      </w:r>
      <w:r>
        <w:fldChar w:fldCharType="end"/>
      </w:r>
      <w:r>
        <w:t>. Commercial CPUE for Barramundi in the 2025 fishing season</w:t>
      </w:r>
    </w:p>
    <w:tbl>
      <w:tblPr>
        <w:tblStyle w:val="NTGmeetingagendatable"/>
        <w:tblW w:w="0" w:type="auto"/>
        <w:tblLook w:val="04A0" w:firstRow="1" w:lastRow="0" w:firstColumn="1" w:lastColumn="0" w:noHBand="0" w:noVBand="1"/>
      </w:tblPr>
      <w:tblGrid>
        <w:gridCol w:w="1838"/>
        <w:gridCol w:w="2117"/>
        <w:gridCol w:w="2118"/>
        <w:gridCol w:w="2117"/>
        <w:gridCol w:w="2118"/>
      </w:tblGrid>
      <w:tr w:rsidR="00E8764F" w14:paraId="2F73EFE1" w14:textId="77777777" w:rsidTr="00E45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1FBBF99" w14:textId="77777777" w:rsidR="00E8764F" w:rsidRDefault="00E8764F" w:rsidP="00E45A35">
            <w:pPr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Catchment</w:t>
            </w:r>
          </w:p>
        </w:tc>
        <w:tc>
          <w:tcPr>
            <w:tcW w:w="2117" w:type="dxa"/>
          </w:tcPr>
          <w:p w14:paraId="01F20BB4" w14:textId="77777777" w:rsidR="00E8764F" w:rsidRDefault="00E8764F" w:rsidP="00E45A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Daly River/ Anson Bay</w:t>
            </w:r>
          </w:p>
        </w:tc>
        <w:tc>
          <w:tcPr>
            <w:tcW w:w="2118" w:type="dxa"/>
          </w:tcPr>
          <w:p w14:paraId="3DB7B7EE" w14:textId="77777777" w:rsidR="00E8764F" w:rsidRDefault="00E8764F" w:rsidP="00E45A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Mini mini/ Alligator Rivers</w:t>
            </w:r>
          </w:p>
        </w:tc>
        <w:tc>
          <w:tcPr>
            <w:tcW w:w="2117" w:type="dxa"/>
          </w:tcPr>
          <w:p w14:paraId="4C180080" w14:textId="77777777" w:rsidR="00E8764F" w:rsidRDefault="00E8764F" w:rsidP="00E45A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Buckingham/ Arnhem Bay</w:t>
            </w:r>
          </w:p>
        </w:tc>
        <w:tc>
          <w:tcPr>
            <w:tcW w:w="2118" w:type="dxa"/>
          </w:tcPr>
          <w:p w14:paraId="4FD81394" w14:textId="77777777" w:rsidR="00E8764F" w:rsidRDefault="00E8764F" w:rsidP="00E45A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Roper River</w:t>
            </w:r>
          </w:p>
        </w:tc>
      </w:tr>
      <w:tr w:rsidR="00E8764F" w:rsidRPr="00367820" w14:paraId="26EB0803" w14:textId="77777777" w:rsidTr="00E45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DC65FC9" w14:textId="77777777" w:rsidR="00E8764F" w:rsidRPr="00367820" w:rsidRDefault="00E8764F" w:rsidP="00E45A35">
            <w:pPr>
              <w:jc w:val="both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CPUE (kg/HMND)</w:t>
            </w:r>
          </w:p>
        </w:tc>
        <w:tc>
          <w:tcPr>
            <w:tcW w:w="2117" w:type="dxa"/>
          </w:tcPr>
          <w:p w14:paraId="0E555BB8" w14:textId="77777777" w:rsidR="00E8764F" w:rsidRPr="00367820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21.31</w:t>
            </w:r>
          </w:p>
        </w:tc>
        <w:tc>
          <w:tcPr>
            <w:tcW w:w="2118" w:type="dxa"/>
          </w:tcPr>
          <w:p w14:paraId="7BAC5012" w14:textId="77777777" w:rsidR="00E8764F" w:rsidRPr="00367820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29.33</w:t>
            </w:r>
          </w:p>
        </w:tc>
        <w:tc>
          <w:tcPr>
            <w:tcW w:w="2117" w:type="dxa"/>
          </w:tcPr>
          <w:p w14:paraId="1C88C584" w14:textId="77777777" w:rsidR="00E8764F" w:rsidRPr="00367820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NA</w:t>
            </w:r>
          </w:p>
        </w:tc>
        <w:tc>
          <w:tcPr>
            <w:tcW w:w="2118" w:type="dxa"/>
          </w:tcPr>
          <w:p w14:paraId="460E1FE9" w14:textId="77777777" w:rsidR="00E8764F" w:rsidRPr="00367820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31.9</w:t>
            </w:r>
          </w:p>
        </w:tc>
      </w:tr>
      <w:tr w:rsidR="00E8764F" w:rsidRPr="00367820" w14:paraId="6E1F2E79" w14:textId="77777777" w:rsidTr="00E45A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19F10D1" w14:textId="77777777" w:rsidR="00E8764F" w:rsidRPr="00367820" w:rsidRDefault="00E8764F" w:rsidP="00E45A35">
            <w:pPr>
              <w:jc w:val="both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Target RP</w:t>
            </w:r>
          </w:p>
        </w:tc>
        <w:tc>
          <w:tcPr>
            <w:tcW w:w="2117" w:type="dxa"/>
          </w:tcPr>
          <w:p w14:paraId="6E54DE77" w14:textId="77777777" w:rsidR="00E8764F" w:rsidRPr="00367820" w:rsidRDefault="00E8764F" w:rsidP="00E45A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18.79</w:t>
            </w:r>
          </w:p>
        </w:tc>
        <w:tc>
          <w:tcPr>
            <w:tcW w:w="2118" w:type="dxa"/>
          </w:tcPr>
          <w:p w14:paraId="48E77271" w14:textId="77777777" w:rsidR="00E8764F" w:rsidRPr="00367820" w:rsidRDefault="00E8764F" w:rsidP="00E45A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19.26</w:t>
            </w:r>
          </w:p>
        </w:tc>
        <w:tc>
          <w:tcPr>
            <w:tcW w:w="2117" w:type="dxa"/>
          </w:tcPr>
          <w:p w14:paraId="721E3296" w14:textId="77777777" w:rsidR="00E8764F" w:rsidRPr="00367820" w:rsidRDefault="00E8764F" w:rsidP="00E45A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22.53</w:t>
            </w:r>
          </w:p>
        </w:tc>
        <w:tc>
          <w:tcPr>
            <w:tcW w:w="2118" w:type="dxa"/>
          </w:tcPr>
          <w:p w14:paraId="0B87A705" w14:textId="77777777" w:rsidR="00E8764F" w:rsidRPr="00367820" w:rsidRDefault="00E8764F" w:rsidP="00E45A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24.36</w:t>
            </w:r>
          </w:p>
        </w:tc>
      </w:tr>
      <w:tr w:rsidR="00E8764F" w:rsidRPr="00367820" w14:paraId="1D34BDAC" w14:textId="77777777" w:rsidTr="00E45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D46D8FC" w14:textId="77777777" w:rsidR="00E8764F" w:rsidRPr="00367820" w:rsidRDefault="00E8764F" w:rsidP="00E45A35">
            <w:pPr>
              <w:jc w:val="both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Trigger RP</w:t>
            </w:r>
          </w:p>
        </w:tc>
        <w:tc>
          <w:tcPr>
            <w:tcW w:w="2117" w:type="dxa"/>
          </w:tcPr>
          <w:p w14:paraId="61FF0D4B" w14:textId="77777777" w:rsidR="00E8764F" w:rsidRPr="00367820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14.09</w:t>
            </w:r>
          </w:p>
        </w:tc>
        <w:tc>
          <w:tcPr>
            <w:tcW w:w="2118" w:type="dxa"/>
          </w:tcPr>
          <w:p w14:paraId="10ADD69B" w14:textId="77777777" w:rsidR="00E8764F" w:rsidRPr="00367820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14.44</w:t>
            </w:r>
          </w:p>
        </w:tc>
        <w:tc>
          <w:tcPr>
            <w:tcW w:w="2117" w:type="dxa"/>
          </w:tcPr>
          <w:p w14:paraId="780EC269" w14:textId="77777777" w:rsidR="00E8764F" w:rsidRPr="00367820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16.90</w:t>
            </w:r>
          </w:p>
        </w:tc>
        <w:tc>
          <w:tcPr>
            <w:tcW w:w="2118" w:type="dxa"/>
          </w:tcPr>
          <w:p w14:paraId="694528A2" w14:textId="77777777" w:rsidR="00E8764F" w:rsidRPr="00367820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18.27</w:t>
            </w:r>
          </w:p>
        </w:tc>
      </w:tr>
      <w:tr w:rsidR="00E8764F" w:rsidRPr="00367820" w14:paraId="1DB15CBA" w14:textId="77777777" w:rsidTr="00E45A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B5D3BC4" w14:textId="77777777" w:rsidR="00E8764F" w:rsidRPr="00367820" w:rsidRDefault="00E8764F" w:rsidP="00E45A35">
            <w:pPr>
              <w:jc w:val="both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Limit RP</w:t>
            </w:r>
          </w:p>
        </w:tc>
        <w:tc>
          <w:tcPr>
            <w:tcW w:w="2117" w:type="dxa"/>
          </w:tcPr>
          <w:p w14:paraId="12CA7E3C" w14:textId="77777777" w:rsidR="00E8764F" w:rsidRPr="00367820" w:rsidRDefault="00E8764F" w:rsidP="00E45A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9.39</w:t>
            </w:r>
          </w:p>
        </w:tc>
        <w:tc>
          <w:tcPr>
            <w:tcW w:w="2118" w:type="dxa"/>
          </w:tcPr>
          <w:p w14:paraId="7D5987D4" w14:textId="77777777" w:rsidR="00E8764F" w:rsidRPr="00367820" w:rsidRDefault="00E8764F" w:rsidP="00E45A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9.63</w:t>
            </w:r>
          </w:p>
        </w:tc>
        <w:tc>
          <w:tcPr>
            <w:tcW w:w="2117" w:type="dxa"/>
          </w:tcPr>
          <w:p w14:paraId="6EBCCD85" w14:textId="77777777" w:rsidR="00E8764F" w:rsidRPr="00367820" w:rsidRDefault="00E8764F" w:rsidP="00E45A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11.23</w:t>
            </w:r>
          </w:p>
        </w:tc>
        <w:tc>
          <w:tcPr>
            <w:tcW w:w="2118" w:type="dxa"/>
          </w:tcPr>
          <w:p w14:paraId="5C254ABF" w14:textId="77777777" w:rsidR="00E8764F" w:rsidRPr="00367820" w:rsidRDefault="00E8764F" w:rsidP="00E45A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12.18</w:t>
            </w:r>
          </w:p>
        </w:tc>
      </w:tr>
    </w:tbl>
    <w:p w14:paraId="383F0F28" w14:textId="77777777" w:rsidR="00E8764F" w:rsidRPr="00367820" w:rsidRDefault="00E8764F" w:rsidP="00E8764F">
      <w:pPr>
        <w:shd w:val="clear" w:color="auto" w:fill="FFFFFF" w:themeFill="background1"/>
        <w:jc w:val="both"/>
        <w:rPr>
          <w:rFonts w:asciiTheme="minorHAnsi" w:eastAsia="Times New Roman" w:hAnsiTheme="minorHAnsi"/>
        </w:rPr>
      </w:pPr>
    </w:p>
    <w:p w14:paraId="66354539" w14:textId="7E730220" w:rsidR="00E8764F" w:rsidRPr="00367820" w:rsidRDefault="00E8764F" w:rsidP="00E8764F">
      <w:pPr>
        <w:pStyle w:val="Caption"/>
        <w:keepNext/>
      </w:pPr>
      <w:r w:rsidRPr="00367820">
        <w:t xml:space="preserve">Table </w:t>
      </w:r>
      <w:r w:rsidRPr="00367820">
        <w:fldChar w:fldCharType="begin"/>
      </w:r>
      <w:r w:rsidRPr="00367820">
        <w:instrText xml:space="preserve"> SEQ Table \* ARABIC </w:instrText>
      </w:r>
      <w:r w:rsidRPr="00367820">
        <w:fldChar w:fldCharType="separate"/>
      </w:r>
      <w:r w:rsidR="00F53F53">
        <w:rPr>
          <w:noProof/>
        </w:rPr>
        <w:t>2</w:t>
      </w:r>
      <w:r w:rsidRPr="00367820">
        <w:fldChar w:fldCharType="end"/>
      </w:r>
      <w:r w:rsidRPr="00367820">
        <w:t>. Commercial CPUE for King Threading in the 202</w:t>
      </w:r>
      <w:r>
        <w:t>5</w:t>
      </w:r>
      <w:r w:rsidRPr="00367820">
        <w:t xml:space="preserve"> fishing season.</w:t>
      </w:r>
    </w:p>
    <w:tbl>
      <w:tblPr>
        <w:tblStyle w:val="NTGmeetingagendatable"/>
        <w:tblW w:w="0" w:type="auto"/>
        <w:tblLook w:val="04A0" w:firstRow="1" w:lastRow="0" w:firstColumn="1" w:lastColumn="0" w:noHBand="0" w:noVBand="1"/>
      </w:tblPr>
      <w:tblGrid>
        <w:gridCol w:w="1838"/>
        <w:gridCol w:w="2117"/>
        <w:gridCol w:w="2118"/>
        <w:gridCol w:w="2117"/>
        <w:gridCol w:w="2118"/>
      </w:tblGrid>
      <w:tr w:rsidR="00E8764F" w:rsidRPr="00367820" w14:paraId="63FCE7BA" w14:textId="77777777" w:rsidTr="00E45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4AD97CA" w14:textId="77777777" w:rsidR="00E8764F" w:rsidRPr="00367820" w:rsidRDefault="00E8764F" w:rsidP="00E45A35">
            <w:pPr>
              <w:jc w:val="both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Catchment</w:t>
            </w:r>
          </w:p>
        </w:tc>
        <w:tc>
          <w:tcPr>
            <w:tcW w:w="2117" w:type="dxa"/>
          </w:tcPr>
          <w:p w14:paraId="32A4F26E" w14:textId="77777777" w:rsidR="00E8764F" w:rsidRPr="00367820" w:rsidRDefault="00E8764F" w:rsidP="00E45A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Daly River/ Anson Bay</w:t>
            </w:r>
          </w:p>
        </w:tc>
        <w:tc>
          <w:tcPr>
            <w:tcW w:w="2118" w:type="dxa"/>
          </w:tcPr>
          <w:p w14:paraId="7CF53BD3" w14:textId="77777777" w:rsidR="00E8764F" w:rsidRPr="00367820" w:rsidRDefault="00E8764F" w:rsidP="00E45A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Mini mini/ Alligator Rivers</w:t>
            </w:r>
          </w:p>
        </w:tc>
        <w:tc>
          <w:tcPr>
            <w:tcW w:w="2117" w:type="dxa"/>
          </w:tcPr>
          <w:p w14:paraId="670513FF" w14:textId="77777777" w:rsidR="00E8764F" w:rsidRPr="00367820" w:rsidRDefault="00E8764F" w:rsidP="00E45A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Buckingham/ Arnhem Bay</w:t>
            </w:r>
          </w:p>
        </w:tc>
        <w:tc>
          <w:tcPr>
            <w:tcW w:w="2118" w:type="dxa"/>
          </w:tcPr>
          <w:p w14:paraId="48DD11B3" w14:textId="77777777" w:rsidR="00E8764F" w:rsidRPr="00367820" w:rsidRDefault="00E8764F" w:rsidP="00E45A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Roper River</w:t>
            </w:r>
          </w:p>
        </w:tc>
      </w:tr>
      <w:tr w:rsidR="00E8764F" w14:paraId="71762BE7" w14:textId="77777777" w:rsidTr="00E45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852B364" w14:textId="77777777" w:rsidR="00E8764F" w:rsidRPr="00367820" w:rsidRDefault="00E8764F" w:rsidP="00E45A35">
            <w:pPr>
              <w:jc w:val="both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CPUE (kg/HMND)</w:t>
            </w:r>
          </w:p>
        </w:tc>
        <w:tc>
          <w:tcPr>
            <w:tcW w:w="2117" w:type="dxa"/>
          </w:tcPr>
          <w:p w14:paraId="17B907F4" w14:textId="77777777" w:rsidR="00E8764F" w:rsidRPr="00367820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10.01</w:t>
            </w:r>
          </w:p>
        </w:tc>
        <w:tc>
          <w:tcPr>
            <w:tcW w:w="2118" w:type="dxa"/>
          </w:tcPr>
          <w:p w14:paraId="3072E299" w14:textId="77777777" w:rsidR="00E8764F" w:rsidRPr="00367820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14.75</w:t>
            </w:r>
          </w:p>
        </w:tc>
        <w:tc>
          <w:tcPr>
            <w:tcW w:w="2117" w:type="dxa"/>
          </w:tcPr>
          <w:p w14:paraId="426BE1F2" w14:textId="77777777" w:rsidR="00E8764F" w:rsidRPr="00367820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0367820">
              <w:rPr>
                <w:rFonts w:asciiTheme="minorHAnsi" w:eastAsia="Times New Roman" w:hAnsiTheme="minorHAnsi"/>
              </w:rPr>
              <w:t>NA</w:t>
            </w:r>
          </w:p>
        </w:tc>
        <w:tc>
          <w:tcPr>
            <w:tcW w:w="2118" w:type="dxa"/>
          </w:tcPr>
          <w:p w14:paraId="3FC7DD00" w14:textId="77777777" w:rsidR="00E8764F" w:rsidRPr="00367820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16.26</w:t>
            </w:r>
          </w:p>
        </w:tc>
      </w:tr>
      <w:tr w:rsidR="00E8764F" w14:paraId="3A5A9D15" w14:textId="77777777" w:rsidTr="00E45A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D7F3421" w14:textId="77777777" w:rsidR="00E8764F" w:rsidRDefault="00E8764F" w:rsidP="00E45A35">
            <w:pPr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Target RP</w:t>
            </w:r>
          </w:p>
        </w:tc>
        <w:tc>
          <w:tcPr>
            <w:tcW w:w="2117" w:type="dxa"/>
          </w:tcPr>
          <w:p w14:paraId="73FFAF86" w14:textId="77777777" w:rsidR="00E8764F" w:rsidRDefault="00E8764F" w:rsidP="00E45A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12.16</w:t>
            </w:r>
          </w:p>
        </w:tc>
        <w:tc>
          <w:tcPr>
            <w:tcW w:w="2118" w:type="dxa"/>
          </w:tcPr>
          <w:p w14:paraId="32FDAA35" w14:textId="77777777" w:rsidR="00E8764F" w:rsidRDefault="00E8764F" w:rsidP="00E45A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11.28</w:t>
            </w:r>
          </w:p>
        </w:tc>
        <w:tc>
          <w:tcPr>
            <w:tcW w:w="2117" w:type="dxa"/>
          </w:tcPr>
          <w:p w14:paraId="487776EA" w14:textId="77777777" w:rsidR="00E8764F" w:rsidRDefault="00E8764F" w:rsidP="00E45A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18.28</w:t>
            </w:r>
          </w:p>
        </w:tc>
        <w:tc>
          <w:tcPr>
            <w:tcW w:w="2118" w:type="dxa"/>
          </w:tcPr>
          <w:p w14:paraId="2A19C9AC" w14:textId="77777777" w:rsidR="00E8764F" w:rsidRDefault="00E8764F" w:rsidP="00E45A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11.30</w:t>
            </w:r>
          </w:p>
        </w:tc>
      </w:tr>
      <w:tr w:rsidR="00E8764F" w14:paraId="2A350C5D" w14:textId="77777777" w:rsidTr="00E45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149010D" w14:textId="77777777" w:rsidR="00E8764F" w:rsidRDefault="00E8764F" w:rsidP="00E45A35">
            <w:pPr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Trigger RP</w:t>
            </w:r>
          </w:p>
        </w:tc>
        <w:tc>
          <w:tcPr>
            <w:tcW w:w="2117" w:type="dxa"/>
          </w:tcPr>
          <w:p w14:paraId="28BA2212" w14:textId="77777777" w:rsidR="00E8764F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9.12</w:t>
            </w:r>
          </w:p>
        </w:tc>
        <w:tc>
          <w:tcPr>
            <w:tcW w:w="2118" w:type="dxa"/>
          </w:tcPr>
          <w:p w14:paraId="07B9D7EC" w14:textId="77777777" w:rsidR="00E8764F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8.46</w:t>
            </w:r>
          </w:p>
        </w:tc>
        <w:tc>
          <w:tcPr>
            <w:tcW w:w="2117" w:type="dxa"/>
          </w:tcPr>
          <w:p w14:paraId="7F9D21DE" w14:textId="77777777" w:rsidR="00E8764F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13.71</w:t>
            </w:r>
          </w:p>
        </w:tc>
        <w:tc>
          <w:tcPr>
            <w:tcW w:w="2118" w:type="dxa"/>
          </w:tcPr>
          <w:p w14:paraId="4A293723" w14:textId="77777777" w:rsidR="00E8764F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8.48</w:t>
            </w:r>
          </w:p>
        </w:tc>
      </w:tr>
      <w:tr w:rsidR="00E8764F" w14:paraId="13E34270" w14:textId="77777777" w:rsidTr="00E45A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0280CAC" w14:textId="77777777" w:rsidR="00E8764F" w:rsidRDefault="00E8764F" w:rsidP="00E45A35">
            <w:pPr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Limit RP</w:t>
            </w:r>
          </w:p>
        </w:tc>
        <w:tc>
          <w:tcPr>
            <w:tcW w:w="2117" w:type="dxa"/>
          </w:tcPr>
          <w:p w14:paraId="2B7B07DD" w14:textId="77777777" w:rsidR="00E8764F" w:rsidRDefault="00E8764F" w:rsidP="00E45A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6.08</w:t>
            </w:r>
          </w:p>
        </w:tc>
        <w:tc>
          <w:tcPr>
            <w:tcW w:w="2118" w:type="dxa"/>
          </w:tcPr>
          <w:p w14:paraId="29E979E9" w14:textId="77777777" w:rsidR="00E8764F" w:rsidRDefault="00E8764F" w:rsidP="00E45A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5.64</w:t>
            </w:r>
          </w:p>
        </w:tc>
        <w:tc>
          <w:tcPr>
            <w:tcW w:w="2117" w:type="dxa"/>
          </w:tcPr>
          <w:p w14:paraId="7CF6A433" w14:textId="77777777" w:rsidR="00E8764F" w:rsidRDefault="00E8764F" w:rsidP="00E45A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9.14</w:t>
            </w:r>
          </w:p>
        </w:tc>
        <w:tc>
          <w:tcPr>
            <w:tcW w:w="2118" w:type="dxa"/>
          </w:tcPr>
          <w:p w14:paraId="1D064073" w14:textId="77777777" w:rsidR="00E8764F" w:rsidRDefault="00E8764F" w:rsidP="00E45A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5.65</w:t>
            </w:r>
          </w:p>
        </w:tc>
      </w:tr>
    </w:tbl>
    <w:p w14:paraId="06916917" w14:textId="77777777" w:rsidR="00041EE4" w:rsidRDefault="00041EE4" w:rsidP="00041EE4">
      <w:pPr>
        <w:shd w:val="clear" w:color="auto" w:fill="FFFFFF" w:themeFill="background1"/>
        <w:jc w:val="both"/>
        <w:rPr>
          <w:rFonts w:asciiTheme="minorHAnsi" w:eastAsia="Times New Roman" w:hAnsiTheme="minorHAnsi"/>
        </w:rPr>
      </w:pPr>
    </w:p>
    <w:p w14:paraId="2AADD466" w14:textId="42F3D133" w:rsidR="00041EE4" w:rsidRPr="00041EE4" w:rsidRDefault="00041EE4" w:rsidP="00041EE4">
      <w:pPr>
        <w:pStyle w:val="Heading1"/>
        <w:rPr>
          <w:szCs w:val="36"/>
          <w:lang w:eastAsia="en-AU"/>
        </w:rPr>
      </w:pPr>
      <w:r w:rsidRPr="00041EE4">
        <w:rPr>
          <w:szCs w:val="36"/>
          <w:lang w:eastAsia="en-AU"/>
        </w:rPr>
        <w:lastRenderedPageBreak/>
        <w:t xml:space="preserve">Interactions with Threatened Endangered and Protected Species </w:t>
      </w:r>
    </w:p>
    <w:p w14:paraId="62F3AE1C" w14:textId="33E04991" w:rsidR="00E8764F" w:rsidRPr="009E45A7" w:rsidRDefault="00E8764F" w:rsidP="00E8764F">
      <w:pPr>
        <w:shd w:val="clear" w:color="auto" w:fill="FFFFFF" w:themeFill="background1"/>
        <w:jc w:val="both"/>
        <w:rPr>
          <w:rFonts w:asciiTheme="minorHAnsi" w:hAnsiTheme="minorHAnsi"/>
          <w:lang w:eastAsia="en-AU"/>
        </w:rPr>
      </w:pPr>
      <w:r>
        <w:rPr>
          <w:rFonts w:asciiTheme="minorHAnsi" w:hAnsiTheme="minorHAnsi"/>
          <w:lang w:eastAsia="en-AU"/>
        </w:rPr>
        <w:t xml:space="preserve">The 2025 fishing season was the </w:t>
      </w:r>
      <w:r w:rsidR="00BD5118">
        <w:rPr>
          <w:rFonts w:asciiTheme="minorHAnsi" w:hAnsiTheme="minorHAnsi"/>
          <w:lang w:eastAsia="en-AU"/>
        </w:rPr>
        <w:t>second-year</w:t>
      </w:r>
      <w:r>
        <w:rPr>
          <w:rFonts w:asciiTheme="minorHAnsi" w:hAnsiTheme="minorHAnsi"/>
          <w:lang w:eastAsia="en-AU"/>
        </w:rPr>
        <w:t xml:space="preserve"> commercial fishers operated under the </w:t>
      </w:r>
      <w:r w:rsidRPr="009E45A7">
        <w:rPr>
          <w:rFonts w:asciiTheme="minorHAnsi" w:hAnsiTheme="minorHAnsi"/>
          <w:lang w:eastAsia="en-AU"/>
        </w:rPr>
        <w:t>Barramundi Fishery T</w:t>
      </w:r>
      <w:r>
        <w:rPr>
          <w:rFonts w:asciiTheme="minorHAnsi" w:hAnsiTheme="minorHAnsi"/>
          <w:lang w:eastAsia="en-AU"/>
        </w:rPr>
        <w:t xml:space="preserve">hreatened </w:t>
      </w:r>
      <w:r w:rsidRPr="009E45A7">
        <w:rPr>
          <w:rFonts w:asciiTheme="minorHAnsi" w:hAnsiTheme="minorHAnsi"/>
          <w:lang w:eastAsia="en-AU"/>
        </w:rPr>
        <w:t>E</w:t>
      </w:r>
      <w:r>
        <w:rPr>
          <w:rFonts w:asciiTheme="minorHAnsi" w:hAnsiTheme="minorHAnsi"/>
          <w:lang w:eastAsia="en-AU"/>
        </w:rPr>
        <w:t xml:space="preserve">ndangered and </w:t>
      </w:r>
      <w:r w:rsidRPr="009E45A7">
        <w:rPr>
          <w:rFonts w:asciiTheme="minorHAnsi" w:hAnsiTheme="minorHAnsi"/>
          <w:lang w:eastAsia="en-AU"/>
        </w:rPr>
        <w:t>P</w:t>
      </w:r>
      <w:r>
        <w:rPr>
          <w:rFonts w:asciiTheme="minorHAnsi" w:hAnsiTheme="minorHAnsi"/>
          <w:lang w:eastAsia="en-AU"/>
        </w:rPr>
        <w:t xml:space="preserve">rotected </w:t>
      </w:r>
      <w:r w:rsidRPr="009E45A7">
        <w:rPr>
          <w:rFonts w:asciiTheme="minorHAnsi" w:hAnsiTheme="minorHAnsi"/>
          <w:lang w:eastAsia="en-AU"/>
        </w:rPr>
        <w:t>S</w:t>
      </w:r>
      <w:r>
        <w:rPr>
          <w:rFonts w:asciiTheme="minorHAnsi" w:hAnsiTheme="minorHAnsi"/>
          <w:lang w:eastAsia="en-AU"/>
        </w:rPr>
        <w:t>pecies</w:t>
      </w:r>
      <w:r w:rsidRPr="009E45A7">
        <w:rPr>
          <w:rFonts w:asciiTheme="minorHAnsi" w:hAnsiTheme="minorHAnsi"/>
          <w:lang w:eastAsia="en-AU"/>
        </w:rPr>
        <w:t xml:space="preserve"> Strategy 2024-2029</w:t>
      </w:r>
      <w:r w:rsidR="000D126F">
        <w:rPr>
          <w:rFonts w:asciiTheme="minorHAnsi" w:hAnsiTheme="minorHAnsi"/>
          <w:lang w:eastAsia="en-AU"/>
        </w:rPr>
        <w:t xml:space="preserve"> (the strategy)</w:t>
      </w:r>
      <w:r>
        <w:rPr>
          <w:rFonts w:asciiTheme="minorHAnsi" w:hAnsiTheme="minorHAnsi"/>
          <w:lang w:eastAsia="en-AU"/>
        </w:rPr>
        <w:t>.</w:t>
      </w:r>
      <w:r w:rsidRPr="009E45A7">
        <w:rPr>
          <w:rFonts w:asciiTheme="minorHAnsi" w:hAnsiTheme="minorHAnsi"/>
          <w:lang w:eastAsia="en-AU"/>
        </w:rPr>
        <w:t xml:space="preserve"> </w:t>
      </w:r>
      <w:r w:rsidR="000D126F">
        <w:rPr>
          <w:rFonts w:asciiTheme="minorHAnsi" w:hAnsiTheme="minorHAnsi"/>
          <w:lang w:eastAsia="en-AU"/>
        </w:rPr>
        <w:t>For listed species under the strategy, t</w:t>
      </w:r>
      <w:r>
        <w:rPr>
          <w:rFonts w:asciiTheme="minorHAnsi" w:hAnsiTheme="minorHAnsi"/>
          <w:lang w:eastAsia="en-AU"/>
        </w:rPr>
        <w:t>here was a total of 109 sawfish interactions, with 103 of these released alive at the point of capture (</w:t>
      </w:r>
      <w:r>
        <w:rPr>
          <w:rFonts w:asciiTheme="minorHAnsi" w:hAnsiTheme="minorHAnsi"/>
          <w:lang w:eastAsia="en-AU"/>
        </w:rPr>
        <w:fldChar w:fldCharType="begin"/>
      </w:r>
      <w:r>
        <w:rPr>
          <w:rFonts w:asciiTheme="minorHAnsi" w:hAnsiTheme="minorHAnsi"/>
          <w:lang w:eastAsia="en-AU"/>
        </w:rPr>
        <w:instrText xml:space="preserve"> REF _Ref184198740 \h </w:instrText>
      </w:r>
      <w:r>
        <w:rPr>
          <w:rFonts w:asciiTheme="minorHAnsi" w:hAnsiTheme="minorHAnsi"/>
          <w:lang w:eastAsia="en-AU"/>
        </w:rPr>
      </w:r>
      <w:r>
        <w:rPr>
          <w:rFonts w:asciiTheme="minorHAnsi" w:hAnsiTheme="minorHAnsi"/>
          <w:lang w:eastAsia="en-AU"/>
        </w:rPr>
        <w:fldChar w:fldCharType="separate"/>
      </w:r>
      <w:r w:rsidR="00F53F53">
        <w:t xml:space="preserve">Table </w:t>
      </w:r>
      <w:r w:rsidR="00F53F53">
        <w:rPr>
          <w:noProof/>
        </w:rPr>
        <w:t>3</w:t>
      </w:r>
      <w:r>
        <w:rPr>
          <w:rFonts w:asciiTheme="minorHAnsi" w:hAnsiTheme="minorHAnsi"/>
          <w:lang w:eastAsia="en-AU"/>
        </w:rPr>
        <w:fldChar w:fldCharType="end"/>
      </w:r>
      <w:r>
        <w:rPr>
          <w:rFonts w:asciiTheme="minorHAnsi" w:hAnsiTheme="minorHAnsi"/>
          <w:lang w:eastAsia="en-AU"/>
        </w:rPr>
        <w:t xml:space="preserve">). </w:t>
      </w:r>
    </w:p>
    <w:p w14:paraId="396B52DF" w14:textId="1AA523A3" w:rsidR="00E8764F" w:rsidRDefault="00E8764F" w:rsidP="00E8764F">
      <w:pPr>
        <w:pStyle w:val="Caption"/>
        <w:keepNext/>
        <w:spacing w:after="120"/>
      </w:pPr>
      <w:bookmarkStart w:id="2" w:name="_Ref18419874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F53F53">
        <w:rPr>
          <w:noProof/>
        </w:rPr>
        <w:t>3</w:t>
      </w:r>
      <w:r>
        <w:fldChar w:fldCharType="end"/>
      </w:r>
      <w:bookmarkEnd w:id="2"/>
      <w:r>
        <w:t>. Species group specific total reported number of interactions and number of individuals released alive (in brackets) for the Barramundi Fishery in 2025.</w:t>
      </w:r>
    </w:p>
    <w:tbl>
      <w:tblPr>
        <w:tblStyle w:val="NTGmeetingagendatable"/>
        <w:tblW w:w="0" w:type="auto"/>
        <w:jc w:val="center"/>
        <w:tblLook w:val="04A0" w:firstRow="1" w:lastRow="0" w:firstColumn="1" w:lastColumn="0" w:noHBand="0" w:noVBand="1"/>
      </w:tblPr>
      <w:tblGrid>
        <w:gridCol w:w="1640"/>
        <w:gridCol w:w="1641"/>
        <w:gridCol w:w="1756"/>
        <w:gridCol w:w="1757"/>
        <w:gridCol w:w="1757"/>
        <w:gridCol w:w="1757"/>
      </w:tblGrid>
      <w:tr w:rsidR="00E8764F" w14:paraId="1E62805A" w14:textId="77777777" w:rsidTr="00E45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655701A9" w14:textId="77777777" w:rsidR="00E8764F" w:rsidRDefault="00E8764F" w:rsidP="00E45A35">
            <w:pPr>
              <w:rPr>
                <w:lang w:eastAsia="en-AU"/>
              </w:rPr>
            </w:pPr>
            <w:r>
              <w:rPr>
                <w:lang w:eastAsia="en-AU"/>
              </w:rPr>
              <w:t>Species Group</w:t>
            </w:r>
          </w:p>
        </w:tc>
        <w:tc>
          <w:tcPr>
            <w:tcW w:w="1641" w:type="dxa"/>
          </w:tcPr>
          <w:p w14:paraId="55E7A9A1" w14:textId="77777777" w:rsidR="00E8764F" w:rsidRDefault="00E8764F" w:rsidP="00E45A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Coastal Dolphins</w:t>
            </w:r>
          </w:p>
        </w:tc>
        <w:tc>
          <w:tcPr>
            <w:tcW w:w="1756" w:type="dxa"/>
          </w:tcPr>
          <w:p w14:paraId="33635B48" w14:textId="77777777" w:rsidR="00E8764F" w:rsidRDefault="00E8764F" w:rsidP="00E45A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Dugong</w:t>
            </w:r>
          </w:p>
        </w:tc>
        <w:tc>
          <w:tcPr>
            <w:tcW w:w="1757" w:type="dxa"/>
          </w:tcPr>
          <w:p w14:paraId="05B1B22D" w14:textId="77777777" w:rsidR="00E8764F" w:rsidRDefault="00E8764F" w:rsidP="00E45A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Turtles</w:t>
            </w:r>
          </w:p>
        </w:tc>
        <w:tc>
          <w:tcPr>
            <w:tcW w:w="1757" w:type="dxa"/>
          </w:tcPr>
          <w:p w14:paraId="0D0D13BC" w14:textId="77777777" w:rsidR="00E8764F" w:rsidRDefault="00E8764F" w:rsidP="00E45A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River Sharks</w:t>
            </w:r>
          </w:p>
        </w:tc>
        <w:tc>
          <w:tcPr>
            <w:tcW w:w="1757" w:type="dxa"/>
          </w:tcPr>
          <w:p w14:paraId="49BACD4B" w14:textId="77777777" w:rsidR="00E8764F" w:rsidRDefault="00E8764F" w:rsidP="00E45A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Sawfish</w:t>
            </w:r>
          </w:p>
        </w:tc>
      </w:tr>
      <w:tr w:rsidR="00E8764F" w14:paraId="47398FC4" w14:textId="77777777" w:rsidTr="00E45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dxa"/>
          </w:tcPr>
          <w:p w14:paraId="43E2C8D3" w14:textId="77777777" w:rsidR="00E8764F" w:rsidRPr="00C6488E" w:rsidRDefault="00E8764F" w:rsidP="00E45A35">
            <w:pPr>
              <w:rPr>
                <w:b w:val="0"/>
                <w:lang w:eastAsia="en-AU"/>
              </w:rPr>
            </w:pPr>
            <w:r>
              <w:rPr>
                <w:lang w:eastAsia="en-AU"/>
              </w:rPr>
              <w:t>Number of interactions</w:t>
            </w:r>
          </w:p>
        </w:tc>
        <w:tc>
          <w:tcPr>
            <w:tcW w:w="1641" w:type="dxa"/>
          </w:tcPr>
          <w:p w14:paraId="6E3F0F1B" w14:textId="77777777" w:rsidR="00E8764F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0</w:t>
            </w:r>
          </w:p>
        </w:tc>
        <w:tc>
          <w:tcPr>
            <w:tcW w:w="1756" w:type="dxa"/>
          </w:tcPr>
          <w:p w14:paraId="04337174" w14:textId="77777777" w:rsidR="00E8764F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0</w:t>
            </w:r>
          </w:p>
        </w:tc>
        <w:tc>
          <w:tcPr>
            <w:tcW w:w="1757" w:type="dxa"/>
          </w:tcPr>
          <w:p w14:paraId="44941F52" w14:textId="77777777" w:rsidR="00E8764F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0</w:t>
            </w:r>
          </w:p>
        </w:tc>
        <w:tc>
          <w:tcPr>
            <w:tcW w:w="1757" w:type="dxa"/>
          </w:tcPr>
          <w:p w14:paraId="01825EC4" w14:textId="77777777" w:rsidR="00E8764F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0</w:t>
            </w:r>
          </w:p>
        </w:tc>
        <w:tc>
          <w:tcPr>
            <w:tcW w:w="1757" w:type="dxa"/>
          </w:tcPr>
          <w:p w14:paraId="017A2DBE" w14:textId="77777777" w:rsidR="00E8764F" w:rsidRDefault="00E8764F" w:rsidP="00E45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109 (103)</w:t>
            </w:r>
          </w:p>
        </w:tc>
      </w:tr>
    </w:tbl>
    <w:p w14:paraId="474F8B11" w14:textId="77777777" w:rsidR="00041EE4" w:rsidRPr="0055675D" w:rsidRDefault="00041EE4" w:rsidP="00041EE4">
      <w:pPr>
        <w:rPr>
          <w:lang w:eastAsia="en-AU"/>
        </w:rPr>
      </w:pPr>
    </w:p>
    <w:p w14:paraId="574646E7" w14:textId="7962D076" w:rsidR="00041EE4" w:rsidRPr="00041EE4" w:rsidRDefault="00041EE4" w:rsidP="00041EE4">
      <w:pPr>
        <w:pStyle w:val="Heading1"/>
        <w:rPr>
          <w:szCs w:val="36"/>
          <w:lang w:eastAsia="en-AU"/>
        </w:rPr>
      </w:pPr>
      <w:r>
        <w:rPr>
          <w:szCs w:val="36"/>
          <w:lang w:eastAsia="en-AU"/>
        </w:rPr>
        <w:t>Data validation</w:t>
      </w:r>
    </w:p>
    <w:p w14:paraId="5F12F694" w14:textId="1FEBA1B4" w:rsidR="00EE4B0B" w:rsidRPr="00EE4B0B" w:rsidRDefault="00EE4B0B" w:rsidP="00EE4B0B">
      <w:pPr>
        <w:shd w:val="clear" w:color="auto" w:fill="FFFFFF" w:themeFill="background1"/>
        <w:jc w:val="both"/>
        <w:rPr>
          <w:rFonts w:asciiTheme="minorHAnsi" w:hAnsiTheme="minorHAnsi"/>
          <w:lang w:eastAsia="en-AU"/>
        </w:rPr>
      </w:pPr>
      <w:r w:rsidRPr="00EE4B0B">
        <w:rPr>
          <w:rFonts w:asciiTheme="minorHAnsi" w:hAnsiTheme="minorHAnsi"/>
          <w:lang w:eastAsia="en-AU"/>
        </w:rPr>
        <w:t xml:space="preserve">During the 2025 fishing season, two trips were monitored in the Barramundi Fishery. One trip was monitored using electronic monitoring (EM). Review of the EM footage confirmed that the system </w:t>
      </w:r>
      <w:r w:rsidR="00E63A4F">
        <w:rPr>
          <w:rFonts w:asciiTheme="minorHAnsi" w:hAnsiTheme="minorHAnsi"/>
          <w:lang w:eastAsia="en-AU"/>
        </w:rPr>
        <w:t>is appropriate for</w:t>
      </w:r>
      <w:r w:rsidRPr="00EE4B0B">
        <w:rPr>
          <w:rFonts w:asciiTheme="minorHAnsi" w:hAnsiTheme="minorHAnsi"/>
          <w:lang w:eastAsia="en-AU"/>
        </w:rPr>
        <w:t xml:space="preserve"> validat</w:t>
      </w:r>
      <w:r w:rsidR="00E63A4F">
        <w:rPr>
          <w:rFonts w:asciiTheme="minorHAnsi" w:hAnsiTheme="minorHAnsi"/>
          <w:lang w:eastAsia="en-AU"/>
        </w:rPr>
        <w:t>ing</w:t>
      </w:r>
      <w:r w:rsidRPr="00EE4B0B">
        <w:rPr>
          <w:rFonts w:asciiTheme="minorHAnsi" w:hAnsiTheme="minorHAnsi"/>
          <w:lang w:eastAsia="en-AU"/>
        </w:rPr>
        <w:t xml:space="preserve"> interactions with Threatened, Endangered and Protected Species (TEPS). However, several practical challenges were identified when deploying EM systems on smaller vessels.</w:t>
      </w:r>
      <w:r>
        <w:rPr>
          <w:rFonts w:asciiTheme="minorHAnsi" w:hAnsiTheme="minorHAnsi"/>
          <w:lang w:eastAsia="en-AU"/>
        </w:rPr>
        <w:t xml:space="preserve"> </w:t>
      </w:r>
      <w:r w:rsidRPr="00EE4B0B">
        <w:rPr>
          <w:rFonts w:asciiTheme="minorHAnsi" w:hAnsiTheme="minorHAnsi"/>
          <w:lang w:eastAsia="en-AU"/>
        </w:rPr>
        <w:t>The second trip involved an on-board observer</w:t>
      </w:r>
      <w:r w:rsidR="00E63A4F">
        <w:rPr>
          <w:rFonts w:asciiTheme="minorHAnsi" w:hAnsiTheme="minorHAnsi"/>
          <w:lang w:eastAsia="en-AU"/>
        </w:rPr>
        <w:t xml:space="preserve">, </w:t>
      </w:r>
      <w:r>
        <w:rPr>
          <w:rFonts w:asciiTheme="minorHAnsi" w:hAnsiTheme="minorHAnsi"/>
          <w:lang w:eastAsia="en-AU"/>
        </w:rPr>
        <w:t xml:space="preserve">and </w:t>
      </w:r>
      <w:r w:rsidRPr="00EE4B0B">
        <w:rPr>
          <w:rFonts w:asciiTheme="minorHAnsi" w:hAnsiTheme="minorHAnsi"/>
          <w:lang w:eastAsia="en-AU"/>
        </w:rPr>
        <w:t xml:space="preserve">biological data </w:t>
      </w:r>
      <w:r>
        <w:rPr>
          <w:rFonts w:asciiTheme="minorHAnsi" w:hAnsiTheme="minorHAnsi"/>
          <w:lang w:eastAsia="en-AU"/>
        </w:rPr>
        <w:t xml:space="preserve">was collected </w:t>
      </w:r>
      <w:r w:rsidRPr="00EE4B0B">
        <w:rPr>
          <w:rFonts w:asciiTheme="minorHAnsi" w:hAnsiTheme="minorHAnsi"/>
          <w:lang w:eastAsia="en-AU"/>
        </w:rPr>
        <w:t>on Barramundi and King Threadfin, including length, weight, sex and age. The trip also provided independent verification of logbook information.</w:t>
      </w:r>
    </w:p>
    <w:p w14:paraId="4CC7F5CD" w14:textId="6E8E251E" w:rsidR="005E45AB" w:rsidRPr="00E8764F" w:rsidRDefault="005E45AB" w:rsidP="00EE4B0B">
      <w:pPr>
        <w:shd w:val="clear" w:color="auto" w:fill="FFFFFF" w:themeFill="background1"/>
        <w:jc w:val="both"/>
        <w:rPr>
          <w:rFonts w:asciiTheme="minorHAnsi" w:hAnsiTheme="minorHAnsi"/>
          <w:lang w:eastAsia="en-AU"/>
        </w:rPr>
      </w:pPr>
    </w:p>
    <w:sectPr w:rsidR="005E45AB" w:rsidRPr="00E8764F" w:rsidSect="00A4463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9" w:right="794" w:bottom="0" w:left="794" w:header="86" w:footer="2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7B80" w14:textId="77777777" w:rsidR="008E1C4C" w:rsidRDefault="008E1C4C" w:rsidP="007332FF">
      <w:r>
        <w:separator/>
      </w:r>
    </w:p>
  </w:endnote>
  <w:endnote w:type="continuationSeparator" w:id="0">
    <w:p w14:paraId="0F689988" w14:textId="77777777" w:rsidR="008E1C4C" w:rsidRDefault="008E1C4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2256" w14:textId="02AEFEB0" w:rsidR="00A4463D" w:rsidRPr="00D34EDB" w:rsidRDefault="00A4463D" w:rsidP="00A4463D">
    <w:pPr>
      <w:spacing w:before="60" w:after="60"/>
      <w:rPr>
        <w:i/>
        <w:sz w:val="18"/>
      </w:rPr>
    </w:pPr>
    <w:r w:rsidRPr="00D34EDB">
      <w:rPr>
        <w:rFonts w:ascii="Times New Roman" w:hAnsi="Times New Roman"/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212191" wp14:editId="4C115E43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6096000" cy="0"/>
              <wp:effectExtent l="13335" t="12700" r="5715" b="6350"/>
              <wp:wrapNone/>
              <wp:docPr id="1961501610" name="Straight Arrow Connector 19615016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3E53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961501610" o:spid="_x0000_s1026" type="#_x0000_t32" style="position:absolute;margin-left:0;margin-top:1pt;width:48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As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"/>
          </w:pict>
        </mc:Fallback>
      </mc:AlternateContent>
    </w:r>
    <w:r w:rsidR="004C5785" w:rsidRPr="004C5785">
      <w:rPr>
        <w:sz w:val="18"/>
      </w:rPr>
      <w:t xml:space="preserve"> </w:t>
    </w:r>
    <w:r w:rsidR="004C5785">
      <w:rPr>
        <w:sz w:val="18"/>
      </w:rPr>
      <w:t>Department of Agriculture and Fisheries</w:t>
    </w:r>
    <w:r w:rsidRPr="00D34EDB">
      <w:rPr>
        <w:sz w:val="18"/>
      </w:rPr>
      <w:t xml:space="preserve"> </w:t>
    </w:r>
  </w:p>
  <w:p w14:paraId="4EF94EC1" w14:textId="059A0E3E" w:rsidR="00CA36A0" w:rsidRPr="00B11C67" w:rsidRDefault="00A4463D" w:rsidP="00A4463D">
    <w:pPr>
      <w:pStyle w:val="Footer"/>
      <w:rPr>
        <w:sz w:val="4"/>
        <w:szCs w:val="4"/>
      </w:rPr>
    </w:pPr>
    <w:r w:rsidRPr="00D34EDB">
      <w:rPr>
        <w:sz w:val="19"/>
      </w:rPr>
      <w:t xml:space="preserve">Page </w:t>
    </w:r>
    <w:r w:rsidRPr="00D34EDB">
      <w:rPr>
        <w:sz w:val="19"/>
      </w:rPr>
      <w:fldChar w:fldCharType="begin"/>
    </w:r>
    <w:r w:rsidRPr="00D34EDB">
      <w:rPr>
        <w:sz w:val="19"/>
      </w:rPr>
      <w:instrText xml:space="preserve"> PAGE  \* Arabic  \* MERGEFORMAT </w:instrText>
    </w:r>
    <w:r w:rsidRPr="00D34EDB">
      <w:rPr>
        <w:sz w:val="19"/>
      </w:rPr>
      <w:fldChar w:fldCharType="separate"/>
    </w:r>
    <w:r>
      <w:rPr>
        <w:sz w:val="19"/>
      </w:rPr>
      <w:t>1</w:t>
    </w:r>
    <w:r w:rsidRPr="00D34EDB">
      <w:rPr>
        <w:sz w:val="19"/>
      </w:rPr>
      <w:fldChar w:fldCharType="end"/>
    </w:r>
    <w:r w:rsidRPr="00D34EDB">
      <w:rPr>
        <w:sz w:val="19"/>
      </w:rPr>
      <w:t xml:space="preserve"> of </w:t>
    </w:r>
    <w:r w:rsidRPr="00D34EDB">
      <w:rPr>
        <w:sz w:val="19"/>
      </w:rPr>
      <w:fldChar w:fldCharType="begin"/>
    </w:r>
    <w:r w:rsidRPr="00D34EDB">
      <w:rPr>
        <w:sz w:val="19"/>
      </w:rPr>
      <w:instrText xml:space="preserve"> NUMPAGES  \* Arabic  \* MERGEFORMAT </w:instrText>
    </w:r>
    <w:r w:rsidRPr="00D34EDB">
      <w:rPr>
        <w:sz w:val="19"/>
      </w:rPr>
      <w:fldChar w:fldCharType="separate"/>
    </w:r>
    <w:r>
      <w:rPr>
        <w:sz w:val="19"/>
      </w:rPr>
      <w:t>2</w:t>
    </w:r>
    <w:r w:rsidRPr="00D34EDB">
      <w:rPr>
        <w:sz w:val="1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E9F6" w14:textId="77777777" w:rsidR="00D15D88" w:rsidRDefault="00D15D88" w:rsidP="0071700C">
    <w:pPr>
      <w:spacing w:after="0"/>
    </w:pPr>
  </w:p>
  <w:tbl>
    <w:tblPr>
      <w:tblW w:w="1275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206"/>
      <w:gridCol w:w="2551"/>
    </w:tblGrid>
    <w:tr w:rsidR="00A61144" w:rsidRPr="00132658" w14:paraId="6E9C629C" w14:textId="77777777" w:rsidTr="00A4463D">
      <w:trPr>
        <w:cantSplit/>
        <w:trHeight w:hRule="exact" w:val="1134"/>
      </w:trPr>
      <w:tc>
        <w:tcPr>
          <w:tcW w:w="10206" w:type="dxa"/>
          <w:vAlign w:val="bottom"/>
        </w:tcPr>
        <w:p w14:paraId="612071A2" w14:textId="7FC2A731" w:rsidR="00A4463D" w:rsidRPr="00D34EDB" w:rsidRDefault="00A4463D" w:rsidP="00A4463D">
          <w:pPr>
            <w:spacing w:before="60" w:after="60"/>
            <w:rPr>
              <w:i/>
              <w:sz w:val="18"/>
            </w:rPr>
          </w:pPr>
          <w:r w:rsidRPr="00D34EDB">
            <w:rPr>
              <w:rFonts w:ascii="Times New Roman" w:hAnsi="Times New Roman"/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134EC5FD" wp14:editId="500E2A9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12700</wp:posOffset>
                    </wp:positionV>
                    <wp:extent cx="6096000" cy="0"/>
                    <wp:effectExtent l="13335" t="12700" r="5715" b="6350"/>
                    <wp:wrapNone/>
                    <wp:docPr id="2" name="Straight Arrow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960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4904F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" o:spid="_x0000_s1026" type="#_x0000_t32" style="position:absolute;margin-left:0;margin-top:1pt;width:48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As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"/>
                </w:pict>
              </mc:Fallback>
            </mc:AlternateContent>
          </w:r>
          <w:r w:rsidR="004C5785">
            <w:rPr>
              <w:sz w:val="18"/>
            </w:rPr>
            <w:t>Department of Agriculture and Fisheries</w:t>
          </w:r>
          <w:r w:rsidRPr="00D34EDB">
            <w:rPr>
              <w:sz w:val="18"/>
            </w:rPr>
            <w:t xml:space="preserve"> </w:t>
          </w:r>
        </w:p>
        <w:p w14:paraId="1D76C6B5" w14:textId="64C40FB3" w:rsidR="00A61144" w:rsidRPr="00CE30CF" w:rsidRDefault="00A4463D" w:rsidP="00A4463D">
          <w:pPr>
            <w:spacing w:after="60"/>
            <w:rPr>
              <w:rStyle w:val="PageNumber"/>
            </w:rPr>
          </w:pPr>
          <w:r w:rsidRPr="00D34EDB">
            <w:rPr>
              <w:sz w:val="19"/>
            </w:rPr>
            <w:t xml:space="preserve">Page </w:t>
          </w:r>
          <w:r w:rsidRPr="00D34EDB">
            <w:rPr>
              <w:sz w:val="19"/>
            </w:rPr>
            <w:fldChar w:fldCharType="begin"/>
          </w:r>
          <w:r w:rsidRPr="00D34EDB">
            <w:rPr>
              <w:sz w:val="19"/>
            </w:rPr>
            <w:instrText xml:space="preserve"> PAGE  \* Arabic  \* MERGEFORMAT </w:instrText>
          </w:r>
          <w:r w:rsidRPr="00D34EDB">
            <w:rPr>
              <w:sz w:val="19"/>
            </w:rPr>
            <w:fldChar w:fldCharType="separate"/>
          </w:r>
          <w:r>
            <w:rPr>
              <w:sz w:val="19"/>
            </w:rPr>
            <w:t>3</w:t>
          </w:r>
          <w:r w:rsidRPr="00D34EDB">
            <w:rPr>
              <w:sz w:val="19"/>
            </w:rPr>
            <w:fldChar w:fldCharType="end"/>
          </w:r>
          <w:r w:rsidRPr="00D34EDB">
            <w:rPr>
              <w:sz w:val="19"/>
            </w:rPr>
            <w:t xml:space="preserve"> of </w:t>
          </w:r>
          <w:r w:rsidRPr="00D34EDB">
            <w:rPr>
              <w:sz w:val="19"/>
            </w:rPr>
            <w:fldChar w:fldCharType="begin"/>
          </w:r>
          <w:r w:rsidRPr="00D34EDB">
            <w:rPr>
              <w:sz w:val="19"/>
            </w:rPr>
            <w:instrText xml:space="preserve"> NUMPAGES  \* Arabic  \* MERGEFORMAT </w:instrText>
          </w:r>
          <w:r w:rsidRPr="00D34EDB">
            <w:rPr>
              <w:sz w:val="19"/>
            </w:rPr>
            <w:fldChar w:fldCharType="separate"/>
          </w:r>
          <w:r>
            <w:rPr>
              <w:sz w:val="19"/>
            </w:rPr>
            <w:t>3</w:t>
          </w:r>
          <w:r w:rsidRPr="00D34EDB">
            <w:rPr>
              <w:sz w:val="19"/>
            </w:rPr>
            <w:fldChar w:fldCharType="end"/>
          </w:r>
        </w:p>
      </w:tc>
      <w:tc>
        <w:tcPr>
          <w:tcW w:w="2551" w:type="dxa"/>
          <w:vAlign w:val="bottom"/>
        </w:tcPr>
        <w:p w14:paraId="70B1C340" w14:textId="69A8975C" w:rsidR="00A61144" w:rsidRPr="001E14EB" w:rsidRDefault="00A61144" w:rsidP="00A61144">
          <w:pPr>
            <w:spacing w:after="0"/>
            <w:jc w:val="right"/>
          </w:pPr>
        </w:p>
      </w:tc>
    </w:tr>
  </w:tbl>
  <w:p w14:paraId="007FFE53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C49D" w14:textId="77777777" w:rsidR="008E1C4C" w:rsidRDefault="008E1C4C" w:rsidP="007332FF">
      <w:r>
        <w:separator/>
      </w:r>
    </w:p>
  </w:footnote>
  <w:footnote w:type="continuationSeparator" w:id="0">
    <w:p w14:paraId="3CC1980C" w14:textId="77777777" w:rsidR="008E1C4C" w:rsidRDefault="008E1C4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EAC" w14:textId="166991B4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02DFD">
          <w:t>Barramundi Fishery Status Report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2837" w14:textId="47CEA578" w:rsidR="00E54F9E" w:rsidRPr="00FA4B80" w:rsidRDefault="00000000" w:rsidP="00FA4B80">
    <w:pPr>
      <w:pStyle w:val="Heading3"/>
      <w:jc w:val="right"/>
    </w:pPr>
    <w:sdt>
      <w:sdt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902DFD">
          <w:t>Barramundi Fishery Status Report 2025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82A"/>
    <w:multiLevelType w:val="hybridMultilevel"/>
    <w:tmpl w:val="B6A45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B7F44D5"/>
    <w:multiLevelType w:val="hybridMultilevel"/>
    <w:tmpl w:val="D2466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4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5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6" w15:restartNumberingAfterBreak="0">
    <w:nsid w:val="11005B0E"/>
    <w:multiLevelType w:val="hybridMultilevel"/>
    <w:tmpl w:val="F0BAD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92155"/>
    <w:multiLevelType w:val="multilevel"/>
    <w:tmpl w:val="9EAE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8D06E4"/>
    <w:multiLevelType w:val="hybridMultilevel"/>
    <w:tmpl w:val="F9FA9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7943011"/>
    <w:multiLevelType w:val="hybridMultilevel"/>
    <w:tmpl w:val="54A0D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2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3" w15:restartNumberingAfterBreak="0">
    <w:nsid w:val="195E634E"/>
    <w:multiLevelType w:val="hybridMultilevel"/>
    <w:tmpl w:val="E1529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5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6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7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8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9" w15:restartNumberingAfterBreak="0">
    <w:nsid w:val="2228010F"/>
    <w:multiLevelType w:val="multilevel"/>
    <w:tmpl w:val="9EAE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1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2" w15:restartNumberingAfterBreak="0">
    <w:nsid w:val="27D83E4D"/>
    <w:multiLevelType w:val="multilevel"/>
    <w:tmpl w:val="3928FD02"/>
    <w:numStyleLink w:val="Bulletlist"/>
  </w:abstractNum>
  <w:abstractNum w:abstractNumId="23" w15:restartNumberingAfterBreak="0">
    <w:nsid w:val="292525AB"/>
    <w:multiLevelType w:val="hybridMultilevel"/>
    <w:tmpl w:val="A3903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6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7" w15:restartNumberingAfterBreak="0">
    <w:nsid w:val="32D254E2"/>
    <w:multiLevelType w:val="hybridMultilevel"/>
    <w:tmpl w:val="A656A8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4C32640B"/>
    <w:multiLevelType w:val="multilevel"/>
    <w:tmpl w:val="9C62F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CCA36EA"/>
    <w:multiLevelType w:val="hybridMultilevel"/>
    <w:tmpl w:val="D8C208E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6" w15:restartNumberingAfterBreak="0">
    <w:nsid w:val="53842BC6"/>
    <w:multiLevelType w:val="multilevel"/>
    <w:tmpl w:val="0C78A7AC"/>
    <w:numStyleLink w:val="Tablebulletlist"/>
  </w:abstractNum>
  <w:abstractNum w:abstractNumId="3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2" w15:restartNumberingAfterBreak="0">
    <w:nsid w:val="614E337B"/>
    <w:multiLevelType w:val="hybridMultilevel"/>
    <w:tmpl w:val="06347496"/>
    <w:lvl w:ilvl="0" w:tplc="3E10571C"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E27712"/>
    <w:multiLevelType w:val="multilevel"/>
    <w:tmpl w:val="58C6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5" w15:restartNumberingAfterBreak="0">
    <w:nsid w:val="6DFB1867"/>
    <w:multiLevelType w:val="hybridMultilevel"/>
    <w:tmpl w:val="CF266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4620797">
    <w:abstractNumId w:val="29"/>
  </w:num>
  <w:num w:numId="2" w16cid:durableId="298344336">
    <w:abstractNumId w:val="18"/>
  </w:num>
  <w:num w:numId="3" w16cid:durableId="432751859">
    <w:abstractNumId w:val="48"/>
  </w:num>
  <w:num w:numId="4" w16cid:durableId="660087949">
    <w:abstractNumId w:val="32"/>
  </w:num>
  <w:num w:numId="5" w16cid:durableId="293217313">
    <w:abstractNumId w:val="24"/>
  </w:num>
  <w:num w:numId="6" w16cid:durableId="776290608">
    <w:abstractNumId w:val="14"/>
  </w:num>
  <w:num w:numId="7" w16cid:durableId="794257236">
    <w:abstractNumId w:val="36"/>
  </w:num>
  <w:num w:numId="8" w16cid:durableId="1772166039">
    <w:abstractNumId w:val="22"/>
  </w:num>
  <w:num w:numId="9" w16cid:durableId="1240480920">
    <w:abstractNumId w:val="42"/>
  </w:num>
  <w:num w:numId="10" w16cid:durableId="274681754">
    <w:abstractNumId w:val="0"/>
  </w:num>
  <w:num w:numId="11" w16cid:durableId="1681197920">
    <w:abstractNumId w:val="13"/>
  </w:num>
  <w:num w:numId="12" w16cid:durableId="783113061">
    <w:abstractNumId w:val="19"/>
  </w:num>
  <w:num w:numId="13" w16cid:durableId="727072192">
    <w:abstractNumId w:val="33"/>
  </w:num>
  <w:num w:numId="14" w16cid:durableId="989745010">
    <w:abstractNumId w:val="8"/>
  </w:num>
  <w:num w:numId="15" w16cid:durableId="969751184">
    <w:abstractNumId w:val="45"/>
  </w:num>
  <w:num w:numId="16" w16cid:durableId="309529214">
    <w:abstractNumId w:val="23"/>
  </w:num>
  <w:num w:numId="17" w16cid:durableId="1847398153">
    <w:abstractNumId w:val="6"/>
  </w:num>
  <w:num w:numId="18" w16cid:durableId="703480973">
    <w:abstractNumId w:val="2"/>
  </w:num>
  <w:num w:numId="19" w16cid:durableId="424350351">
    <w:abstractNumId w:val="43"/>
  </w:num>
  <w:num w:numId="20" w16cid:durableId="1609317737">
    <w:abstractNumId w:val="27"/>
  </w:num>
  <w:num w:numId="21" w16cid:durableId="871069387">
    <w:abstractNumId w:val="10"/>
  </w:num>
  <w:num w:numId="22" w16cid:durableId="1410345294">
    <w:abstractNumId w:val="34"/>
  </w:num>
  <w:num w:numId="23" w16cid:durableId="207816122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D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1" w:alternateStyleNames="1"/>
  <w:defaultTabStop w:val="284"/>
  <w:defaultTableStyle w:val="NTGtable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DF"/>
    <w:rsid w:val="00000E87"/>
    <w:rsid w:val="00001DDF"/>
    <w:rsid w:val="0000322D"/>
    <w:rsid w:val="00007670"/>
    <w:rsid w:val="00010665"/>
    <w:rsid w:val="00012A90"/>
    <w:rsid w:val="00016850"/>
    <w:rsid w:val="0002393A"/>
    <w:rsid w:val="000265BE"/>
    <w:rsid w:val="00027DB8"/>
    <w:rsid w:val="00031A96"/>
    <w:rsid w:val="00040BF3"/>
    <w:rsid w:val="00041EE4"/>
    <w:rsid w:val="0004211C"/>
    <w:rsid w:val="00044EB7"/>
    <w:rsid w:val="00046C59"/>
    <w:rsid w:val="00051362"/>
    <w:rsid w:val="00051F45"/>
    <w:rsid w:val="00052624"/>
    <w:rsid w:val="00052953"/>
    <w:rsid w:val="00053311"/>
    <w:rsid w:val="0005341A"/>
    <w:rsid w:val="00053A60"/>
    <w:rsid w:val="00056DEF"/>
    <w:rsid w:val="00056EDC"/>
    <w:rsid w:val="0006635A"/>
    <w:rsid w:val="000720BE"/>
    <w:rsid w:val="0007259C"/>
    <w:rsid w:val="00072E00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64C5"/>
    <w:rsid w:val="00097865"/>
    <w:rsid w:val="000A4317"/>
    <w:rsid w:val="000A559C"/>
    <w:rsid w:val="000B2CA1"/>
    <w:rsid w:val="000B2D4A"/>
    <w:rsid w:val="000C6062"/>
    <w:rsid w:val="000D126F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05403"/>
    <w:rsid w:val="001119B7"/>
    <w:rsid w:val="001137EC"/>
    <w:rsid w:val="001152F5"/>
    <w:rsid w:val="00117743"/>
    <w:rsid w:val="00117F5B"/>
    <w:rsid w:val="00131ABD"/>
    <w:rsid w:val="00132658"/>
    <w:rsid w:val="00133B5F"/>
    <w:rsid w:val="0013567C"/>
    <w:rsid w:val="00150DC0"/>
    <w:rsid w:val="00151913"/>
    <w:rsid w:val="0015281C"/>
    <w:rsid w:val="00153016"/>
    <w:rsid w:val="0015394D"/>
    <w:rsid w:val="001548A4"/>
    <w:rsid w:val="00156CD4"/>
    <w:rsid w:val="00160789"/>
    <w:rsid w:val="0016153B"/>
    <w:rsid w:val="00162207"/>
    <w:rsid w:val="00164A3E"/>
    <w:rsid w:val="001669CD"/>
    <w:rsid w:val="00166FF6"/>
    <w:rsid w:val="00170378"/>
    <w:rsid w:val="00171112"/>
    <w:rsid w:val="00172B64"/>
    <w:rsid w:val="00176123"/>
    <w:rsid w:val="00181620"/>
    <w:rsid w:val="00187130"/>
    <w:rsid w:val="0019014D"/>
    <w:rsid w:val="001957AD"/>
    <w:rsid w:val="00196F8E"/>
    <w:rsid w:val="001A2B7F"/>
    <w:rsid w:val="001A3AFD"/>
    <w:rsid w:val="001A496C"/>
    <w:rsid w:val="001A576A"/>
    <w:rsid w:val="001B28DA"/>
    <w:rsid w:val="001B2B6C"/>
    <w:rsid w:val="001B7524"/>
    <w:rsid w:val="001C497F"/>
    <w:rsid w:val="001D017D"/>
    <w:rsid w:val="001D01C4"/>
    <w:rsid w:val="001D1416"/>
    <w:rsid w:val="001D4F99"/>
    <w:rsid w:val="001D52B0"/>
    <w:rsid w:val="001D5A18"/>
    <w:rsid w:val="001D73DA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6245"/>
    <w:rsid w:val="00221799"/>
    <w:rsid w:val="00226932"/>
    <w:rsid w:val="00230031"/>
    <w:rsid w:val="00230643"/>
    <w:rsid w:val="00235C01"/>
    <w:rsid w:val="0024053E"/>
    <w:rsid w:val="00247343"/>
    <w:rsid w:val="00247476"/>
    <w:rsid w:val="00265C56"/>
    <w:rsid w:val="00265CFF"/>
    <w:rsid w:val="002716CD"/>
    <w:rsid w:val="00274D4B"/>
    <w:rsid w:val="00276C26"/>
    <w:rsid w:val="00277E8A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2383"/>
    <w:rsid w:val="002D3A57"/>
    <w:rsid w:val="002D6524"/>
    <w:rsid w:val="002D7D05"/>
    <w:rsid w:val="002E20C8"/>
    <w:rsid w:val="002E4290"/>
    <w:rsid w:val="002E66A6"/>
    <w:rsid w:val="002F0DB1"/>
    <w:rsid w:val="002F2885"/>
    <w:rsid w:val="002F3D1D"/>
    <w:rsid w:val="002F45A1"/>
    <w:rsid w:val="002F74D4"/>
    <w:rsid w:val="0030203D"/>
    <w:rsid w:val="003037F9"/>
    <w:rsid w:val="0030583E"/>
    <w:rsid w:val="00307001"/>
    <w:rsid w:val="00307FE1"/>
    <w:rsid w:val="003102DF"/>
    <w:rsid w:val="003164BA"/>
    <w:rsid w:val="003226BC"/>
    <w:rsid w:val="003258E6"/>
    <w:rsid w:val="00333C00"/>
    <w:rsid w:val="00342283"/>
    <w:rsid w:val="00343A87"/>
    <w:rsid w:val="00344A36"/>
    <w:rsid w:val="003456F4"/>
    <w:rsid w:val="00347FB6"/>
    <w:rsid w:val="00350328"/>
    <w:rsid w:val="003504FD"/>
    <w:rsid w:val="00350881"/>
    <w:rsid w:val="00353753"/>
    <w:rsid w:val="00357D55"/>
    <w:rsid w:val="00363513"/>
    <w:rsid w:val="003657E5"/>
    <w:rsid w:val="0036589C"/>
    <w:rsid w:val="00371312"/>
    <w:rsid w:val="00371DC7"/>
    <w:rsid w:val="00372A90"/>
    <w:rsid w:val="00377B21"/>
    <w:rsid w:val="00390862"/>
    <w:rsid w:val="00390CE3"/>
    <w:rsid w:val="00394876"/>
    <w:rsid w:val="00394AAF"/>
    <w:rsid w:val="00394CE5"/>
    <w:rsid w:val="003A2604"/>
    <w:rsid w:val="003A55AA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12CF"/>
    <w:rsid w:val="00426E25"/>
    <w:rsid w:val="00427D9C"/>
    <w:rsid w:val="00427E7E"/>
    <w:rsid w:val="00430DA7"/>
    <w:rsid w:val="004344BB"/>
    <w:rsid w:val="0043465D"/>
    <w:rsid w:val="00435082"/>
    <w:rsid w:val="004377C9"/>
    <w:rsid w:val="00442263"/>
    <w:rsid w:val="00443B6E"/>
    <w:rsid w:val="00450636"/>
    <w:rsid w:val="0045420A"/>
    <w:rsid w:val="004554D4"/>
    <w:rsid w:val="00461744"/>
    <w:rsid w:val="004619D9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572"/>
    <w:rsid w:val="00491B08"/>
    <w:rsid w:val="0049224C"/>
    <w:rsid w:val="00494BE5"/>
    <w:rsid w:val="00496611"/>
    <w:rsid w:val="004A0EBA"/>
    <w:rsid w:val="004A2538"/>
    <w:rsid w:val="004A331E"/>
    <w:rsid w:val="004B0C15"/>
    <w:rsid w:val="004B35EA"/>
    <w:rsid w:val="004B69E4"/>
    <w:rsid w:val="004C365C"/>
    <w:rsid w:val="004C5785"/>
    <w:rsid w:val="004C6C39"/>
    <w:rsid w:val="004D075F"/>
    <w:rsid w:val="004D1B76"/>
    <w:rsid w:val="004D344E"/>
    <w:rsid w:val="004D407B"/>
    <w:rsid w:val="004E019E"/>
    <w:rsid w:val="004E02AD"/>
    <w:rsid w:val="004E06EC"/>
    <w:rsid w:val="004E0A3F"/>
    <w:rsid w:val="004E2CB7"/>
    <w:rsid w:val="004F016A"/>
    <w:rsid w:val="00500F94"/>
    <w:rsid w:val="005023A7"/>
    <w:rsid w:val="00502FB3"/>
    <w:rsid w:val="00503DE9"/>
    <w:rsid w:val="0050530C"/>
    <w:rsid w:val="00505DEA"/>
    <w:rsid w:val="00507782"/>
    <w:rsid w:val="00512027"/>
    <w:rsid w:val="00512A04"/>
    <w:rsid w:val="00514D0F"/>
    <w:rsid w:val="00520499"/>
    <w:rsid w:val="005249F5"/>
    <w:rsid w:val="005260F7"/>
    <w:rsid w:val="0054333A"/>
    <w:rsid w:val="00543BD1"/>
    <w:rsid w:val="00556113"/>
    <w:rsid w:val="00564C12"/>
    <w:rsid w:val="005654B8"/>
    <w:rsid w:val="00570D94"/>
    <w:rsid w:val="00570FA2"/>
    <w:rsid w:val="005762CC"/>
    <w:rsid w:val="00582D3D"/>
    <w:rsid w:val="00590040"/>
    <w:rsid w:val="00595386"/>
    <w:rsid w:val="00597234"/>
    <w:rsid w:val="005A3C67"/>
    <w:rsid w:val="005A4AC0"/>
    <w:rsid w:val="005A539B"/>
    <w:rsid w:val="005A5FDF"/>
    <w:rsid w:val="005B0FB7"/>
    <w:rsid w:val="005B122A"/>
    <w:rsid w:val="005B1FCB"/>
    <w:rsid w:val="005B5AC2"/>
    <w:rsid w:val="005B78AC"/>
    <w:rsid w:val="005C1F8F"/>
    <w:rsid w:val="005C2833"/>
    <w:rsid w:val="005E144D"/>
    <w:rsid w:val="005E1500"/>
    <w:rsid w:val="005E3A43"/>
    <w:rsid w:val="005E45AB"/>
    <w:rsid w:val="005E5778"/>
    <w:rsid w:val="005F0B17"/>
    <w:rsid w:val="005F6602"/>
    <w:rsid w:val="005F77C7"/>
    <w:rsid w:val="006079FA"/>
    <w:rsid w:val="00614CEC"/>
    <w:rsid w:val="00620675"/>
    <w:rsid w:val="00622910"/>
    <w:rsid w:val="006254B6"/>
    <w:rsid w:val="00627FC8"/>
    <w:rsid w:val="006338E2"/>
    <w:rsid w:val="006433C3"/>
    <w:rsid w:val="00650F5B"/>
    <w:rsid w:val="00652121"/>
    <w:rsid w:val="0066684D"/>
    <w:rsid w:val="006670D7"/>
    <w:rsid w:val="0066711A"/>
    <w:rsid w:val="00667AB3"/>
    <w:rsid w:val="006712C3"/>
    <w:rsid w:val="006719E9"/>
    <w:rsid w:val="006719EA"/>
    <w:rsid w:val="00671F13"/>
    <w:rsid w:val="006728AA"/>
    <w:rsid w:val="0067400A"/>
    <w:rsid w:val="006847AD"/>
    <w:rsid w:val="006863DB"/>
    <w:rsid w:val="0069114B"/>
    <w:rsid w:val="006944C1"/>
    <w:rsid w:val="006A756A"/>
    <w:rsid w:val="006B52E9"/>
    <w:rsid w:val="006C0133"/>
    <w:rsid w:val="006C0EC2"/>
    <w:rsid w:val="006C2B39"/>
    <w:rsid w:val="006C48B8"/>
    <w:rsid w:val="006D66F7"/>
    <w:rsid w:val="006E15F4"/>
    <w:rsid w:val="006F7F67"/>
    <w:rsid w:val="00705C9D"/>
    <w:rsid w:val="00705F13"/>
    <w:rsid w:val="0070624C"/>
    <w:rsid w:val="00706BC7"/>
    <w:rsid w:val="00707DB1"/>
    <w:rsid w:val="00707EF4"/>
    <w:rsid w:val="00711EC7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821"/>
    <w:rsid w:val="00763A2D"/>
    <w:rsid w:val="00763F61"/>
    <w:rsid w:val="007676A4"/>
    <w:rsid w:val="007749F9"/>
    <w:rsid w:val="00775B31"/>
    <w:rsid w:val="00777795"/>
    <w:rsid w:val="00783A57"/>
    <w:rsid w:val="00784C92"/>
    <w:rsid w:val="007859CD"/>
    <w:rsid w:val="00785C24"/>
    <w:rsid w:val="00787199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9D5"/>
    <w:rsid w:val="007C6D9F"/>
    <w:rsid w:val="007D2D6D"/>
    <w:rsid w:val="007D4893"/>
    <w:rsid w:val="007D6F09"/>
    <w:rsid w:val="007E2090"/>
    <w:rsid w:val="007E70CF"/>
    <w:rsid w:val="007E74A4"/>
    <w:rsid w:val="007F1B6F"/>
    <w:rsid w:val="007F263F"/>
    <w:rsid w:val="008015A8"/>
    <w:rsid w:val="0080766E"/>
    <w:rsid w:val="00811169"/>
    <w:rsid w:val="0081249F"/>
    <w:rsid w:val="0081304C"/>
    <w:rsid w:val="00815297"/>
    <w:rsid w:val="008169D9"/>
    <w:rsid w:val="008170DB"/>
    <w:rsid w:val="00817BA1"/>
    <w:rsid w:val="008212EC"/>
    <w:rsid w:val="00823022"/>
    <w:rsid w:val="0082598B"/>
    <w:rsid w:val="0082634E"/>
    <w:rsid w:val="00827B3C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0789"/>
    <w:rsid w:val="0088142F"/>
    <w:rsid w:val="008818D6"/>
    <w:rsid w:val="00881C48"/>
    <w:rsid w:val="008831B1"/>
    <w:rsid w:val="00885B80"/>
    <w:rsid w:val="00885C30"/>
    <w:rsid w:val="00885E9B"/>
    <w:rsid w:val="0089368E"/>
    <w:rsid w:val="00893C96"/>
    <w:rsid w:val="00893E26"/>
    <w:rsid w:val="00894803"/>
    <w:rsid w:val="0089500A"/>
    <w:rsid w:val="00897307"/>
    <w:rsid w:val="00897C94"/>
    <w:rsid w:val="008A4B30"/>
    <w:rsid w:val="008A6812"/>
    <w:rsid w:val="008A7C12"/>
    <w:rsid w:val="008B03CE"/>
    <w:rsid w:val="008B529E"/>
    <w:rsid w:val="008B5848"/>
    <w:rsid w:val="008C17FB"/>
    <w:rsid w:val="008C70BB"/>
    <w:rsid w:val="008D1B00"/>
    <w:rsid w:val="008D57B8"/>
    <w:rsid w:val="008D73AB"/>
    <w:rsid w:val="008E03FC"/>
    <w:rsid w:val="008E1C4C"/>
    <w:rsid w:val="008E510B"/>
    <w:rsid w:val="008E53E1"/>
    <w:rsid w:val="008E6544"/>
    <w:rsid w:val="00902B13"/>
    <w:rsid w:val="00902DFD"/>
    <w:rsid w:val="00906153"/>
    <w:rsid w:val="00911941"/>
    <w:rsid w:val="00917E22"/>
    <w:rsid w:val="0092024D"/>
    <w:rsid w:val="00925146"/>
    <w:rsid w:val="009254DC"/>
    <w:rsid w:val="00925F0F"/>
    <w:rsid w:val="00932F6B"/>
    <w:rsid w:val="00942735"/>
    <w:rsid w:val="009444F0"/>
    <w:rsid w:val="009468BC"/>
    <w:rsid w:val="00947FAE"/>
    <w:rsid w:val="009616DF"/>
    <w:rsid w:val="0096542F"/>
    <w:rsid w:val="00967FA7"/>
    <w:rsid w:val="00971645"/>
    <w:rsid w:val="00971A5A"/>
    <w:rsid w:val="009727FF"/>
    <w:rsid w:val="00977919"/>
    <w:rsid w:val="009824FB"/>
    <w:rsid w:val="00983000"/>
    <w:rsid w:val="009870FA"/>
    <w:rsid w:val="009921C3"/>
    <w:rsid w:val="0099551D"/>
    <w:rsid w:val="00995AFB"/>
    <w:rsid w:val="00996D97"/>
    <w:rsid w:val="009A57DE"/>
    <w:rsid w:val="009A5897"/>
    <w:rsid w:val="009A5F24"/>
    <w:rsid w:val="009B0B3E"/>
    <w:rsid w:val="009B1913"/>
    <w:rsid w:val="009B6657"/>
    <w:rsid w:val="009B6966"/>
    <w:rsid w:val="009C3D9F"/>
    <w:rsid w:val="009D0ABA"/>
    <w:rsid w:val="009D0EB5"/>
    <w:rsid w:val="009D14F9"/>
    <w:rsid w:val="009D2B74"/>
    <w:rsid w:val="009D63FF"/>
    <w:rsid w:val="009D7459"/>
    <w:rsid w:val="009E175D"/>
    <w:rsid w:val="009E3CC2"/>
    <w:rsid w:val="009F06BD"/>
    <w:rsid w:val="009F2A4D"/>
    <w:rsid w:val="00A00828"/>
    <w:rsid w:val="00A0310F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463D"/>
    <w:rsid w:val="00A45005"/>
    <w:rsid w:val="00A567EE"/>
    <w:rsid w:val="00A60184"/>
    <w:rsid w:val="00A61144"/>
    <w:rsid w:val="00A655D0"/>
    <w:rsid w:val="00A661BD"/>
    <w:rsid w:val="00A671E4"/>
    <w:rsid w:val="00A70DD8"/>
    <w:rsid w:val="00A76790"/>
    <w:rsid w:val="00A85D0C"/>
    <w:rsid w:val="00A86A2C"/>
    <w:rsid w:val="00A90589"/>
    <w:rsid w:val="00A925EC"/>
    <w:rsid w:val="00A929AA"/>
    <w:rsid w:val="00A92B6B"/>
    <w:rsid w:val="00A94D5D"/>
    <w:rsid w:val="00A96002"/>
    <w:rsid w:val="00A9729D"/>
    <w:rsid w:val="00AA541E"/>
    <w:rsid w:val="00AA7C47"/>
    <w:rsid w:val="00AC5039"/>
    <w:rsid w:val="00AD0DA4"/>
    <w:rsid w:val="00AD1790"/>
    <w:rsid w:val="00AD4169"/>
    <w:rsid w:val="00AE25C6"/>
    <w:rsid w:val="00AE306C"/>
    <w:rsid w:val="00AF28C1"/>
    <w:rsid w:val="00AF7037"/>
    <w:rsid w:val="00AF7239"/>
    <w:rsid w:val="00B02EF1"/>
    <w:rsid w:val="00B07A1E"/>
    <w:rsid w:val="00B07C97"/>
    <w:rsid w:val="00B11C67"/>
    <w:rsid w:val="00B127FE"/>
    <w:rsid w:val="00B15754"/>
    <w:rsid w:val="00B16002"/>
    <w:rsid w:val="00B2046E"/>
    <w:rsid w:val="00B20E8B"/>
    <w:rsid w:val="00B257E1"/>
    <w:rsid w:val="00B2599A"/>
    <w:rsid w:val="00B27AC4"/>
    <w:rsid w:val="00B343CC"/>
    <w:rsid w:val="00B41943"/>
    <w:rsid w:val="00B4294E"/>
    <w:rsid w:val="00B4403A"/>
    <w:rsid w:val="00B477F3"/>
    <w:rsid w:val="00B5084A"/>
    <w:rsid w:val="00B5393C"/>
    <w:rsid w:val="00B53A53"/>
    <w:rsid w:val="00B606A1"/>
    <w:rsid w:val="00B614F7"/>
    <w:rsid w:val="00B61B26"/>
    <w:rsid w:val="00B652D6"/>
    <w:rsid w:val="00B65E6B"/>
    <w:rsid w:val="00B675B2"/>
    <w:rsid w:val="00B806B6"/>
    <w:rsid w:val="00B81261"/>
    <w:rsid w:val="00B81CA2"/>
    <w:rsid w:val="00B8223E"/>
    <w:rsid w:val="00B832AE"/>
    <w:rsid w:val="00B86678"/>
    <w:rsid w:val="00B92F9B"/>
    <w:rsid w:val="00B941B3"/>
    <w:rsid w:val="00B96513"/>
    <w:rsid w:val="00BA1D47"/>
    <w:rsid w:val="00BA3096"/>
    <w:rsid w:val="00BA66F0"/>
    <w:rsid w:val="00BB2239"/>
    <w:rsid w:val="00BB2AE7"/>
    <w:rsid w:val="00BB6464"/>
    <w:rsid w:val="00BC1BB8"/>
    <w:rsid w:val="00BC3307"/>
    <w:rsid w:val="00BD5118"/>
    <w:rsid w:val="00BD7FE1"/>
    <w:rsid w:val="00BE37CA"/>
    <w:rsid w:val="00BE6144"/>
    <w:rsid w:val="00BE635A"/>
    <w:rsid w:val="00BF169C"/>
    <w:rsid w:val="00BF17E9"/>
    <w:rsid w:val="00BF2ABB"/>
    <w:rsid w:val="00BF5099"/>
    <w:rsid w:val="00C07BB1"/>
    <w:rsid w:val="00C10B5E"/>
    <w:rsid w:val="00C10F10"/>
    <w:rsid w:val="00C15D4D"/>
    <w:rsid w:val="00C175DC"/>
    <w:rsid w:val="00C24258"/>
    <w:rsid w:val="00C26E0E"/>
    <w:rsid w:val="00C30171"/>
    <w:rsid w:val="00C309D8"/>
    <w:rsid w:val="00C338C3"/>
    <w:rsid w:val="00C3798D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67D0B"/>
    <w:rsid w:val="00C72867"/>
    <w:rsid w:val="00C73D70"/>
    <w:rsid w:val="00C75E81"/>
    <w:rsid w:val="00C80860"/>
    <w:rsid w:val="00C83BB6"/>
    <w:rsid w:val="00C86609"/>
    <w:rsid w:val="00C92B4C"/>
    <w:rsid w:val="00C954F6"/>
    <w:rsid w:val="00CA36A0"/>
    <w:rsid w:val="00CA43BD"/>
    <w:rsid w:val="00CA6A2E"/>
    <w:rsid w:val="00CA6BC5"/>
    <w:rsid w:val="00CC571B"/>
    <w:rsid w:val="00CC61CD"/>
    <w:rsid w:val="00CC6C02"/>
    <w:rsid w:val="00CC737B"/>
    <w:rsid w:val="00CD30EE"/>
    <w:rsid w:val="00CD40CB"/>
    <w:rsid w:val="00CD5011"/>
    <w:rsid w:val="00CE640F"/>
    <w:rsid w:val="00CE76BC"/>
    <w:rsid w:val="00CF1D5C"/>
    <w:rsid w:val="00CF540E"/>
    <w:rsid w:val="00CF5B6E"/>
    <w:rsid w:val="00CF7E89"/>
    <w:rsid w:val="00D02F07"/>
    <w:rsid w:val="00D04934"/>
    <w:rsid w:val="00D04E66"/>
    <w:rsid w:val="00D05091"/>
    <w:rsid w:val="00D14564"/>
    <w:rsid w:val="00D15D88"/>
    <w:rsid w:val="00D17342"/>
    <w:rsid w:val="00D259D9"/>
    <w:rsid w:val="00D25A42"/>
    <w:rsid w:val="00D27D49"/>
    <w:rsid w:val="00D27EBE"/>
    <w:rsid w:val="00D36A49"/>
    <w:rsid w:val="00D460A9"/>
    <w:rsid w:val="00D47DC7"/>
    <w:rsid w:val="00D50F86"/>
    <w:rsid w:val="00D517C6"/>
    <w:rsid w:val="00D63779"/>
    <w:rsid w:val="00D66E0B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205A"/>
    <w:rsid w:val="00DB295C"/>
    <w:rsid w:val="00DB4F91"/>
    <w:rsid w:val="00DB6D0A"/>
    <w:rsid w:val="00DB757F"/>
    <w:rsid w:val="00DC06BE"/>
    <w:rsid w:val="00DC1F0F"/>
    <w:rsid w:val="00DC3117"/>
    <w:rsid w:val="00DC4224"/>
    <w:rsid w:val="00DC4E2A"/>
    <w:rsid w:val="00DC5DD9"/>
    <w:rsid w:val="00DC6D2D"/>
    <w:rsid w:val="00DD4E59"/>
    <w:rsid w:val="00DE33B5"/>
    <w:rsid w:val="00DE3A9D"/>
    <w:rsid w:val="00DE5E18"/>
    <w:rsid w:val="00DF0487"/>
    <w:rsid w:val="00DF5EA4"/>
    <w:rsid w:val="00E02681"/>
    <w:rsid w:val="00E02792"/>
    <w:rsid w:val="00E027FC"/>
    <w:rsid w:val="00E034D8"/>
    <w:rsid w:val="00E04CC0"/>
    <w:rsid w:val="00E076C8"/>
    <w:rsid w:val="00E07C1F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375FC"/>
    <w:rsid w:val="00E42C0F"/>
    <w:rsid w:val="00E44C89"/>
    <w:rsid w:val="00E457A6"/>
    <w:rsid w:val="00E54F9E"/>
    <w:rsid w:val="00E61BA2"/>
    <w:rsid w:val="00E63864"/>
    <w:rsid w:val="00E63A4F"/>
    <w:rsid w:val="00E6403F"/>
    <w:rsid w:val="00E72893"/>
    <w:rsid w:val="00E75451"/>
    <w:rsid w:val="00E75C6E"/>
    <w:rsid w:val="00E76AD6"/>
    <w:rsid w:val="00E770C4"/>
    <w:rsid w:val="00E84C5A"/>
    <w:rsid w:val="00E861DB"/>
    <w:rsid w:val="00E8764F"/>
    <w:rsid w:val="00E908F1"/>
    <w:rsid w:val="00E93406"/>
    <w:rsid w:val="00E956C5"/>
    <w:rsid w:val="00E95C39"/>
    <w:rsid w:val="00EA1500"/>
    <w:rsid w:val="00EA2C39"/>
    <w:rsid w:val="00EA39AD"/>
    <w:rsid w:val="00EB0A3C"/>
    <w:rsid w:val="00EB0A96"/>
    <w:rsid w:val="00EB1E84"/>
    <w:rsid w:val="00EB77F9"/>
    <w:rsid w:val="00EC02CE"/>
    <w:rsid w:val="00EC5769"/>
    <w:rsid w:val="00EC7D00"/>
    <w:rsid w:val="00ED0304"/>
    <w:rsid w:val="00ED4FF7"/>
    <w:rsid w:val="00ED5B7B"/>
    <w:rsid w:val="00EE38FA"/>
    <w:rsid w:val="00EE3E2C"/>
    <w:rsid w:val="00EE4B0B"/>
    <w:rsid w:val="00EE5D23"/>
    <w:rsid w:val="00EE750D"/>
    <w:rsid w:val="00EF3CA4"/>
    <w:rsid w:val="00EF49A8"/>
    <w:rsid w:val="00EF7859"/>
    <w:rsid w:val="00F014DA"/>
    <w:rsid w:val="00F02591"/>
    <w:rsid w:val="00F05669"/>
    <w:rsid w:val="00F30AE1"/>
    <w:rsid w:val="00F37032"/>
    <w:rsid w:val="00F53F53"/>
    <w:rsid w:val="00F5696E"/>
    <w:rsid w:val="00F60EFF"/>
    <w:rsid w:val="00F67D2D"/>
    <w:rsid w:val="00F77F27"/>
    <w:rsid w:val="00F858F2"/>
    <w:rsid w:val="00F860CC"/>
    <w:rsid w:val="00F94398"/>
    <w:rsid w:val="00F9662E"/>
    <w:rsid w:val="00FA4B80"/>
    <w:rsid w:val="00FB0545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41E"/>
    <w:rsid w:val="00FF39CF"/>
    <w:rsid w:val="00FF7159"/>
    <w:rsid w:val="00FF792F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0FF97"/>
  <w15:docId w15:val="{4CD305F3-50BD-419F-A7E4-B8EED17E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45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496611"/>
    <w:pPr>
      <w:keepNext/>
      <w:keepLines/>
      <w:spacing w:before="240"/>
      <w:outlineLvl w:val="0"/>
    </w:pPr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496611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343741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496611"/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96611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49661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49661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343741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496611"/>
    <w:pPr>
      <w:numPr>
        <w:ilvl w:val="1"/>
      </w:numPr>
      <w:spacing w:after="160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491B08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343741" w:themeColor="text1"/>
        <w:left w:val="single" w:sz="4" w:space="0" w:color="343741" w:themeColor="text1"/>
        <w:bottom w:val="single" w:sz="4" w:space="0" w:color="343741" w:themeColor="text1"/>
        <w:right w:val="single" w:sz="4" w:space="0" w:color="343741" w:themeColor="text1"/>
        <w:insideH w:val="none" w:sz="0" w:space="0" w:color="auto"/>
        <w:insideV w:val="single" w:sz="4" w:space="0" w:color="343741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ato" w:hAnsi="Lato"/>
        <w:b/>
        <w:sz w:val="22"/>
      </w:rPr>
      <w:tblPr/>
      <w:tcPr>
        <w:shd w:val="clear" w:color="auto" w:fill="343741" w:themeFill="text1"/>
      </w:tcPr>
    </w:tblStylePr>
    <w:tblStylePr w:type="lastRow">
      <w:rPr>
        <w:rFonts w:ascii="Lato" w:hAnsi="Lato"/>
        <w:b/>
        <w:color w:val="auto"/>
        <w:sz w:val="22"/>
      </w:rPr>
      <w:tblPr/>
      <w:tcPr>
        <w:tcBorders>
          <w:top w:val="single" w:sz="4" w:space="0" w:color="343741" w:themeColor="text1"/>
          <w:left w:val="single" w:sz="4" w:space="0" w:color="343741" w:themeColor="text1"/>
          <w:bottom w:val="single" w:sz="4" w:space="0" w:color="343741" w:themeColor="text1"/>
          <w:right w:val="single" w:sz="4" w:space="0" w:color="343741" w:themeColor="text1"/>
        </w:tcBorders>
        <w:shd w:val="clear" w:color="auto" w:fill="auto"/>
      </w:tcPr>
    </w:tblStylePr>
    <w:tblStylePr w:type="firstCol">
      <w:rPr>
        <w:rFonts w:ascii="Lato" w:hAnsi="Lato"/>
        <w:sz w:val="22"/>
      </w:rPr>
    </w:tblStylePr>
    <w:tblStylePr w:type="lastCol">
      <w:rPr>
        <w:rFonts w:ascii="Lato" w:hAnsi="Lato"/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Lato" w:hAnsi="Lato"/>
        <w:sz w:val="22"/>
      </w:rPr>
    </w:tblStylePr>
    <w:tblStylePr w:type="nwCell">
      <w:rPr>
        <w:rFonts w:ascii="Lato" w:hAnsi="Lato"/>
        <w:sz w:val="22"/>
      </w:rPr>
    </w:tblStylePr>
    <w:tblStylePr w:type="seCell">
      <w:rPr>
        <w:rFonts w:ascii="Lato" w:hAnsi="Lato"/>
        <w:sz w:val="22"/>
      </w:rPr>
    </w:tblStylePr>
    <w:tblStylePr w:type="swCell">
      <w:rPr>
        <w:rFonts w:ascii="Lato" w:hAnsi="Lato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B0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1B08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144"/>
    <w:pPr>
      <w:pBdr>
        <w:top w:val="single" w:sz="4" w:space="10" w:color="C03A09" w:themeColor="accent1" w:themeShade="BF"/>
        <w:bottom w:val="single" w:sz="4" w:space="10" w:color="C03A09" w:themeColor="accent1" w:themeShade="BF"/>
      </w:pBdr>
      <w:spacing w:before="360" w:after="360"/>
      <w:ind w:left="864" w:right="864"/>
      <w:jc w:val="center"/>
    </w:pPr>
    <w:rPr>
      <w:i/>
      <w:iCs/>
      <w:color w:val="C03A0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144"/>
    <w:rPr>
      <w:rFonts w:ascii="Lato" w:hAnsi="Lato"/>
      <w:i/>
      <w:iCs/>
      <w:color w:val="C03A09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2F3D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4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D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D0F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D0F"/>
    <w:rPr>
      <w:rFonts w:ascii="Lato" w:hAnsi="Lat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4D0F"/>
    <w:pPr>
      <w:spacing w:after="0"/>
    </w:pPr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BF169C"/>
    <w:rPr>
      <w:color w:val="0D5D90" w:themeColor="followedHyperlink"/>
      <w:u w:val="single"/>
    </w:rPr>
  </w:style>
  <w:style w:type="table" w:customStyle="1" w:styleId="NTGmeetingagendatable">
    <w:name w:val="NTG meeting agenda table"/>
    <w:basedOn w:val="TableNormal"/>
    <w:uiPriority w:val="99"/>
    <w:rsid w:val="00041EE4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343741" w:themeColor="text1"/>
        <w:left w:val="single" w:sz="4" w:space="0" w:color="343741" w:themeColor="text1"/>
        <w:bottom w:val="single" w:sz="4" w:space="0" w:color="343741" w:themeColor="text1"/>
        <w:right w:val="single" w:sz="4" w:space="0" w:color="343741" w:themeColor="text1"/>
        <w:insideV w:val="single" w:sz="4" w:space="0" w:color="343741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343741" w:themeFill="text1"/>
      </w:tcPr>
    </w:tblStylePr>
    <w:tblStylePr w:type="firstCol">
      <w:rPr>
        <w:b/>
      </w:rPr>
      <w:tblPr/>
      <w:tcPr>
        <w:shd w:val="clear" w:color="auto" w:fill="343741" w:themeFill="text1"/>
      </w:tcPr>
    </w:tblStylePr>
    <w:tblStylePr w:type="band2Horz"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rier\Downloads\Table%20-%20Catch,%20Effort%20&amp;%20CPUE%20(4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rier\Downloads\Table%20-%20Catch,%20Effort%20&amp;%20CPUE%20(4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Barramundi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Sheet1!$A$4:$A$15</c:f>
              <c:numCache>
                <c:formatCode>0</c:formatCod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2025</c:v>
                </c:pt>
              </c:numCache>
            </c:numRef>
          </c:cat>
          <c:val>
            <c:numRef>
              <c:f>Sheet1!$C$4:$C$15</c:f>
              <c:numCache>
                <c:formatCode>#,##0</c:formatCode>
                <c:ptCount val="12"/>
                <c:pt idx="0">
                  <c:v>408.904099997</c:v>
                </c:pt>
                <c:pt idx="1">
                  <c:v>380.68183333000002</c:v>
                </c:pt>
                <c:pt idx="2">
                  <c:v>305.09286666499997</c:v>
                </c:pt>
                <c:pt idx="3">
                  <c:v>392.64716666599998</c:v>
                </c:pt>
                <c:pt idx="4">
                  <c:v>277.00946665499998</c:v>
                </c:pt>
                <c:pt idx="5">
                  <c:v>275.78973331999998</c:v>
                </c:pt>
                <c:pt idx="6">
                  <c:v>210.90561666299999</c:v>
                </c:pt>
                <c:pt idx="7">
                  <c:v>258.07764999300002</c:v>
                </c:pt>
                <c:pt idx="8">
                  <c:v>175.69443333199999</c:v>
                </c:pt>
                <c:pt idx="9">
                  <c:v>161.204833329</c:v>
                </c:pt>
                <c:pt idx="10">
                  <c:v>101.19733330699999</c:v>
                </c:pt>
                <c:pt idx="11">
                  <c:v>84.488333430800012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B3-4691-8FE6-F25D963D8301}"/>
            </c:ext>
          </c:extLst>
        </c:ser>
        <c:ser>
          <c:idx val="1"/>
          <c:order val="1"/>
          <c:tx>
            <c:strRef>
              <c:f>Sheet1!$J$3</c:f>
              <c:strCache>
                <c:ptCount val="1"/>
                <c:pt idx="0">
                  <c:v>King Threadfin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Sheet1!$A$4:$A$15</c:f>
              <c:numCache>
                <c:formatCode>0</c:formatCod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2025</c:v>
                </c:pt>
              </c:numCache>
            </c:numRef>
          </c:cat>
          <c:val>
            <c:numRef>
              <c:f>Sheet1!$J$4:$J$15</c:f>
              <c:numCache>
                <c:formatCode>#,##0</c:formatCode>
                <c:ptCount val="12"/>
                <c:pt idx="0">
                  <c:v>210.25629995200001</c:v>
                </c:pt>
                <c:pt idx="1">
                  <c:v>255.028399949</c:v>
                </c:pt>
                <c:pt idx="2">
                  <c:v>251.49623326599999</c:v>
                </c:pt>
                <c:pt idx="3">
                  <c:v>296.91549992500001</c:v>
                </c:pt>
                <c:pt idx="4">
                  <c:v>238.29399989699999</c:v>
                </c:pt>
                <c:pt idx="5">
                  <c:v>237.748766588</c:v>
                </c:pt>
                <c:pt idx="6">
                  <c:v>144.90933327100001</c:v>
                </c:pt>
                <c:pt idx="7">
                  <c:v>184.55409988399998</c:v>
                </c:pt>
                <c:pt idx="8">
                  <c:v>129.14159992199998</c:v>
                </c:pt>
                <c:pt idx="9">
                  <c:v>126.26149991699999</c:v>
                </c:pt>
                <c:pt idx="10">
                  <c:v>52.010999935000001</c:v>
                </c:pt>
                <c:pt idx="11">
                  <c:v>35.256166442140007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B3-4691-8FE6-F25D963D8301}"/>
            </c:ext>
          </c:extLst>
        </c:ser>
        <c:ser>
          <c:idx val="2"/>
          <c:order val="2"/>
          <c:tx>
            <c:strRef>
              <c:f>Sheet1!$R$3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Sheet1!$A$4:$A$15</c:f>
              <c:numCache>
                <c:formatCode>0</c:formatCod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2025</c:v>
                </c:pt>
              </c:numCache>
            </c:numRef>
          </c:cat>
          <c:val>
            <c:numRef>
              <c:f>Sheet1!$R$4:$R$15</c:f>
              <c:numCache>
                <c:formatCode>#,##0</c:formatCode>
                <c:ptCount val="12"/>
                <c:pt idx="0">
                  <c:v>31.56025181</c:v>
                </c:pt>
                <c:pt idx="1">
                  <c:v>18.452722204999997</c:v>
                </c:pt>
                <c:pt idx="2">
                  <c:v>9.8766476060000006</c:v>
                </c:pt>
                <c:pt idx="3">
                  <c:v>12.802797608000001</c:v>
                </c:pt>
                <c:pt idx="4">
                  <c:v>23.691125368000002</c:v>
                </c:pt>
                <c:pt idx="5">
                  <c:v>13.501673557</c:v>
                </c:pt>
                <c:pt idx="6">
                  <c:v>11.395580148999999</c:v>
                </c:pt>
                <c:pt idx="7">
                  <c:v>11.266941258000001</c:v>
                </c:pt>
                <c:pt idx="8">
                  <c:v>6.937381426</c:v>
                </c:pt>
                <c:pt idx="9">
                  <c:v>4.4335714140000002</c:v>
                </c:pt>
                <c:pt idx="10">
                  <c:v>3.7046674750000004</c:v>
                </c:pt>
                <c:pt idx="11">
                  <c:v>0.97771427799999999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B3-4691-8FE6-F25D963D83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84628479"/>
        <c:axId val="1284628959"/>
      </c:barChart>
      <c:catAx>
        <c:axId val="1284628479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4628959"/>
        <c:crosses val="autoZero"/>
        <c:auto val="1"/>
        <c:lblAlgn val="ctr"/>
        <c:lblOffset val="100"/>
        <c:noMultiLvlLbl val="0"/>
      </c:catAx>
      <c:valAx>
        <c:axId val="12846289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Catch (tonnes)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46284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Sheet1!$D$3</c:f>
              <c:strCache>
                <c:ptCount val="1"/>
                <c:pt idx="0">
                  <c:v>HMND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Sheet1!$A$4:$A$15</c:f>
              <c:numCache>
                <c:formatCode>0</c:formatCod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2025</c:v>
                </c:pt>
              </c:numCache>
            </c:numRef>
          </c:cat>
          <c:val>
            <c:numRef>
              <c:f>Sheet1!$G$4:$G$15</c:f>
              <c:numCache>
                <c:formatCode>General</c:formatCode>
                <c:ptCount val="12"/>
                <c:pt idx="0">
                  <c:v>15489</c:v>
                </c:pt>
                <c:pt idx="1">
                  <c:v>15772</c:v>
                </c:pt>
                <c:pt idx="2">
                  <c:v>13865</c:v>
                </c:pt>
                <c:pt idx="3">
                  <c:v>15136</c:v>
                </c:pt>
                <c:pt idx="4">
                  <c:v>11493</c:v>
                </c:pt>
                <c:pt idx="5">
                  <c:v>11069</c:v>
                </c:pt>
                <c:pt idx="6">
                  <c:v>10670</c:v>
                </c:pt>
                <c:pt idx="7">
                  <c:v>14222</c:v>
                </c:pt>
                <c:pt idx="8">
                  <c:v>11722</c:v>
                </c:pt>
                <c:pt idx="9">
                  <c:v>10750</c:v>
                </c:pt>
                <c:pt idx="10">
                  <c:v>3417</c:v>
                </c:pt>
                <c:pt idx="11">
                  <c:v>3207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AB-4B79-BDF2-A75260EC07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1314959"/>
        <c:axId val="1131313519"/>
      </c:barChart>
      <c:catAx>
        <c:axId val="1131314959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1313519"/>
        <c:crosses val="autoZero"/>
        <c:auto val="1"/>
        <c:lblAlgn val="ctr"/>
        <c:lblOffset val="100"/>
        <c:noMultiLvlLbl val="0"/>
      </c:catAx>
      <c:valAx>
        <c:axId val="11313135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Fishing effort (HMND)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13149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DF843C-7157-4CE9-98C1-32B395FA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2792</Characters>
  <Application>Microsoft Office Word</Application>
  <DocSecurity>0</DocSecurity>
  <Lines>115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&lt;NAME&gt;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Barramundi Fishery Status Report 2025</dc:title>
  <dc:creator>NorthernTerritoryGovernment@ntgov.onmicrosoft.com</dc:creator>
  <cp:lastModifiedBy>Julie-Anne Felton</cp:lastModifiedBy>
  <cp:revision>3</cp:revision>
  <cp:lastPrinted>2025-12-09T08:09:00Z</cp:lastPrinted>
  <dcterms:created xsi:type="dcterms:W3CDTF">2026-02-25T01:24:00Z</dcterms:created>
  <dcterms:modified xsi:type="dcterms:W3CDTF">2026-02-25T01:38:00Z</dcterms:modified>
</cp:coreProperties>
</file>