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8F33" w14:textId="23A7C9B8" w:rsidR="00886C9D" w:rsidRPr="00886C9D" w:rsidRDefault="00CC5464" w:rsidP="00980452">
      <w:pPr>
        <w:pStyle w:val="Title"/>
      </w:pPr>
      <w:r>
        <w:t>Northern Territory Skilled Occupation Priority List: Information Paper</w:t>
      </w:r>
    </w:p>
    <w:p w14:paraId="0BE195B6" w14:textId="7BC864CF" w:rsidR="00BD0F38" w:rsidRDefault="000D20D9" w:rsidP="00602D16">
      <w:pPr>
        <w:pStyle w:val="Subtitle0"/>
      </w:pPr>
      <w:r>
        <w:t>Octo</w:t>
      </w:r>
      <w:r w:rsidR="003147B3">
        <w:t>ber</w:t>
      </w:r>
      <w:r w:rsidR="007305DB">
        <w:t xml:space="preserve"> 2025</w:t>
      </w:r>
    </w:p>
    <w:p w14:paraId="68391618" w14:textId="77777777" w:rsidR="00366721" w:rsidRPr="00366721" w:rsidRDefault="00366721" w:rsidP="003C7462">
      <w:pPr>
        <w:pStyle w:val="Heading2"/>
        <w:numPr>
          <w:ilvl w:val="0"/>
          <w:numId w:val="0"/>
        </w:numPr>
        <w:sectPr w:rsidR="00366721" w:rsidRPr="00366721" w:rsidSect="00FA64B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43" w:right="794" w:bottom="794" w:left="794" w:header="794" w:footer="794" w:gutter="0"/>
          <w:cols w:space="708"/>
          <w:titlePg/>
          <w:docGrid w:linePitch="360"/>
        </w:sectPr>
      </w:pPr>
    </w:p>
    <w:tbl>
      <w:tblPr>
        <w:tblStyle w:val="NTGtable1"/>
        <w:tblW w:w="10348" w:type="dxa"/>
        <w:tblLook w:val="0480" w:firstRow="0" w:lastRow="0" w:firstColumn="1" w:lastColumn="0" w:noHBand="0" w:noVBand="1"/>
      </w:tblPr>
      <w:tblGrid>
        <w:gridCol w:w="2410"/>
        <w:gridCol w:w="7938"/>
      </w:tblGrid>
      <w:tr w:rsidR="00C509E6" w14:paraId="4176B47A" w14:textId="550C5707" w:rsidTr="00C50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3A3440" w:themeColor="text1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711192A6" w14:textId="77777777" w:rsidR="00C509E6" w:rsidRPr="00FB0A2D" w:rsidRDefault="00C509E6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lastRenderedPageBreak/>
              <w:t>Document title</w:t>
            </w:r>
          </w:p>
        </w:tc>
        <w:tc>
          <w:tcPr>
            <w:tcW w:w="7938" w:type="dxa"/>
            <w:tcBorders>
              <w:top w:val="single" w:sz="4" w:space="0" w:color="3A3440" w:themeColor="text1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hideMark/>
          </w:tcPr>
          <w:p w14:paraId="4A33D4C7" w14:textId="16B6122B" w:rsidR="00C509E6" w:rsidRPr="00050358" w:rsidRDefault="00C509E6" w:rsidP="00050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Northern Territory Skilled Occupation Priority List: Information Paper</w:t>
            </w:r>
          </w:p>
        </w:tc>
      </w:tr>
      <w:tr w:rsidR="00C509E6" w14:paraId="5A696807" w14:textId="4B627C55" w:rsidTr="00C509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shd w:val="clear" w:color="auto" w:fill="3A3440" w:themeFill="text1"/>
            <w:hideMark/>
          </w:tcPr>
          <w:p w14:paraId="01F69287" w14:textId="77777777" w:rsidR="00C509E6" w:rsidRPr="00FB0A2D" w:rsidRDefault="00C509E6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Contact details</w:t>
            </w:r>
          </w:p>
        </w:tc>
        <w:tc>
          <w:tcPr>
            <w:tcW w:w="7938" w:type="dxa"/>
            <w:tcBorders>
              <w:top w:val="nil"/>
              <w:left w:val="single" w:sz="4" w:space="0" w:color="3A3440" w:themeColor="text1"/>
              <w:bottom w:val="nil"/>
              <w:right w:val="single" w:sz="4" w:space="0" w:color="3A3440" w:themeColor="text1"/>
            </w:tcBorders>
            <w:hideMark/>
          </w:tcPr>
          <w:p w14:paraId="6B5FEF3A" w14:textId="787571A2" w:rsidR="00C509E6" w:rsidRPr="00050358" w:rsidRDefault="00C509E6" w:rsidP="000503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05DB">
              <w:t>Office of Workforce Developmen</w:t>
            </w:r>
            <w:r>
              <w:t>t</w:t>
            </w:r>
          </w:p>
        </w:tc>
      </w:tr>
    </w:tbl>
    <w:p w14:paraId="359E2803" w14:textId="77777777" w:rsidR="003223FE" w:rsidRDefault="003223FE" w:rsidP="00702D61"/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979"/>
        <w:gridCol w:w="8362"/>
      </w:tblGrid>
      <w:tr w:rsidR="003223FE" w:rsidRPr="00E87DE1" w14:paraId="2BD6F7A0" w14:textId="77777777" w:rsidTr="00AA4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0F71C1D3" w14:textId="77777777" w:rsidR="003223FE" w:rsidRPr="00E87DE1" w:rsidRDefault="003223FE" w:rsidP="007B59D3">
            <w:r w:rsidRPr="00E87DE1">
              <w:rPr>
                <w:w w:val="105"/>
              </w:rPr>
              <w:t>Acronyms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362" w:type="dxa"/>
          </w:tcPr>
          <w:p w14:paraId="1A25811D" w14:textId="77777777" w:rsidR="003223FE" w:rsidRPr="00E87DE1" w:rsidRDefault="003223FE" w:rsidP="007B59D3">
            <w:r w:rsidRPr="00E87DE1">
              <w:rPr>
                <w:w w:val="105"/>
              </w:rPr>
              <w:t>Full</w:t>
            </w:r>
            <w:r w:rsidRPr="00E87DE1">
              <w:rPr>
                <w:spacing w:val="-17"/>
                <w:w w:val="105"/>
              </w:rPr>
              <w:t xml:space="preserve"> </w:t>
            </w:r>
            <w:r w:rsidRPr="00E87DE1">
              <w:rPr>
                <w:w w:val="105"/>
              </w:rPr>
              <w:t>form</w:t>
            </w:r>
          </w:p>
        </w:tc>
      </w:tr>
      <w:tr w:rsidR="00277E8F" w:rsidRPr="00E87DE1" w14:paraId="41EE0513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245BFBD1" w14:textId="5CBF1D78" w:rsidR="00277E8F" w:rsidRPr="00E87DE1" w:rsidRDefault="00277E8F" w:rsidP="007B59D3">
            <w:pPr>
              <w:rPr>
                <w:w w:val="105"/>
              </w:rPr>
            </w:pPr>
            <w:r>
              <w:rPr>
                <w:w w:val="105"/>
              </w:rPr>
              <w:t>NTSOPL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77D8597D" w14:textId="73DE1771" w:rsidR="00277E8F" w:rsidRPr="00E87DE1" w:rsidRDefault="00277E8F" w:rsidP="007B59D3">
            <w:pPr>
              <w:rPr>
                <w:w w:val="105"/>
              </w:rPr>
            </w:pPr>
            <w:r w:rsidRPr="00277E8F">
              <w:rPr>
                <w:w w:val="105"/>
              </w:rPr>
              <w:t>Northern Territory Skilled Occupation Priority List</w:t>
            </w:r>
          </w:p>
        </w:tc>
      </w:tr>
      <w:tr w:rsidR="003223FE" w:rsidRPr="00E87DE1" w14:paraId="4C043833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70E6708A" w14:textId="6B4B8BDD" w:rsidR="003223FE" w:rsidRPr="00050358" w:rsidRDefault="00C04C2A" w:rsidP="00050358">
            <w:r>
              <w:t>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53785FE8" w14:textId="6A1FCED3" w:rsidR="003223FE" w:rsidRPr="00050358" w:rsidRDefault="00C04C2A" w:rsidP="00C04C2A">
            <w:r>
              <w:t>Northern Territory</w:t>
            </w:r>
          </w:p>
        </w:tc>
      </w:tr>
      <w:tr w:rsidR="003223FE" w:rsidRPr="00E87DE1" w14:paraId="447F97A8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58ECCC1A" w14:textId="4767BB53" w:rsidR="003223FE" w:rsidRPr="00050358" w:rsidRDefault="00C04C2A" w:rsidP="00050358">
            <w:r>
              <w:t>DTBAR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0F5ED78B" w14:textId="3AE7BAAE" w:rsidR="003223FE" w:rsidRPr="00050358" w:rsidRDefault="00C04C2A" w:rsidP="00050358">
            <w:r>
              <w:t>Department of Trade, Business and Asian Relations</w:t>
            </w:r>
          </w:p>
        </w:tc>
      </w:tr>
      <w:tr w:rsidR="003223FE" w:rsidRPr="00E87DE1" w14:paraId="7135A3FE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6DE9EFA8" w14:textId="1F2D52BC" w:rsidR="003223FE" w:rsidRPr="00050358" w:rsidRDefault="00C04C2A" w:rsidP="00050358">
            <w:r>
              <w:t>ISACNT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429BE1E3" w14:textId="5ED36031" w:rsidR="003223FE" w:rsidRPr="00050358" w:rsidRDefault="00C04C2A" w:rsidP="00050358">
            <w:r>
              <w:t>Industry Skills Advisory Council NT</w:t>
            </w:r>
          </w:p>
        </w:tc>
      </w:tr>
      <w:tr w:rsidR="00FB4E3A" w:rsidRPr="00E87DE1" w14:paraId="15724B64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31E14202" w14:textId="33520EFD" w:rsidR="00FB4E3A" w:rsidRPr="00050358" w:rsidRDefault="00C04C2A" w:rsidP="00050358">
            <w:r>
              <w:t>ANZSCO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29AE0E96" w14:textId="614E60C6" w:rsidR="00FB4E3A" w:rsidRPr="00050358" w:rsidRDefault="00C04C2A" w:rsidP="00050358">
            <w:r>
              <w:t>Australian and New Zealand Standard Classification of Occupations</w:t>
            </w:r>
          </w:p>
        </w:tc>
      </w:tr>
      <w:tr w:rsidR="00277E8F" w:rsidRPr="00E87DE1" w14:paraId="12A015F5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2EE03CCE" w14:textId="402D3DCE" w:rsidR="00277E8F" w:rsidRDefault="00277E8F" w:rsidP="00277E8F">
            <w:r>
              <w:t>ABS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6B897024" w14:textId="148221F0" w:rsidR="00277E8F" w:rsidRDefault="00277E8F" w:rsidP="00277E8F">
            <w:r w:rsidRPr="00277E8F">
              <w:t>Australian Bureau of Statistics</w:t>
            </w:r>
          </w:p>
        </w:tc>
      </w:tr>
      <w:tr w:rsidR="00277E8F" w:rsidRPr="00E87DE1" w14:paraId="75B8E2D1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4BF4B7D5" w14:textId="071CEF13" w:rsidR="00277E8F" w:rsidRDefault="00277E8F" w:rsidP="00277E8F">
            <w:r>
              <w:t>LFS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063D38CE" w14:textId="4608AE69" w:rsidR="00277E8F" w:rsidRDefault="00277E8F" w:rsidP="00277E8F">
            <w:r w:rsidRPr="00277E8F">
              <w:t>Labour Force Survey</w:t>
            </w:r>
          </w:p>
        </w:tc>
      </w:tr>
      <w:tr w:rsidR="00277E8F" w:rsidRPr="00E87DE1" w14:paraId="1CF9BF40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34B72E0F" w14:textId="19CFD44B" w:rsidR="00277E8F" w:rsidRDefault="00277E8F" w:rsidP="00277E8F">
            <w:r>
              <w:t>CAGR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726EBA9B" w14:textId="1B462425" w:rsidR="00277E8F" w:rsidRPr="00277E8F" w:rsidRDefault="00277E8F" w:rsidP="00277E8F">
            <w:r w:rsidRPr="00277E8F">
              <w:t>Compound Annual Growth Rate</w:t>
            </w:r>
          </w:p>
        </w:tc>
      </w:tr>
      <w:tr w:rsidR="00277E8F" w:rsidRPr="00E87DE1" w14:paraId="23F26DDE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703ABA02" w14:textId="3DF31841" w:rsidR="00277E8F" w:rsidRDefault="00277E8F" w:rsidP="00277E8F">
            <w:r>
              <w:t>DAMA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17FEC5AE" w14:textId="3EB721FB" w:rsidR="00277E8F" w:rsidRPr="00277E8F" w:rsidRDefault="00277E8F" w:rsidP="00277E8F">
            <w:r w:rsidRPr="00277E8F">
              <w:t>Designated Area Migration Agreement</w:t>
            </w:r>
          </w:p>
        </w:tc>
      </w:tr>
      <w:tr w:rsidR="00277E8F" w:rsidRPr="00E87DE1" w14:paraId="48D7411B" w14:textId="77777777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35DD796A" w14:textId="2E4F7E0A" w:rsidR="00277E8F" w:rsidRDefault="00277E8F" w:rsidP="00277E8F">
            <w:r>
              <w:t>OSCA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0C8797CD" w14:textId="49A8CE59" w:rsidR="00277E8F" w:rsidRPr="00277E8F" w:rsidRDefault="00277E8F" w:rsidP="00277E8F">
            <w:r w:rsidRPr="00277E8F">
              <w:t>Occupation and Skills Classification of Australia</w:t>
            </w:r>
          </w:p>
        </w:tc>
      </w:tr>
      <w:tr w:rsidR="00277E8F" w:rsidRPr="00E87DE1" w14:paraId="70590A7A" w14:textId="77777777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14:paraId="6F2943AC" w14:textId="67634D95" w:rsidR="00277E8F" w:rsidRDefault="00277E8F" w:rsidP="00277E8F">
            <w:r w:rsidRPr="00277E8F">
              <w:t>z-score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14:paraId="1D16020A" w14:textId="3D5D1031" w:rsidR="00277E8F" w:rsidRPr="00277E8F" w:rsidRDefault="00277E8F" w:rsidP="00277E8F">
            <w:r w:rsidRPr="00277E8F">
              <w:t>Standardised statistical measure showing how far a value is from the average, expressed in standard deviations</w:t>
            </w:r>
          </w:p>
        </w:tc>
      </w:tr>
    </w:tbl>
    <w:p w14:paraId="1815CA6F" w14:textId="14195666" w:rsidR="00277E8F" w:rsidRDefault="00277E8F" w:rsidP="00F479D5">
      <w:pPr>
        <w:pStyle w:val="TOCHeading"/>
        <w:tabs>
          <w:tab w:val="left" w:pos="8601"/>
        </w:tabs>
        <w:rPr>
          <w:rFonts w:ascii="Lato" w:eastAsia="Calibri" w:hAnsi="Lato" w:cs="Times New Roman"/>
          <w:b/>
          <w:bCs w:val="0"/>
          <w:color w:val="auto"/>
          <w:sz w:val="22"/>
          <w:szCs w:val="22"/>
        </w:rPr>
      </w:pPr>
    </w:p>
    <w:p w14:paraId="2B144865" w14:textId="77777777" w:rsidR="00277E8F" w:rsidRDefault="00277E8F">
      <w:pPr>
        <w:rPr>
          <w:b/>
        </w:rPr>
      </w:pPr>
      <w:r>
        <w:rPr>
          <w:b/>
          <w:bCs/>
        </w:rPr>
        <w:br w:type="page"/>
      </w:r>
    </w:p>
    <w:sdt>
      <w:sdtPr>
        <w:rPr>
          <w:rFonts w:ascii="Lato" w:eastAsia="Calibri" w:hAnsi="Lato" w:cs="Times New Roman"/>
          <w:b/>
          <w:bCs w:val="0"/>
          <w:color w:val="auto"/>
          <w:sz w:val="22"/>
          <w:szCs w:val="22"/>
        </w:rPr>
        <w:id w:val="-88318220"/>
        <w:docPartObj>
          <w:docPartGallery w:val="Table of Contents"/>
          <w:docPartUnique/>
        </w:docPartObj>
      </w:sdtPr>
      <w:sdtEndPr>
        <w:rPr>
          <w:b w:val="0"/>
          <w:noProof/>
        </w:rPr>
      </w:sdtEndPr>
      <w:sdtContent>
        <w:p w14:paraId="3BFCF5C5" w14:textId="1AF730BF" w:rsidR="00964B22" w:rsidRPr="00422874" w:rsidRDefault="00964B22" w:rsidP="00F479D5">
          <w:pPr>
            <w:pStyle w:val="TOCHeading"/>
            <w:tabs>
              <w:tab w:val="left" w:pos="8601"/>
            </w:tabs>
            <w:rPr>
              <w:lang w:eastAsia="ja-JP"/>
            </w:rPr>
          </w:pPr>
          <w:r w:rsidRPr="00422874">
            <w:t>Contents</w:t>
          </w:r>
        </w:p>
        <w:p w14:paraId="34C28D6C" w14:textId="3889EB4B" w:rsidR="001E1B75" w:rsidRDefault="006747E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rPr>
              <w:rFonts w:eastAsiaTheme="minorEastAsia" w:cs="Arial"/>
              <w:lang w:eastAsia="en-AU"/>
            </w:rPr>
            <w:fldChar w:fldCharType="begin"/>
          </w:r>
          <w:r>
            <w:rPr>
              <w:rFonts w:eastAsiaTheme="minorEastAsia" w:cs="Arial"/>
              <w:lang w:eastAsia="en-AU"/>
            </w:rPr>
            <w:instrText xml:space="preserve"> TOC \o "1-4" \h \z \u </w:instrText>
          </w:r>
          <w:r>
            <w:rPr>
              <w:rFonts w:eastAsiaTheme="minorEastAsia" w:cs="Arial"/>
              <w:lang w:eastAsia="en-AU"/>
            </w:rPr>
            <w:fldChar w:fldCharType="separate"/>
          </w:r>
          <w:hyperlink w:anchor="_Toc212551995" w:history="1">
            <w:r w:rsidR="001E1B75" w:rsidRPr="00312728">
              <w:rPr>
                <w:rStyle w:val="Hyperlink"/>
                <w:noProof/>
                <w:lang w:eastAsia="en-AU"/>
              </w:rPr>
              <w:t>1. Background</w:t>
            </w:r>
            <w:r w:rsidR="001E1B75">
              <w:rPr>
                <w:noProof/>
                <w:webHidden/>
              </w:rPr>
              <w:tab/>
            </w:r>
            <w:r w:rsidR="001E1B75">
              <w:rPr>
                <w:noProof/>
                <w:webHidden/>
              </w:rPr>
              <w:fldChar w:fldCharType="begin"/>
            </w:r>
            <w:r w:rsidR="001E1B75">
              <w:rPr>
                <w:noProof/>
                <w:webHidden/>
              </w:rPr>
              <w:instrText xml:space="preserve"> PAGEREF _Toc212551995 \h </w:instrText>
            </w:r>
            <w:r w:rsidR="001E1B75">
              <w:rPr>
                <w:noProof/>
                <w:webHidden/>
              </w:rPr>
            </w:r>
            <w:r w:rsidR="001E1B75">
              <w:rPr>
                <w:noProof/>
                <w:webHidden/>
              </w:rPr>
              <w:fldChar w:fldCharType="separate"/>
            </w:r>
            <w:r w:rsidR="001E1B75">
              <w:rPr>
                <w:noProof/>
                <w:webHidden/>
              </w:rPr>
              <w:t>4</w:t>
            </w:r>
            <w:r w:rsidR="001E1B75">
              <w:rPr>
                <w:noProof/>
                <w:webHidden/>
              </w:rPr>
              <w:fldChar w:fldCharType="end"/>
            </w:r>
          </w:hyperlink>
        </w:p>
        <w:p w14:paraId="26B82BE6" w14:textId="07C9ED36" w:rsidR="001E1B75" w:rsidRDefault="001E1B75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551996" w:history="1">
            <w:r w:rsidRPr="00312728">
              <w:rPr>
                <w:rStyle w:val="Hyperlink"/>
                <w:noProof/>
                <w:lang w:eastAsia="en-AU"/>
              </w:rPr>
              <w:t>2. 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_Toc212551996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78CADC" w14:textId="2ACA1DFE" w:rsidR="001E1B75" w:rsidRDefault="001E1B75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551997" w:history="1">
            <w:r w:rsidRPr="00312728">
              <w:rPr>
                <w:rStyle w:val="Hyperlink"/>
                <w:noProof/>
                <w:lang w:eastAsia="en-AU"/>
              </w:rPr>
              <w:t>3. Methodology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_Toc212551997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B0527" w14:textId="2A0875EC" w:rsidR="001E1B75" w:rsidRDefault="001E1B75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551998" w:history="1">
            <w:r w:rsidRPr="00312728">
              <w:rPr>
                <w:rStyle w:val="Hyperlink"/>
                <w:noProof/>
              </w:rPr>
              <w:t>3.1. Identifying the Preliminary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_Toc212551998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D1A1F5" w14:textId="3B28AB8A" w:rsidR="001E1B75" w:rsidRDefault="001E1B75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551999" w:history="1">
            <w:r w:rsidRPr="00312728">
              <w:rPr>
                <w:rStyle w:val="Hyperlink"/>
                <w:noProof/>
              </w:rPr>
              <w:t>3.2. Quantitative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_Toc212551999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EF711" w14:textId="20DF8393" w:rsidR="001E1B75" w:rsidRDefault="001E1B75">
          <w:pPr>
            <w:pStyle w:val="TOC4"/>
            <w:tabs>
              <w:tab w:val="right" w:leader="dot" w:pos="1030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552000" w:history="1">
            <w:r w:rsidRPr="00312728">
              <w:rPr>
                <w:rStyle w:val="Hyperlink"/>
                <w:noProof/>
              </w:rPr>
              <w:t>Standardising the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_Toc212552000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991075" w14:textId="5BDE2B4C" w:rsidR="001E1B75" w:rsidRDefault="001E1B75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552001" w:history="1">
            <w:r w:rsidRPr="00312728">
              <w:rPr>
                <w:rStyle w:val="Hyperlink"/>
                <w:noProof/>
              </w:rPr>
              <w:t>3.3. Qualitative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_Toc212552001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1924B4" w14:textId="15F22BF4" w:rsidR="001E1B75" w:rsidRDefault="001E1B75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552002" w:history="1">
            <w:r w:rsidRPr="00312728">
              <w:rPr>
                <w:rStyle w:val="Hyperlink"/>
                <w:noProof/>
              </w:rPr>
              <w:t>3.4. Synthesis of two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_Toc212552002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2032E" w14:textId="308AC0BC" w:rsidR="001E1B75" w:rsidRDefault="001E1B75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552003" w:history="1">
            <w:r w:rsidRPr="00312728">
              <w:rPr>
                <w:rStyle w:val="Hyperlink"/>
                <w:noProof/>
                <w:lang w:eastAsia="en-AU"/>
              </w:rPr>
              <w:t>4. Appendix A – Development Process Flowchart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_Toc212552003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0C3DE" w14:textId="3D46F0C8" w:rsidR="001E1B75" w:rsidRDefault="001E1B75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552004" w:history="1">
            <w:r w:rsidRPr="00312728">
              <w:rPr>
                <w:rStyle w:val="Hyperlink"/>
                <w:noProof/>
                <w:lang w:eastAsia="en-AU"/>
              </w:rPr>
              <w:t>5. Appendix B – ISACNT Survey Instrument (2025)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_Toc212552004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6F26A" w14:textId="49C269B8" w:rsidR="001E1B75" w:rsidRDefault="001E1B75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2552005" w:history="1">
            <w:r w:rsidRPr="00312728">
              <w:rPr>
                <w:rStyle w:val="Hyperlink"/>
                <w:noProof/>
                <w:lang w:eastAsia="en-AU"/>
              </w:rPr>
              <w:t>6. Notes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_Toc212552005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5FBEA" w14:textId="36CEB363" w:rsidR="00964B22" w:rsidRPr="00095DDD" w:rsidRDefault="006747E0" w:rsidP="004E7885">
          <w:pPr>
            <w:rPr>
              <w:rFonts w:eastAsiaTheme="minorEastAsia" w:cs="Arial"/>
              <w:b/>
              <w:lang w:eastAsia="en-AU"/>
            </w:rPr>
            <w:sectPr w:rsidR="00964B22" w:rsidRPr="00095DDD" w:rsidSect="004E7885">
              <w:headerReference w:type="default" r:id="rId13"/>
              <w:footerReference w:type="default" r:id="rId14"/>
              <w:headerReference w:type="first" r:id="rId15"/>
              <w:footerReference w:type="first" r:id="rId16"/>
              <w:pgSz w:w="11906" w:h="16838" w:code="9"/>
              <w:pgMar w:top="794" w:right="794" w:bottom="794" w:left="794" w:header="794" w:footer="794" w:gutter="0"/>
              <w:cols w:space="708"/>
              <w:titlePg/>
              <w:docGrid w:linePitch="360"/>
            </w:sectPr>
          </w:pPr>
          <w:r>
            <w:rPr>
              <w:rFonts w:eastAsiaTheme="minorEastAsia" w:cs="Arial"/>
              <w:lang w:eastAsia="en-AU"/>
            </w:rPr>
            <w:fldChar w:fldCharType="end"/>
          </w:r>
        </w:p>
      </w:sdtContent>
    </w:sdt>
    <w:p w14:paraId="6FFE41C8" w14:textId="17A3D84C" w:rsidR="00EB3D43" w:rsidRDefault="007305DB" w:rsidP="00E45536">
      <w:pPr>
        <w:pStyle w:val="Heading1"/>
        <w:rPr>
          <w:noProof/>
          <w:lang w:eastAsia="en-AU"/>
        </w:rPr>
      </w:pPr>
      <w:bookmarkStart w:id="0" w:name="_Toc212551995"/>
      <w:r>
        <w:rPr>
          <w:noProof/>
          <w:lang w:eastAsia="en-AU"/>
        </w:rPr>
        <w:lastRenderedPageBreak/>
        <w:t>Background</w:t>
      </w:r>
      <w:bookmarkEnd w:id="0"/>
    </w:p>
    <w:p w14:paraId="7D00C4C5" w14:textId="54882246" w:rsidR="00C04C2A" w:rsidRPr="0079000A" w:rsidRDefault="00DF7432" w:rsidP="00DF7432">
      <w:pPr>
        <w:spacing w:after="160" w:line="259" w:lineRule="auto"/>
        <w:rPr>
          <w:spacing w:val="-2"/>
        </w:rPr>
      </w:pPr>
      <w:r>
        <w:t xml:space="preserve">The Northern Territory Skilled Occupation Priority List (NTSOPL) was first </w:t>
      </w:r>
      <w:r w:rsidR="00E552E7">
        <w:t>released</w:t>
      </w:r>
      <w:r>
        <w:t xml:space="preserve"> in 2013</w:t>
      </w:r>
      <w:r w:rsidR="000D20D9">
        <w:t xml:space="preserve"> and</w:t>
      </w:r>
      <w:r>
        <w:t xml:space="preserve"> draws on a model originally developed in Western </w:t>
      </w:r>
      <w:r w:rsidR="000B4603">
        <w:t>Australia</w:t>
      </w:r>
      <w:r w:rsidR="000D20D9">
        <w:t xml:space="preserve">. </w:t>
      </w:r>
      <w:r w:rsidRPr="0079000A">
        <w:rPr>
          <w:spacing w:val="-2"/>
        </w:rPr>
        <w:t>The NTSOPL is updated each year to identify occupations that are either in short</w:t>
      </w:r>
      <w:r w:rsidR="000D20D9">
        <w:rPr>
          <w:spacing w:val="-2"/>
        </w:rPr>
        <w:t xml:space="preserve"> supply</w:t>
      </w:r>
      <w:r w:rsidRPr="0079000A">
        <w:rPr>
          <w:spacing w:val="-2"/>
        </w:rPr>
        <w:t xml:space="preserve"> or considered strategically important to the Northern Territory. Its purpose is to provide a clear, evidence-based guide for:</w:t>
      </w:r>
    </w:p>
    <w:p w14:paraId="2189B8DF" w14:textId="392B172B" w:rsidR="00C04C2A" w:rsidRDefault="00C04C2A" w:rsidP="00DF7432">
      <w:pPr>
        <w:pStyle w:val="ListParagraph"/>
        <w:numPr>
          <w:ilvl w:val="0"/>
          <w:numId w:val="20"/>
        </w:numPr>
        <w:spacing w:after="160" w:line="259" w:lineRule="auto"/>
      </w:pPr>
      <w:r>
        <w:t>Workforce planning and development</w:t>
      </w:r>
    </w:p>
    <w:p w14:paraId="3B860DDE" w14:textId="2ADEE55C" w:rsidR="00C04C2A" w:rsidRDefault="00C04C2A" w:rsidP="00DF7432">
      <w:pPr>
        <w:pStyle w:val="ListParagraph"/>
        <w:numPr>
          <w:ilvl w:val="0"/>
          <w:numId w:val="20"/>
        </w:numPr>
        <w:spacing w:after="160" w:line="259" w:lineRule="auto"/>
      </w:pPr>
      <w:r>
        <w:t>Training investment decisions</w:t>
      </w:r>
    </w:p>
    <w:p w14:paraId="20CEC2BC" w14:textId="791946C0" w:rsidR="00C04C2A" w:rsidRDefault="00CD1183" w:rsidP="00DF7432">
      <w:pPr>
        <w:pStyle w:val="ListParagraph"/>
        <w:numPr>
          <w:ilvl w:val="0"/>
          <w:numId w:val="20"/>
        </w:numPr>
        <w:spacing w:after="160" w:line="259" w:lineRule="auto"/>
      </w:pPr>
      <w:r>
        <w:t>T</w:t>
      </w:r>
      <w:r w:rsidR="00C04C2A">
        <w:t>argeted employer incentives</w:t>
      </w:r>
    </w:p>
    <w:p w14:paraId="37116BE8" w14:textId="0597B9F7" w:rsidR="00C04C2A" w:rsidRPr="00DC2392" w:rsidRDefault="00C04C2A" w:rsidP="00DF7432">
      <w:pPr>
        <w:pStyle w:val="ListParagraph"/>
        <w:numPr>
          <w:ilvl w:val="0"/>
          <w:numId w:val="20"/>
        </w:numPr>
        <w:spacing w:after="160" w:line="259" w:lineRule="auto"/>
        <w:rPr>
          <w:spacing w:val="-2"/>
        </w:rPr>
      </w:pPr>
      <w:r w:rsidRPr="00DC2392">
        <w:rPr>
          <w:spacing w:val="-2"/>
        </w:rPr>
        <w:t xml:space="preserve">Skilled migration programs, including </w:t>
      </w:r>
      <w:r w:rsidR="000D20D9" w:rsidRPr="00DC2392">
        <w:rPr>
          <w:spacing w:val="-2"/>
        </w:rPr>
        <w:t xml:space="preserve">the </w:t>
      </w:r>
      <w:r w:rsidR="00151105" w:rsidRPr="00DC2392">
        <w:rPr>
          <w:spacing w:val="-2"/>
        </w:rPr>
        <w:t>N</w:t>
      </w:r>
      <w:r w:rsidR="000D20D9" w:rsidRPr="00DC2392">
        <w:rPr>
          <w:spacing w:val="-2"/>
        </w:rPr>
        <w:t xml:space="preserve">orthern </w:t>
      </w:r>
      <w:r w:rsidR="00151105" w:rsidRPr="00DC2392">
        <w:rPr>
          <w:spacing w:val="-2"/>
        </w:rPr>
        <w:t>T</w:t>
      </w:r>
      <w:r w:rsidR="000D20D9" w:rsidRPr="00DC2392">
        <w:rPr>
          <w:spacing w:val="-2"/>
        </w:rPr>
        <w:t>erritory’s</w:t>
      </w:r>
      <w:r w:rsidR="00151105" w:rsidRPr="00DC2392">
        <w:rPr>
          <w:spacing w:val="-2"/>
        </w:rPr>
        <w:t xml:space="preserve"> </w:t>
      </w:r>
      <w:r w:rsidRPr="00DC2392">
        <w:rPr>
          <w:spacing w:val="-2"/>
        </w:rPr>
        <w:t>D</w:t>
      </w:r>
      <w:r w:rsidR="000D20D9" w:rsidRPr="00DC2392">
        <w:rPr>
          <w:spacing w:val="-2"/>
        </w:rPr>
        <w:t>esignated Area Migration Agreement</w:t>
      </w:r>
    </w:p>
    <w:p w14:paraId="3265734E" w14:textId="552FE491" w:rsidR="00C04C2A" w:rsidRDefault="00C04C2A" w:rsidP="00DF7432">
      <w:pPr>
        <w:pStyle w:val="ListParagraph"/>
        <w:numPr>
          <w:ilvl w:val="0"/>
          <w:numId w:val="20"/>
        </w:numPr>
        <w:spacing w:after="160" w:line="259" w:lineRule="auto"/>
      </w:pPr>
      <w:r>
        <w:t>National and international recruitment initiatives</w:t>
      </w:r>
    </w:p>
    <w:p w14:paraId="7B3CD10F" w14:textId="77777777" w:rsidR="000F0132" w:rsidRDefault="00C04C2A" w:rsidP="00DF7432">
      <w:pPr>
        <w:pStyle w:val="ListParagraph"/>
        <w:numPr>
          <w:ilvl w:val="0"/>
          <w:numId w:val="20"/>
        </w:numPr>
        <w:spacing w:after="160" w:line="259" w:lineRule="auto"/>
      </w:pPr>
      <w:r>
        <w:t>Population and economic growth strategies</w:t>
      </w:r>
    </w:p>
    <w:p w14:paraId="0FA7AC06" w14:textId="48B5A30C" w:rsidR="000F0132" w:rsidRPr="000F0132" w:rsidRDefault="000F0132" w:rsidP="00DF7432">
      <w:pPr>
        <w:pStyle w:val="ListParagraph"/>
        <w:numPr>
          <w:ilvl w:val="0"/>
          <w:numId w:val="20"/>
        </w:numPr>
        <w:spacing w:after="160" w:line="259" w:lineRule="auto"/>
      </w:pPr>
      <w:r w:rsidRPr="000F0132">
        <w:t>Strategic policy decision-making</w:t>
      </w:r>
    </w:p>
    <w:p w14:paraId="458B27C9" w14:textId="3DD8E8D3" w:rsidR="00DF7432" w:rsidRDefault="00DF7432" w:rsidP="00DF7432">
      <w:pPr>
        <w:spacing w:after="160" w:line="259" w:lineRule="auto"/>
      </w:pPr>
      <w:r w:rsidRPr="00DF7432">
        <w:t xml:space="preserve">The list is developed by the Office of Workforce Development in the Department of Trade, Business and Asian Relations (DTBAR). The methodology combines quantitative analysis </w:t>
      </w:r>
      <w:r w:rsidR="00E552E7">
        <w:t xml:space="preserve">undertaken </w:t>
      </w:r>
      <w:r w:rsidRPr="00DF7432">
        <w:t xml:space="preserve">by </w:t>
      </w:r>
      <w:r w:rsidR="00E552E7">
        <w:t xml:space="preserve">DTBAR’s </w:t>
      </w:r>
      <w:r w:rsidRPr="00DF7432">
        <w:t>Analytics &amp; Insights Unit with qualitative input from the Industry Skills Advisory Council NT (ISACNT).</w:t>
      </w:r>
    </w:p>
    <w:p w14:paraId="78AE0508" w14:textId="28C5E6BD" w:rsidR="00DF7432" w:rsidRDefault="00DF7432" w:rsidP="00DF7432">
      <w:pPr>
        <w:spacing w:after="160" w:line="259" w:lineRule="auto"/>
      </w:pPr>
      <w:r>
        <w:t>Th</w:t>
      </w:r>
      <w:r w:rsidR="000D20D9">
        <w:t xml:space="preserve">e methodology </w:t>
      </w:r>
      <w:r w:rsidR="00E552E7">
        <w:t xml:space="preserve">incorporates </w:t>
      </w:r>
      <w:r>
        <w:t xml:space="preserve">both statistical </w:t>
      </w:r>
      <w:r w:rsidR="00E552E7">
        <w:t>rigour</w:t>
      </w:r>
      <w:r>
        <w:t xml:space="preserve"> and the practical realities faced by businesses and workers across the Territory. It is designed not just as a labour market snapshot, but as a tool to help government, industry, and training providers plan for the Territory’s future workforce.</w:t>
      </w:r>
    </w:p>
    <w:p w14:paraId="0E6519C7" w14:textId="699CF81B" w:rsidR="00CE5576" w:rsidRDefault="00CE5576" w:rsidP="00CE5576">
      <w:pPr>
        <w:pStyle w:val="Heading1"/>
        <w:rPr>
          <w:noProof/>
          <w:lang w:eastAsia="en-AU"/>
        </w:rPr>
      </w:pPr>
      <w:bookmarkStart w:id="1" w:name="_Toc212551996"/>
      <w:r>
        <w:rPr>
          <w:noProof/>
          <w:lang w:eastAsia="en-AU"/>
        </w:rPr>
        <w:t>Introduction</w:t>
      </w:r>
      <w:bookmarkEnd w:id="1"/>
    </w:p>
    <w:p w14:paraId="1279F017" w14:textId="26C00570" w:rsidR="00DF7432" w:rsidRDefault="00DF7432" w:rsidP="00DF7432">
      <w:pPr>
        <w:spacing w:after="160" w:line="259" w:lineRule="auto"/>
      </w:pPr>
      <w:r>
        <w:t>In 2025, the quantitative assessment was refined to use Australian Bureau of Statistics (ABS) Census employment</w:t>
      </w:r>
      <w:r w:rsidR="00C63CB6">
        <w:t xml:space="preserve"> by occupation</w:t>
      </w:r>
      <w:r>
        <w:t xml:space="preserve"> data instead of </w:t>
      </w:r>
      <w:r w:rsidR="00C63CB6">
        <w:t xml:space="preserve">quarterly employment by occupation </w:t>
      </w:r>
      <w:r>
        <w:t xml:space="preserve">data. This change improves reliability </w:t>
      </w:r>
      <w:r w:rsidR="00C63CB6">
        <w:t>given the volatility of quarterly employment by occupation data</w:t>
      </w:r>
      <w:r>
        <w:t>.</w:t>
      </w:r>
    </w:p>
    <w:p w14:paraId="098ABE87" w14:textId="2F9D6A76" w:rsidR="00DF7432" w:rsidRPr="00E552E7" w:rsidRDefault="00DF7432" w:rsidP="00DF7432">
      <w:pPr>
        <w:spacing w:after="160" w:line="259" w:lineRule="auto"/>
        <w:rPr>
          <w:spacing w:val="-2"/>
        </w:rPr>
      </w:pPr>
      <w:r w:rsidRPr="00E552E7">
        <w:rPr>
          <w:spacing w:val="-2"/>
        </w:rPr>
        <w:t>This paper outlines the 2025 methodology, explaining how the list is developed and sources used. It covers:</w:t>
      </w:r>
    </w:p>
    <w:p w14:paraId="0A9D0197" w14:textId="2C2FE01A" w:rsidR="00DF7432" w:rsidRPr="00C63CB6" w:rsidRDefault="00DF7432" w:rsidP="00DF7432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 xml:space="preserve">the </w:t>
      </w:r>
      <w:r w:rsidRPr="0079000A">
        <w:rPr>
          <w:lang w:eastAsia="en-AU"/>
        </w:rPr>
        <w:t xml:space="preserve">method for </w:t>
      </w:r>
      <w:r w:rsidR="00E552E7" w:rsidRPr="0079000A">
        <w:rPr>
          <w:lang w:eastAsia="en-AU"/>
        </w:rPr>
        <w:t xml:space="preserve">preliminary identification of </w:t>
      </w:r>
      <w:r w:rsidRPr="00C63CB6">
        <w:rPr>
          <w:lang w:eastAsia="en-AU"/>
        </w:rPr>
        <w:t>occupations considered for inclusion on the NTSOPL</w:t>
      </w:r>
    </w:p>
    <w:p w14:paraId="4452C137" w14:textId="4B31A85E" w:rsidR="00DF7432" w:rsidRDefault="00DF7432" w:rsidP="00DF7432">
      <w:pPr>
        <w:pStyle w:val="ListParagraph"/>
        <w:numPr>
          <w:ilvl w:val="0"/>
          <w:numId w:val="12"/>
        </w:numPr>
        <w:rPr>
          <w:lang w:eastAsia="en-AU"/>
        </w:rPr>
      </w:pPr>
      <w:r w:rsidRPr="00C63CB6">
        <w:rPr>
          <w:lang w:eastAsia="en-AU"/>
        </w:rPr>
        <w:t xml:space="preserve">the </w:t>
      </w:r>
      <w:r w:rsidRPr="0079000A">
        <w:rPr>
          <w:lang w:eastAsia="en-AU"/>
        </w:rPr>
        <w:t xml:space="preserve">statistical </w:t>
      </w:r>
      <w:r w:rsidR="00C63CB6" w:rsidRPr="0079000A">
        <w:rPr>
          <w:lang w:eastAsia="en-AU"/>
        </w:rPr>
        <w:t xml:space="preserve">methods </w:t>
      </w:r>
      <w:r w:rsidRPr="00C63CB6">
        <w:rPr>
          <w:lang w:eastAsia="en-AU"/>
        </w:rPr>
        <w:t>used</w:t>
      </w:r>
      <w:r>
        <w:rPr>
          <w:lang w:eastAsia="en-AU"/>
        </w:rPr>
        <w:t xml:space="preserve"> to rank occupations</w:t>
      </w:r>
    </w:p>
    <w:p w14:paraId="35CB4022" w14:textId="51EB7A0D" w:rsidR="00DF7432" w:rsidRDefault="00DF7432" w:rsidP="00DF7432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the industry consultation process</w:t>
      </w:r>
    </w:p>
    <w:p w14:paraId="51683A6F" w14:textId="27636D4F" w:rsidR="00DF7432" w:rsidRDefault="00DF7432" w:rsidP="00DF7432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 xml:space="preserve">how </w:t>
      </w:r>
      <w:r w:rsidR="00E552E7">
        <w:rPr>
          <w:lang w:eastAsia="en-AU"/>
        </w:rPr>
        <w:t xml:space="preserve">the </w:t>
      </w:r>
      <w:r>
        <w:rPr>
          <w:lang w:eastAsia="en-AU"/>
        </w:rPr>
        <w:t>data and consultation are combined to produce the final list.</w:t>
      </w:r>
    </w:p>
    <w:p w14:paraId="7782A251" w14:textId="409894C9" w:rsidR="00DF7432" w:rsidRDefault="00DF7432" w:rsidP="00DF7432">
      <w:pPr>
        <w:rPr>
          <w:lang w:eastAsia="en-AU"/>
        </w:rPr>
      </w:pPr>
      <w:r>
        <w:rPr>
          <w:lang w:eastAsia="en-AU"/>
        </w:rPr>
        <w:t xml:space="preserve">A summary flowchart of the methodology is at </w:t>
      </w:r>
      <w:r w:rsidRPr="00DC2392">
        <w:rPr>
          <w:lang w:eastAsia="en-AU"/>
        </w:rPr>
        <w:t>Appendix A</w:t>
      </w:r>
      <w:r>
        <w:rPr>
          <w:lang w:eastAsia="en-AU"/>
        </w:rPr>
        <w:t>.</w:t>
      </w:r>
    </w:p>
    <w:p w14:paraId="77344FC8" w14:textId="1312B7B3" w:rsidR="00CE5576" w:rsidRDefault="00CE5576" w:rsidP="00C04C2A">
      <w:pPr>
        <w:pStyle w:val="Heading1"/>
        <w:rPr>
          <w:noProof/>
          <w:lang w:eastAsia="en-AU"/>
        </w:rPr>
      </w:pPr>
      <w:bookmarkStart w:id="2" w:name="_Toc212551997"/>
      <w:r>
        <w:rPr>
          <w:noProof/>
          <w:lang w:eastAsia="en-AU"/>
        </w:rPr>
        <w:t>Methodology</w:t>
      </w:r>
      <w:bookmarkEnd w:id="2"/>
    </w:p>
    <w:p w14:paraId="5417E656" w14:textId="51B61DE3" w:rsidR="000D20D9" w:rsidRDefault="00D43983" w:rsidP="007067FB">
      <w:pPr>
        <w:rPr>
          <w:lang w:eastAsia="en-AU"/>
        </w:rPr>
      </w:pPr>
      <w:r>
        <w:rPr>
          <w:lang w:eastAsia="en-AU"/>
        </w:rPr>
        <w:t xml:space="preserve">The process begins by </w:t>
      </w:r>
      <w:r w:rsidR="00E552E7">
        <w:rPr>
          <w:lang w:eastAsia="en-AU"/>
        </w:rPr>
        <w:t>identifying</w:t>
      </w:r>
      <w:r>
        <w:rPr>
          <w:lang w:eastAsia="en-AU"/>
        </w:rPr>
        <w:t xml:space="preserve"> a preliminary list of eligible occupations, which is then indexed through both quantitative and qualitative assessment</w:t>
      </w:r>
      <w:r w:rsidR="00A96A0B">
        <w:rPr>
          <w:lang w:eastAsia="en-AU"/>
        </w:rPr>
        <w:t>s</w:t>
      </w:r>
      <w:r>
        <w:rPr>
          <w:lang w:eastAsia="en-AU"/>
        </w:rPr>
        <w:t xml:space="preserve"> using data, modelling, and analysis. Results are validated </w:t>
      </w:r>
      <w:r w:rsidR="000D20D9">
        <w:rPr>
          <w:lang w:eastAsia="en-AU"/>
        </w:rPr>
        <w:t xml:space="preserve">and complemented using qualitative information </w:t>
      </w:r>
      <w:r>
        <w:rPr>
          <w:lang w:eastAsia="en-AU"/>
        </w:rPr>
        <w:t>before the final list is confirmed.</w:t>
      </w:r>
    </w:p>
    <w:p w14:paraId="5131FCA8" w14:textId="77777777" w:rsidR="000D20D9" w:rsidRDefault="000D20D9">
      <w:pPr>
        <w:rPr>
          <w:lang w:eastAsia="en-AU"/>
        </w:rPr>
      </w:pPr>
      <w:r>
        <w:rPr>
          <w:lang w:eastAsia="en-AU"/>
        </w:rPr>
        <w:br w:type="page"/>
      </w:r>
    </w:p>
    <w:p w14:paraId="2CE5B201" w14:textId="1B16DD6C" w:rsidR="00CE5576" w:rsidRPr="009706A8" w:rsidRDefault="00E552E7" w:rsidP="003C7462">
      <w:pPr>
        <w:pStyle w:val="Heading2"/>
      </w:pPr>
      <w:bookmarkStart w:id="3" w:name="_Toc212551998"/>
      <w:r w:rsidRPr="003C7462">
        <w:lastRenderedPageBreak/>
        <w:t>Identifying</w:t>
      </w:r>
      <w:r w:rsidR="00CE5576" w:rsidRPr="009706A8">
        <w:t xml:space="preserve"> the Preliminary List</w:t>
      </w:r>
      <w:bookmarkEnd w:id="3"/>
    </w:p>
    <w:p w14:paraId="167C0303" w14:textId="18E546E6" w:rsidR="00C04C2A" w:rsidRPr="006C5335" w:rsidRDefault="00D43983" w:rsidP="00C04C2A">
      <w:pPr>
        <w:rPr>
          <w:lang w:eastAsia="en-AU"/>
        </w:rPr>
      </w:pPr>
      <w:r w:rsidRPr="006C5335">
        <w:rPr>
          <w:lang w:eastAsia="en-AU"/>
        </w:rPr>
        <w:t xml:space="preserve">Occupations are first screened against </w:t>
      </w:r>
      <w:r w:rsidR="00C63CB6">
        <w:rPr>
          <w:lang w:eastAsia="en-AU"/>
        </w:rPr>
        <w:t>three</w:t>
      </w:r>
      <w:r w:rsidRPr="006C5335">
        <w:rPr>
          <w:lang w:eastAsia="en-AU"/>
        </w:rPr>
        <w:t xml:space="preserve"> criteria</w:t>
      </w:r>
      <w:r w:rsidR="00E552E7">
        <w:rPr>
          <w:lang w:eastAsia="en-AU"/>
        </w:rPr>
        <w:t>. The occupation</w:t>
      </w:r>
      <w:r w:rsidRPr="006C5335">
        <w:rPr>
          <w:lang w:eastAsia="en-AU"/>
        </w:rPr>
        <w:t>:</w:t>
      </w:r>
    </w:p>
    <w:p w14:paraId="2E8C3A0C" w14:textId="481BA1BD" w:rsidR="00C04C2A" w:rsidRPr="006C5335" w:rsidRDefault="00E552E7" w:rsidP="00C63CB6">
      <w:pPr>
        <w:pStyle w:val="ListParagraph"/>
        <w:numPr>
          <w:ilvl w:val="0"/>
          <w:numId w:val="27"/>
        </w:numPr>
        <w:rPr>
          <w:lang w:eastAsia="en-AU"/>
        </w:rPr>
      </w:pPr>
      <w:r w:rsidRPr="00C63CB6">
        <w:rPr>
          <w:b/>
          <w:bCs/>
          <w:lang w:eastAsia="en-AU"/>
        </w:rPr>
        <w:t>must</w:t>
      </w:r>
      <w:r>
        <w:rPr>
          <w:lang w:eastAsia="en-AU"/>
        </w:rPr>
        <w:t xml:space="preserve"> have an</w:t>
      </w:r>
      <w:r w:rsidR="00C04C2A" w:rsidRPr="006C5335">
        <w:rPr>
          <w:lang w:eastAsia="en-AU"/>
        </w:rPr>
        <w:t xml:space="preserve"> ANZSCO Code (6-digit level, ANZSCO 2022)</w:t>
      </w:r>
      <w:r w:rsidR="0097224F">
        <w:rPr>
          <w:lang w:eastAsia="en-AU"/>
        </w:rPr>
        <w:t>, noting non-</w:t>
      </w:r>
      <w:r w:rsidR="0097224F" w:rsidRPr="00566F80">
        <w:rPr>
          <w:lang w:eastAsia="en-AU"/>
        </w:rPr>
        <w:t>specific or catch-all classifications</w:t>
      </w:r>
      <w:r w:rsidR="0097224F" w:rsidRPr="00566F80">
        <w:t xml:space="preserve"> </w:t>
      </w:r>
      <w:r w:rsidR="0097224F" w:rsidRPr="00566F80">
        <w:rPr>
          <w:lang w:eastAsia="en-AU"/>
        </w:rPr>
        <w:t>designed only for the ABS Census collection</w:t>
      </w:r>
      <w:r w:rsidR="0097224F">
        <w:rPr>
          <w:lang w:eastAsia="en-AU"/>
        </w:rPr>
        <w:t xml:space="preserve"> are excluded (e.g. ANZSCO</w:t>
      </w:r>
      <w:r w:rsidR="0097224F" w:rsidRPr="00566F80">
        <w:rPr>
          <w:lang w:eastAsia="en-AU"/>
        </w:rPr>
        <w:t xml:space="preserve"> 599999 </w:t>
      </w:r>
      <w:r w:rsidR="0097224F">
        <w:rPr>
          <w:lang w:eastAsia="en-AU"/>
        </w:rPr>
        <w:t xml:space="preserve">– </w:t>
      </w:r>
      <w:r w:rsidR="0097224F" w:rsidRPr="00566F80">
        <w:rPr>
          <w:lang w:eastAsia="en-AU"/>
        </w:rPr>
        <w:t>Clerical and Administrative Workers nec</w:t>
      </w:r>
      <w:r w:rsidR="0097224F">
        <w:rPr>
          <w:lang w:eastAsia="en-AU"/>
        </w:rPr>
        <w:t xml:space="preserve"> </w:t>
      </w:r>
      <w:r w:rsidR="000D20D9">
        <w:rPr>
          <w:lang w:eastAsia="en-AU"/>
        </w:rPr>
        <w:t>[</w:t>
      </w:r>
      <w:r w:rsidR="0097224F">
        <w:rPr>
          <w:lang w:eastAsia="en-AU"/>
        </w:rPr>
        <w:t>not elsewhere classified</w:t>
      </w:r>
      <w:r w:rsidR="000D20D9">
        <w:rPr>
          <w:lang w:eastAsia="en-AU"/>
        </w:rPr>
        <w:t>])</w:t>
      </w:r>
    </w:p>
    <w:p w14:paraId="549B9B6D" w14:textId="67C29C26" w:rsidR="00C04C2A" w:rsidRPr="006C5335" w:rsidRDefault="00E552E7" w:rsidP="00C63CB6">
      <w:pPr>
        <w:pStyle w:val="ListParagraph"/>
        <w:numPr>
          <w:ilvl w:val="0"/>
          <w:numId w:val="27"/>
        </w:numPr>
        <w:rPr>
          <w:lang w:eastAsia="en-AU"/>
        </w:rPr>
      </w:pPr>
      <w:r w:rsidRPr="00C63CB6">
        <w:rPr>
          <w:b/>
          <w:bCs/>
          <w:lang w:eastAsia="en-AU"/>
        </w:rPr>
        <w:t>should</w:t>
      </w:r>
      <w:r>
        <w:rPr>
          <w:lang w:eastAsia="en-AU"/>
        </w:rPr>
        <w:t xml:space="preserve"> have an </w:t>
      </w:r>
      <w:r w:rsidR="00C04C2A" w:rsidRPr="006C5335">
        <w:rPr>
          <w:lang w:eastAsia="en-AU"/>
        </w:rPr>
        <w:t>ANZSCO Skill Level</w:t>
      </w:r>
      <w:r>
        <w:rPr>
          <w:lang w:eastAsia="en-AU"/>
        </w:rPr>
        <w:t xml:space="preserve"> of</w:t>
      </w:r>
      <w:r w:rsidR="00C04C2A" w:rsidRPr="006C5335">
        <w:rPr>
          <w:lang w:eastAsia="en-AU"/>
        </w:rPr>
        <w:t xml:space="preserve"> 1–4</w:t>
      </w:r>
      <w:r>
        <w:rPr>
          <w:lang w:eastAsia="en-AU"/>
        </w:rPr>
        <w:t xml:space="preserve">, though Skill </w:t>
      </w:r>
      <w:r w:rsidR="00C04C2A" w:rsidRPr="006C5335">
        <w:rPr>
          <w:lang w:eastAsia="en-AU"/>
        </w:rPr>
        <w:t xml:space="preserve">Level 5 occupations </w:t>
      </w:r>
      <w:r>
        <w:rPr>
          <w:lang w:eastAsia="en-AU"/>
        </w:rPr>
        <w:t xml:space="preserve">may be </w:t>
      </w:r>
      <w:r w:rsidR="00C04C2A" w:rsidRPr="006C5335">
        <w:rPr>
          <w:lang w:eastAsia="en-AU"/>
        </w:rPr>
        <w:t xml:space="preserve">assessed </w:t>
      </w:r>
      <w:r w:rsidR="00C63CB6">
        <w:rPr>
          <w:lang w:eastAsia="en-AU"/>
        </w:rPr>
        <w:t xml:space="preserve">and included </w:t>
      </w:r>
      <w:r w:rsidR="00C04C2A" w:rsidRPr="006C5335">
        <w:rPr>
          <w:lang w:eastAsia="en-AU"/>
        </w:rPr>
        <w:t>on a case</w:t>
      </w:r>
      <w:r>
        <w:rPr>
          <w:lang w:eastAsia="en-AU"/>
        </w:rPr>
        <w:noBreakHyphen/>
      </w:r>
      <w:r w:rsidR="00C04C2A" w:rsidRPr="006C5335">
        <w:rPr>
          <w:lang w:eastAsia="en-AU"/>
        </w:rPr>
        <w:t>by</w:t>
      </w:r>
      <w:r>
        <w:rPr>
          <w:lang w:eastAsia="en-AU"/>
        </w:rPr>
        <w:noBreakHyphen/>
      </w:r>
      <w:r w:rsidR="00C04C2A" w:rsidRPr="006C5335">
        <w:rPr>
          <w:lang w:eastAsia="en-AU"/>
        </w:rPr>
        <w:t>case basis</w:t>
      </w:r>
    </w:p>
    <w:p w14:paraId="70A67FDC" w14:textId="3BC9F79D" w:rsidR="00C04C2A" w:rsidRPr="006C5335" w:rsidRDefault="00E552E7" w:rsidP="00C63CB6">
      <w:pPr>
        <w:pStyle w:val="ListParagraph"/>
        <w:numPr>
          <w:ilvl w:val="0"/>
          <w:numId w:val="27"/>
        </w:numPr>
        <w:rPr>
          <w:lang w:eastAsia="en-AU"/>
        </w:rPr>
      </w:pPr>
      <w:r w:rsidRPr="00C63CB6">
        <w:rPr>
          <w:b/>
          <w:bCs/>
          <w:lang w:eastAsia="en-AU"/>
        </w:rPr>
        <w:t>must</w:t>
      </w:r>
      <w:r>
        <w:rPr>
          <w:lang w:eastAsia="en-AU"/>
        </w:rPr>
        <w:t xml:space="preserve"> have a r</w:t>
      </w:r>
      <w:r w:rsidR="00C04C2A" w:rsidRPr="006C5335">
        <w:rPr>
          <w:lang w:eastAsia="en-AU"/>
        </w:rPr>
        <w:t>ecognised education or training pathway through VET or higher education</w:t>
      </w:r>
      <w:r w:rsidR="00D87D8A">
        <w:rPr>
          <w:lang w:eastAsia="en-AU"/>
        </w:rPr>
        <w:t>.</w:t>
      </w:r>
    </w:p>
    <w:p w14:paraId="0C95353F" w14:textId="3F31C3D6" w:rsidR="00D43983" w:rsidRDefault="00D43983" w:rsidP="00D43983">
      <w:pPr>
        <w:rPr>
          <w:lang w:eastAsia="en-AU"/>
        </w:rPr>
      </w:pPr>
      <w:r w:rsidRPr="006C5335">
        <w:rPr>
          <w:lang w:eastAsia="en-AU"/>
        </w:rPr>
        <w:t>In 2025, 918 of 1,069 ANZSCO occupations met these criteria and progressed to detailed analysis.</w:t>
      </w:r>
    </w:p>
    <w:p w14:paraId="2D31A7A0" w14:textId="3DE703D0" w:rsidR="006C5335" w:rsidRDefault="009706A8" w:rsidP="0079000A">
      <w:pPr>
        <w:pStyle w:val="Heading2"/>
      </w:pPr>
      <w:bookmarkStart w:id="4" w:name="_Toc212551999"/>
      <w:r w:rsidRPr="009706A8">
        <w:t>Quantitative</w:t>
      </w:r>
      <w:r w:rsidRPr="00D74E86">
        <w:t xml:space="preserve"> Assessment</w:t>
      </w:r>
      <w:bookmarkEnd w:id="4"/>
    </w:p>
    <w:p w14:paraId="1684E491" w14:textId="65BE3468" w:rsidR="00521CC7" w:rsidRPr="00DC2392" w:rsidRDefault="00C51245" w:rsidP="00521CC7">
      <w:pPr>
        <w:spacing w:after="160" w:line="259" w:lineRule="auto"/>
      </w:pPr>
      <w:r>
        <w:t xml:space="preserve">The quantitative assessment </w:t>
      </w:r>
      <w:r w:rsidR="009706A8">
        <w:t xml:space="preserve">ranks </w:t>
      </w:r>
      <w:r>
        <w:t xml:space="preserve">occupations </w:t>
      </w:r>
      <w:r w:rsidR="009706A8">
        <w:t>in short supply by considering a range of supply and demand factors</w:t>
      </w:r>
      <w:r>
        <w:t xml:space="preserve"> using a weighted indicator model. </w:t>
      </w:r>
      <w:r w:rsidR="00521CC7">
        <w:t>The Market Index reflects demand</w:t>
      </w:r>
      <w:r w:rsidR="00D87D8A">
        <w:t>-</w:t>
      </w:r>
      <w:r w:rsidR="00521CC7">
        <w:t xml:space="preserve">side </w:t>
      </w:r>
      <w:r w:rsidR="000D20D9">
        <w:t>factors</w:t>
      </w:r>
      <w:r w:rsidR="00C5071C">
        <w:t>,</w:t>
      </w:r>
      <w:r w:rsidR="00521CC7">
        <w:t xml:space="preserve"> and the Structural Index reflects supply</w:t>
      </w:r>
      <w:r w:rsidR="00D87D8A">
        <w:t>-</w:t>
      </w:r>
      <w:r w:rsidR="00521CC7">
        <w:t xml:space="preserve">side </w:t>
      </w:r>
      <w:r w:rsidR="000D20D9">
        <w:t>factors</w:t>
      </w:r>
      <w:r w:rsidR="00521CC7">
        <w:t xml:space="preserve"> (to capture the complexity of </w:t>
      </w:r>
      <w:r w:rsidR="00521CC7" w:rsidRPr="000B4603">
        <w:t xml:space="preserve">supplying workers with the right skills). </w:t>
      </w:r>
      <w:r w:rsidR="007E137A" w:rsidRPr="000B4603">
        <w:t xml:space="preserve">Each </w:t>
      </w:r>
      <w:r w:rsidR="000D20D9">
        <w:t>factor</w:t>
      </w:r>
      <w:r w:rsidR="007E137A" w:rsidRPr="000B4603">
        <w:t xml:space="preserve"> is weighted to reflect its significance to forecasts of future skills </w:t>
      </w:r>
      <w:r w:rsidR="007E137A" w:rsidRPr="000D20D9">
        <w:t>demand</w:t>
      </w:r>
      <w:r w:rsidR="009706A8" w:rsidRPr="000D20D9">
        <w:t>.</w:t>
      </w:r>
    </w:p>
    <w:p w14:paraId="31863957" w14:textId="5DDA3089" w:rsidR="0075377C" w:rsidRPr="00D74E86" w:rsidRDefault="0075377C" w:rsidP="0079000A">
      <w:pPr>
        <w:spacing w:after="80" w:line="259" w:lineRule="auto"/>
        <w:rPr>
          <w:b/>
          <w:bCs/>
        </w:rPr>
      </w:pPr>
      <w:r w:rsidRPr="00D74E86">
        <w:rPr>
          <w:b/>
          <w:bCs/>
        </w:rPr>
        <w:t>Market Index (labour demand signals):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397"/>
        <w:gridCol w:w="2410"/>
        <w:gridCol w:w="3572"/>
        <w:gridCol w:w="929"/>
      </w:tblGrid>
      <w:tr w:rsidR="00DF7432" w:rsidRPr="00D74E86" w14:paraId="0014A7C4" w14:textId="77777777" w:rsidTr="00790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hideMark/>
          </w:tcPr>
          <w:p w14:paraId="05527B9A" w14:textId="4CED6D05" w:rsidR="00DF7432" w:rsidRPr="00D74E86" w:rsidRDefault="0080669B" w:rsidP="0079000A">
            <w:pPr>
              <w:spacing w:before="40" w:after="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Factors</w:t>
            </w:r>
          </w:p>
        </w:tc>
        <w:tc>
          <w:tcPr>
            <w:tcW w:w="2410" w:type="dxa"/>
          </w:tcPr>
          <w:p w14:paraId="04DAC0D1" w14:textId="0EDBA6F2" w:rsidR="00DF7432" w:rsidRPr="009F2380" w:rsidRDefault="009F2380" w:rsidP="0079000A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F2380">
              <w:rPr>
                <w:b w:val="0"/>
                <w:bCs w:val="0"/>
              </w:rPr>
              <w:t>Measure / Unit</w:t>
            </w:r>
          </w:p>
        </w:tc>
        <w:tc>
          <w:tcPr>
            <w:tcW w:w="3572" w:type="dxa"/>
            <w:hideMark/>
          </w:tcPr>
          <w:p w14:paraId="485C70E0" w14:textId="51E9792E" w:rsidR="00DF7432" w:rsidRPr="00D74E86" w:rsidRDefault="00DF7432" w:rsidP="0079000A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74E86">
              <w:rPr>
                <w:b w:val="0"/>
                <w:bCs w:val="0"/>
              </w:rPr>
              <w:t>Source</w:t>
            </w:r>
          </w:p>
        </w:tc>
        <w:tc>
          <w:tcPr>
            <w:tcW w:w="0" w:type="auto"/>
            <w:hideMark/>
          </w:tcPr>
          <w:p w14:paraId="1D63287B" w14:textId="77777777" w:rsidR="00DF7432" w:rsidRPr="00D74E86" w:rsidRDefault="00DF7432" w:rsidP="0079000A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74E86">
              <w:rPr>
                <w:b w:val="0"/>
                <w:bCs w:val="0"/>
              </w:rPr>
              <w:t>Weight</w:t>
            </w:r>
          </w:p>
        </w:tc>
      </w:tr>
      <w:tr w:rsidR="00DF7432" w:rsidRPr="00D74E86" w14:paraId="6139F5D3" w14:textId="77777777" w:rsidTr="007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hideMark/>
          </w:tcPr>
          <w:p w14:paraId="3374BCB5" w14:textId="054C98BB" w:rsidR="00DF7432" w:rsidRPr="00D74E86" w:rsidRDefault="00DF7432" w:rsidP="0079000A">
            <w:pPr>
              <w:spacing w:before="40" w:after="40"/>
              <w:rPr>
                <w:b w:val="0"/>
                <w:bCs w:val="0"/>
              </w:rPr>
            </w:pPr>
            <w:r w:rsidRPr="00D74E86">
              <w:rPr>
                <w:b w:val="0"/>
                <w:bCs w:val="0"/>
              </w:rPr>
              <w:t>Current employment</w:t>
            </w:r>
            <w:r w:rsidR="00256DBF">
              <w:rPr>
                <w:b w:val="0"/>
                <w:bCs w:val="0"/>
              </w:rPr>
              <w:t xml:space="preserve"> by occupation</w:t>
            </w:r>
          </w:p>
        </w:tc>
        <w:tc>
          <w:tcPr>
            <w:tcW w:w="2410" w:type="dxa"/>
          </w:tcPr>
          <w:p w14:paraId="14109E4E" w14:textId="5DD7F493" w:rsidR="00DF7432" w:rsidRPr="00277E8F" w:rsidRDefault="00DF7432" w:rsidP="0079000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0584">
              <w:t>Number of workers</w:t>
            </w:r>
          </w:p>
        </w:tc>
        <w:tc>
          <w:tcPr>
            <w:tcW w:w="3572" w:type="dxa"/>
            <w:hideMark/>
          </w:tcPr>
          <w:p w14:paraId="20782F91" w14:textId="5723D0DD" w:rsidR="00DF7432" w:rsidRPr="00D74E86" w:rsidRDefault="00DF7432" w:rsidP="0079000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4E86">
              <w:t>ABS LFS modelled to 2021 Census</w:t>
            </w:r>
          </w:p>
        </w:tc>
        <w:tc>
          <w:tcPr>
            <w:tcW w:w="0" w:type="auto"/>
            <w:hideMark/>
          </w:tcPr>
          <w:p w14:paraId="3DC59D8D" w14:textId="77777777" w:rsidR="00DF7432" w:rsidRPr="00D74E86" w:rsidRDefault="00DF7432" w:rsidP="0079000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4E86">
              <w:t>20%</w:t>
            </w:r>
          </w:p>
        </w:tc>
      </w:tr>
      <w:tr w:rsidR="00DF7432" w:rsidRPr="00D74E86" w14:paraId="76F437A6" w14:textId="77777777" w:rsidTr="007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hideMark/>
          </w:tcPr>
          <w:p w14:paraId="0798840F" w14:textId="46C7D920" w:rsidR="00DF7432" w:rsidRPr="00D74E86" w:rsidRDefault="00DF7432" w:rsidP="0079000A">
            <w:pPr>
              <w:spacing w:before="40" w:after="40"/>
              <w:rPr>
                <w:b w:val="0"/>
                <w:bCs w:val="0"/>
              </w:rPr>
            </w:pPr>
            <w:r w:rsidRPr="00D74E86">
              <w:rPr>
                <w:b w:val="0"/>
                <w:bCs w:val="0"/>
              </w:rPr>
              <w:t>5-year past employment growth</w:t>
            </w:r>
            <w:r w:rsidR="00256DBF">
              <w:rPr>
                <w:b w:val="0"/>
                <w:bCs w:val="0"/>
              </w:rPr>
              <w:t xml:space="preserve"> by occupation</w:t>
            </w:r>
          </w:p>
        </w:tc>
        <w:tc>
          <w:tcPr>
            <w:tcW w:w="2410" w:type="dxa"/>
          </w:tcPr>
          <w:p w14:paraId="7C997DA2" w14:textId="065444EB" w:rsidR="00DF7432" w:rsidRPr="00277E8F" w:rsidRDefault="00DF7432" w:rsidP="0079000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7E8F">
              <w:t>%</w:t>
            </w:r>
            <w:r w:rsidRPr="00030584">
              <w:t xml:space="preserve"> growth rate</w:t>
            </w:r>
          </w:p>
        </w:tc>
        <w:tc>
          <w:tcPr>
            <w:tcW w:w="3572" w:type="dxa"/>
            <w:hideMark/>
          </w:tcPr>
          <w:p w14:paraId="010EF637" w14:textId="62BC73C5" w:rsidR="00DF7432" w:rsidRPr="00D74E86" w:rsidRDefault="00DF7432" w:rsidP="0079000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4E86">
              <w:t xml:space="preserve">ABS Census </w:t>
            </w:r>
            <w:r>
              <w:t>(</w:t>
            </w:r>
            <w:r w:rsidRPr="00D74E86">
              <w:t>CAGR 2016</w:t>
            </w:r>
            <w:r>
              <w:t xml:space="preserve"> vs </w:t>
            </w:r>
            <w:r w:rsidRPr="00D74E86">
              <w:t>2021</w:t>
            </w:r>
            <w:r>
              <w:t>)</w:t>
            </w:r>
          </w:p>
        </w:tc>
        <w:tc>
          <w:tcPr>
            <w:tcW w:w="0" w:type="auto"/>
            <w:hideMark/>
          </w:tcPr>
          <w:p w14:paraId="36084963" w14:textId="77777777" w:rsidR="00DF7432" w:rsidRPr="00D74E86" w:rsidRDefault="00DF7432" w:rsidP="0079000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4E86">
              <w:t>20%</w:t>
            </w:r>
          </w:p>
        </w:tc>
      </w:tr>
      <w:tr w:rsidR="00DF7432" w:rsidRPr="00D74E86" w14:paraId="32749DD0" w14:textId="77777777" w:rsidTr="007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hideMark/>
          </w:tcPr>
          <w:p w14:paraId="1207DB10" w14:textId="724A115E" w:rsidR="00DF7432" w:rsidRPr="00D74E86" w:rsidRDefault="00DF7432" w:rsidP="0079000A">
            <w:pPr>
              <w:spacing w:before="40" w:after="40"/>
              <w:rPr>
                <w:b w:val="0"/>
                <w:bCs w:val="0"/>
              </w:rPr>
            </w:pPr>
            <w:r w:rsidRPr="00D74E86">
              <w:rPr>
                <w:b w:val="0"/>
                <w:bCs w:val="0"/>
              </w:rPr>
              <w:t>Average annual vacancies</w:t>
            </w:r>
            <w:r w:rsidR="00256DBF">
              <w:rPr>
                <w:b w:val="0"/>
                <w:bCs w:val="0"/>
              </w:rPr>
              <w:t xml:space="preserve"> by occupation</w:t>
            </w:r>
          </w:p>
        </w:tc>
        <w:tc>
          <w:tcPr>
            <w:tcW w:w="2410" w:type="dxa"/>
          </w:tcPr>
          <w:p w14:paraId="6691560B" w14:textId="793E1221" w:rsidR="00DF7432" w:rsidRPr="00277E8F" w:rsidRDefault="00DF7432" w:rsidP="0079000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7E8F">
              <w:t xml:space="preserve">Number of job ads </w:t>
            </w:r>
          </w:p>
        </w:tc>
        <w:tc>
          <w:tcPr>
            <w:tcW w:w="3572" w:type="dxa"/>
            <w:hideMark/>
          </w:tcPr>
          <w:p w14:paraId="526B9CC0" w14:textId="2775A03F" w:rsidR="00DF7432" w:rsidRPr="00D74E86" w:rsidRDefault="00DF7432" w:rsidP="0079000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4E86">
              <w:t>Job Skills Australia</w:t>
            </w:r>
          </w:p>
        </w:tc>
        <w:tc>
          <w:tcPr>
            <w:tcW w:w="0" w:type="auto"/>
            <w:hideMark/>
          </w:tcPr>
          <w:p w14:paraId="0569447A" w14:textId="77777777" w:rsidR="00DF7432" w:rsidRPr="00D74E86" w:rsidRDefault="00DF7432" w:rsidP="0079000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4E86">
              <w:t>20%</w:t>
            </w:r>
          </w:p>
        </w:tc>
      </w:tr>
      <w:tr w:rsidR="00DF7432" w:rsidRPr="00D74E86" w14:paraId="0D08FFB0" w14:textId="77777777" w:rsidTr="007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hideMark/>
          </w:tcPr>
          <w:p w14:paraId="3ED715D2" w14:textId="29DF899D" w:rsidR="00DF7432" w:rsidRPr="00D74E86" w:rsidRDefault="00DF7432" w:rsidP="0079000A">
            <w:pPr>
              <w:spacing w:before="40" w:after="40"/>
              <w:rPr>
                <w:b w:val="0"/>
                <w:bCs w:val="0"/>
              </w:rPr>
            </w:pPr>
            <w:r w:rsidRPr="00D74E86">
              <w:rPr>
                <w:b w:val="0"/>
                <w:bCs w:val="0"/>
              </w:rPr>
              <w:t>5-year forecast growth</w:t>
            </w:r>
            <w:r w:rsidR="00256DBF">
              <w:rPr>
                <w:b w:val="0"/>
                <w:bCs w:val="0"/>
              </w:rPr>
              <w:t xml:space="preserve"> by occupation</w:t>
            </w:r>
          </w:p>
        </w:tc>
        <w:tc>
          <w:tcPr>
            <w:tcW w:w="2410" w:type="dxa"/>
          </w:tcPr>
          <w:p w14:paraId="18A88118" w14:textId="3DCCEA1C" w:rsidR="00DF7432" w:rsidRPr="00277E8F" w:rsidRDefault="00DF7432" w:rsidP="0079000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0584">
              <w:t xml:space="preserve">Number of additional jobs </w:t>
            </w:r>
          </w:p>
        </w:tc>
        <w:tc>
          <w:tcPr>
            <w:tcW w:w="3572" w:type="dxa"/>
            <w:hideMark/>
          </w:tcPr>
          <w:p w14:paraId="5C6CEA49" w14:textId="709ED6EF" w:rsidR="00DF7432" w:rsidRPr="00D74E86" w:rsidRDefault="00DF7432" w:rsidP="0079000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4E86">
              <w:t>Victoria University employment forecast</w:t>
            </w:r>
          </w:p>
        </w:tc>
        <w:tc>
          <w:tcPr>
            <w:tcW w:w="0" w:type="auto"/>
            <w:hideMark/>
          </w:tcPr>
          <w:p w14:paraId="5964D9EB" w14:textId="77777777" w:rsidR="00DF7432" w:rsidRPr="00D74E86" w:rsidRDefault="00DF7432" w:rsidP="0079000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4E86">
              <w:t>40%</w:t>
            </w:r>
          </w:p>
        </w:tc>
      </w:tr>
    </w:tbl>
    <w:p w14:paraId="2D45CB52" w14:textId="2B09189E" w:rsidR="0075377C" w:rsidRPr="00D741BE" w:rsidRDefault="0075377C" w:rsidP="0079000A">
      <w:pPr>
        <w:spacing w:before="240" w:after="80"/>
      </w:pPr>
      <w:r w:rsidRPr="00D74E86">
        <w:rPr>
          <w:b/>
          <w:bCs/>
        </w:rPr>
        <w:t>Structural Index (supply-side complexity):</w:t>
      </w:r>
      <w:r w:rsidR="00D741BE" w:rsidRPr="00D741BE">
        <w:t xml:space="preserve"> 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3714"/>
        <w:gridCol w:w="929"/>
      </w:tblGrid>
      <w:tr w:rsidR="00D741BE" w:rsidRPr="00D74E86" w14:paraId="4E2D9930" w14:textId="77777777" w:rsidTr="00790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6995CE18" w14:textId="4B7C4097" w:rsidR="00D741BE" w:rsidRPr="00D74E86" w:rsidRDefault="0080669B" w:rsidP="0079000A">
            <w:pPr>
              <w:spacing w:before="40" w:after="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Factors</w:t>
            </w:r>
          </w:p>
        </w:tc>
        <w:tc>
          <w:tcPr>
            <w:tcW w:w="2693" w:type="dxa"/>
          </w:tcPr>
          <w:p w14:paraId="14BBFCB4" w14:textId="624CBFAF" w:rsidR="00D741BE" w:rsidRPr="009F2380" w:rsidRDefault="009F2380" w:rsidP="0079000A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F2380">
              <w:rPr>
                <w:b w:val="0"/>
                <w:bCs w:val="0"/>
              </w:rPr>
              <w:t>Measure / Unit</w:t>
            </w:r>
          </w:p>
        </w:tc>
        <w:tc>
          <w:tcPr>
            <w:tcW w:w="3714" w:type="dxa"/>
            <w:hideMark/>
          </w:tcPr>
          <w:p w14:paraId="33106F99" w14:textId="7E278BEB" w:rsidR="00D741BE" w:rsidRPr="00D74E86" w:rsidRDefault="00235C6F" w:rsidP="0079000A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Source &amp; </w:t>
            </w:r>
            <w:r w:rsidR="00D741BE" w:rsidRPr="00D74E86">
              <w:rPr>
                <w:b w:val="0"/>
                <w:bCs w:val="0"/>
              </w:rPr>
              <w:t>Description</w:t>
            </w:r>
          </w:p>
        </w:tc>
        <w:tc>
          <w:tcPr>
            <w:tcW w:w="0" w:type="auto"/>
            <w:hideMark/>
          </w:tcPr>
          <w:p w14:paraId="1896043F" w14:textId="77777777" w:rsidR="00D741BE" w:rsidRPr="00D74E86" w:rsidRDefault="00D741BE" w:rsidP="0079000A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74E86">
              <w:rPr>
                <w:b w:val="0"/>
                <w:bCs w:val="0"/>
              </w:rPr>
              <w:t>Weight</w:t>
            </w:r>
          </w:p>
        </w:tc>
      </w:tr>
      <w:tr w:rsidR="00D741BE" w:rsidRPr="00D74E86" w14:paraId="06E45EB0" w14:textId="77777777" w:rsidTr="007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465A9809" w14:textId="11540569" w:rsidR="00D741BE" w:rsidRPr="00D74E86" w:rsidRDefault="00D741BE" w:rsidP="0079000A">
            <w:pPr>
              <w:spacing w:before="40" w:after="40"/>
              <w:rPr>
                <w:b w:val="0"/>
                <w:bCs w:val="0"/>
              </w:rPr>
            </w:pPr>
            <w:r w:rsidRPr="00D74E86">
              <w:rPr>
                <w:b w:val="0"/>
                <w:bCs w:val="0"/>
              </w:rPr>
              <w:t>% of workers with required qualification</w:t>
            </w:r>
            <w:r w:rsidR="008B640B" w:rsidRPr="008B640B">
              <w:rPr>
                <w:b w:val="0"/>
                <w:bCs w:val="0"/>
                <w:vertAlign w:val="superscript"/>
              </w:rPr>
              <w:t>#</w:t>
            </w:r>
          </w:p>
        </w:tc>
        <w:tc>
          <w:tcPr>
            <w:tcW w:w="2693" w:type="dxa"/>
          </w:tcPr>
          <w:p w14:paraId="72231E8A" w14:textId="46693451" w:rsidR="00D741BE" w:rsidRPr="00D74E86" w:rsidRDefault="00D741BE" w:rsidP="0079000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% of Workforce</w:t>
            </w:r>
          </w:p>
        </w:tc>
        <w:tc>
          <w:tcPr>
            <w:tcW w:w="3714" w:type="dxa"/>
            <w:hideMark/>
          </w:tcPr>
          <w:p w14:paraId="1C8763B1" w14:textId="19ACC893" w:rsidR="00D741BE" w:rsidRPr="00D74E86" w:rsidRDefault="00D741BE" w:rsidP="0079000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4E86">
              <w:t xml:space="preserve">Indicates specialisation and </w:t>
            </w:r>
            <w:r>
              <w:t xml:space="preserve">difficulty to </w:t>
            </w:r>
            <w:r w:rsidRPr="00D74E86">
              <w:t>training barrier</w:t>
            </w:r>
          </w:p>
        </w:tc>
        <w:tc>
          <w:tcPr>
            <w:tcW w:w="0" w:type="auto"/>
            <w:hideMark/>
          </w:tcPr>
          <w:p w14:paraId="11084FA6" w14:textId="77777777" w:rsidR="00D741BE" w:rsidRPr="00D74E86" w:rsidRDefault="00D741BE" w:rsidP="0079000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4E86">
              <w:t>20%</w:t>
            </w:r>
          </w:p>
        </w:tc>
      </w:tr>
      <w:tr w:rsidR="00D741BE" w:rsidRPr="00D74E86" w14:paraId="589905B1" w14:textId="77777777" w:rsidTr="007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02112F14" w14:textId="55AEB2C1" w:rsidR="00D741BE" w:rsidRPr="00D74E86" w:rsidRDefault="00D741BE" w:rsidP="0079000A">
            <w:pPr>
              <w:spacing w:before="40" w:after="40"/>
              <w:rPr>
                <w:b w:val="0"/>
                <w:bCs w:val="0"/>
              </w:rPr>
            </w:pPr>
            <w:r w:rsidRPr="00D74E86">
              <w:rPr>
                <w:b w:val="0"/>
                <w:bCs w:val="0"/>
              </w:rPr>
              <w:t>Migration dependency</w:t>
            </w:r>
            <w:r w:rsidR="008B640B" w:rsidRPr="008B640B">
              <w:rPr>
                <w:b w:val="0"/>
                <w:bCs w:val="0"/>
                <w:vertAlign w:val="superscript"/>
              </w:rPr>
              <w:t>#</w:t>
            </w:r>
          </w:p>
        </w:tc>
        <w:tc>
          <w:tcPr>
            <w:tcW w:w="2693" w:type="dxa"/>
          </w:tcPr>
          <w:p w14:paraId="623600BF" w14:textId="01EDFC5B" w:rsidR="00D741BE" w:rsidRPr="00D74E86" w:rsidRDefault="00DF7432" w:rsidP="0079000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7432">
              <w:t>% of workforce (</w:t>
            </w:r>
            <w:r w:rsidR="0018425D">
              <w:t>rely heavily on migrants to fill</w:t>
            </w:r>
            <w:r>
              <w:t>)</w:t>
            </w:r>
          </w:p>
        </w:tc>
        <w:tc>
          <w:tcPr>
            <w:tcW w:w="3714" w:type="dxa"/>
            <w:hideMark/>
          </w:tcPr>
          <w:p w14:paraId="6847BB06" w14:textId="1AF72E24" w:rsidR="00D741BE" w:rsidRPr="00D74E86" w:rsidRDefault="00D741BE" w:rsidP="0079000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4E86">
              <w:t>Indicates NT reliance on incoming skilled labour</w:t>
            </w:r>
          </w:p>
        </w:tc>
        <w:tc>
          <w:tcPr>
            <w:tcW w:w="0" w:type="auto"/>
            <w:hideMark/>
          </w:tcPr>
          <w:p w14:paraId="22DECE31" w14:textId="77777777" w:rsidR="00D741BE" w:rsidRPr="00D74E86" w:rsidRDefault="00D741BE" w:rsidP="0079000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4E86">
              <w:t>15%</w:t>
            </w:r>
          </w:p>
        </w:tc>
      </w:tr>
      <w:tr w:rsidR="00D741BE" w:rsidRPr="00D74E86" w14:paraId="0180B380" w14:textId="77777777" w:rsidTr="007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017C339E" w14:textId="1BDDA8CB" w:rsidR="00D741BE" w:rsidRPr="00D74E86" w:rsidRDefault="00D741BE" w:rsidP="0079000A">
            <w:pPr>
              <w:spacing w:before="40" w:after="40"/>
              <w:rPr>
                <w:b w:val="0"/>
                <w:bCs w:val="0"/>
              </w:rPr>
            </w:pPr>
            <w:r w:rsidRPr="00D74E86">
              <w:rPr>
                <w:b w:val="0"/>
                <w:bCs w:val="0"/>
              </w:rPr>
              <w:t>Training lead time</w:t>
            </w:r>
            <w:r w:rsidR="008B640B">
              <w:rPr>
                <w:b w:val="0"/>
                <w:bCs w:val="0"/>
              </w:rPr>
              <w:t>^</w:t>
            </w:r>
          </w:p>
        </w:tc>
        <w:tc>
          <w:tcPr>
            <w:tcW w:w="2693" w:type="dxa"/>
          </w:tcPr>
          <w:p w14:paraId="1F0BEF02" w14:textId="1FD7A2F2" w:rsidR="00D741BE" w:rsidRPr="00D74E86" w:rsidRDefault="00DF7432" w:rsidP="0079000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7432">
              <w:t>Years of study/training required</w:t>
            </w:r>
          </w:p>
        </w:tc>
        <w:tc>
          <w:tcPr>
            <w:tcW w:w="3714" w:type="dxa"/>
            <w:hideMark/>
          </w:tcPr>
          <w:p w14:paraId="14D4DF7C" w14:textId="178E445A" w:rsidR="00D741BE" w:rsidRPr="00D74E86" w:rsidRDefault="00D741BE" w:rsidP="0079000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4E86">
              <w:t>Time to gain necessary qualification</w:t>
            </w:r>
          </w:p>
        </w:tc>
        <w:tc>
          <w:tcPr>
            <w:tcW w:w="0" w:type="auto"/>
            <w:hideMark/>
          </w:tcPr>
          <w:p w14:paraId="458E5C88" w14:textId="77777777" w:rsidR="00D741BE" w:rsidRPr="00D74E86" w:rsidRDefault="00D741BE" w:rsidP="0079000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4E86">
              <w:t>15%</w:t>
            </w:r>
          </w:p>
        </w:tc>
      </w:tr>
      <w:tr w:rsidR="00D741BE" w:rsidRPr="00D74E86" w14:paraId="0C1EB35B" w14:textId="77777777" w:rsidTr="007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4172E874" w14:textId="331CEB0E" w:rsidR="00D741BE" w:rsidRPr="00D74E86" w:rsidRDefault="00D741BE" w:rsidP="0079000A">
            <w:pPr>
              <w:spacing w:before="40" w:after="40"/>
              <w:rPr>
                <w:b w:val="0"/>
                <w:bCs w:val="0"/>
              </w:rPr>
            </w:pPr>
            <w:r w:rsidRPr="00D74E86">
              <w:rPr>
                <w:b w:val="0"/>
                <w:bCs w:val="0"/>
              </w:rPr>
              <w:t>Study diversity</w:t>
            </w:r>
            <w:r w:rsidR="008B640B" w:rsidRPr="008B640B">
              <w:rPr>
                <w:b w:val="0"/>
                <w:bCs w:val="0"/>
                <w:vertAlign w:val="superscript"/>
              </w:rPr>
              <w:t>#</w:t>
            </w:r>
          </w:p>
        </w:tc>
        <w:tc>
          <w:tcPr>
            <w:tcW w:w="2693" w:type="dxa"/>
          </w:tcPr>
          <w:p w14:paraId="5E7C999A" w14:textId="52088BA3" w:rsidR="00D741BE" w:rsidRPr="00D74E86" w:rsidRDefault="00D741BE" w:rsidP="0079000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Number of formal pathways</w:t>
            </w:r>
          </w:p>
        </w:tc>
        <w:tc>
          <w:tcPr>
            <w:tcW w:w="3714" w:type="dxa"/>
            <w:hideMark/>
          </w:tcPr>
          <w:p w14:paraId="704C7165" w14:textId="7469BD40" w:rsidR="00D741BE" w:rsidRPr="00D74E86" w:rsidRDefault="00D741BE" w:rsidP="0079000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4E86">
              <w:t xml:space="preserve">Number of different training paths </w:t>
            </w:r>
          </w:p>
        </w:tc>
        <w:tc>
          <w:tcPr>
            <w:tcW w:w="0" w:type="auto"/>
            <w:hideMark/>
          </w:tcPr>
          <w:p w14:paraId="3FA73165" w14:textId="77777777" w:rsidR="00D741BE" w:rsidRPr="00D74E86" w:rsidRDefault="00D741BE" w:rsidP="0079000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4E86">
              <w:t>20%</w:t>
            </w:r>
          </w:p>
        </w:tc>
      </w:tr>
      <w:tr w:rsidR="00D741BE" w:rsidRPr="00D74E86" w14:paraId="73938981" w14:textId="77777777" w:rsidTr="007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10D35E5D" w14:textId="54E02112" w:rsidR="00D741BE" w:rsidRPr="00D74E86" w:rsidRDefault="00D741BE" w:rsidP="0079000A">
            <w:pPr>
              <w:spacing w:before="40" w:after="40"/>
              <w:rPr>
                <w:b w:val="0"/>
                <w:bCs w:val="0"/>
              </w:rPr>
            </w:pPr>
            <w:r w:rsidRPr="00D74E86">
              <w:rPr>
                <w:b w:val="0"/>
                <w:bCs w:val="0"/>
              </w:rPr>
              <w:t>Industry portability</w:t>
            </w:r>
            <w:r w:rsidR="008B640B" w:rsidRPr="008B640B">
              <w:rPr>
                <w:b w:val="0"/>
                <w:bCs w:val="0"/>
                <w:vertAlign w:val="superscript"/>
              </w:rPr>
              <w:t>#</w:t>
            </w:r>
          </w:p>
        </w:tc>
        <w:tc>
          <w:tcPr>
            <w:tcW w:w="2693" w:type="dxa"/>
          </w:tcPr>
          <w:p w14:paraId="244E1B3B" w14:textId="607E6CCB" w:rsidR="00D741BE" w:rsidRPr="00D74E86" w:rsidRDefault="00DF7432" w:rsidP="0079000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</w:t>
            </w:r>
            <w:r w:rsidRPr="00DF7432">
              <w:t xml:space="preserve">ccupational mobility </w:t>
            </w:r>
            <w:r>
              <w:t xml:space="preserve">rate </w:t>
            </w:r>
            <w:r w:rsidRPr="00DF7432">
              <w:t>across industries</w:t>
            </w:r>
          </w:p>
        </w:tc>
        <w:tc>
          <w:tcPr>
            <w:tcW w:w="3714" w:type="dxa"/>
            <w:hideMark/>
          </w:tcPr>
          <w:p w14:paraId="17D7C106" w14:textId="0676AC75" w:rsidR="00D741BE" w:rsidRPr="00D74E86" w:rsidRDefault="00D741BE" w:rsidP="0079000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4E86">
              <w:t xml:space="preserve">Ability to transfer across sectors </w:t>
            </w:r>
          </w:p>
        </w:tc>
        <w:tc>
          <w:tcPr>
            <w:tcW w:w="0" w:type="auto"/>
            <w:hideMark/>
          </w:tcPr>
          <w:p w14:paraId="4B14AF3D" w14:textId="77777777" w:rsidR="00D741BE" w:rsidRPr="00D74E86" w:rsidRDefault="00D741BE" w:rsidP="0079000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4E86">
              <w:t>30%</w:t>
            </w:r>
          </w:p>
        </w:tc>
      </w:tr>
    </w:tbl>
    <w:p w14:paraId="2BAECF51" w14:textId="4A722F55" w:rsidR="0080669B" w:rsidRDefault="0080669B" w:rsidP="008B640B">
      <w:pPr>
        <w:spacing w:after="0"/>
        <w:rPr>
          <w:sz w:val="18"/>
          <w:szCs w:val="18"/>
        </w:rPr>
      </w:pPr>
      <w:r w:rsidRPr="00235C6F">
        <w:rPr>
          <w:sz w:val="18"/>
          <w:szCs w:val="18"/>
        </w:rPr>
        <w:t># ABS Census 2021</w:t>
      </w:r>
    </w:p>
    <w:p w14:paraId="3786BAF1" w14:textId="21D39E29" w:rsidR="00086E3D" w:rsidRPr="00235C6F" w:rsidRDefault="00086E3D">
      <w:pPr>
        <w:rPr>
          <w:sz w:val="18"/>
          <w:szCs w:val="18"/>
        </w:rPr>
      </w:pPr>
      <w:r>
        <w:rPr>
          <w:sz w:val="18"/>
          <w:szCs w:val="18"/>
        </w:rPr>
        <w:t>^ Australian Skills Quality Authority and Study Australia</w:t>
      </w:r>
    </w:p>
    <w:p w14:paraId="7EFF5168" w14:textId="128C4E91" w:rsidR="003C7462" w:rsidRDefault="003C7462">
      <w:pPr>
        <w:rPr>
          <w:rFonts w:asciiTheme="majorHAnsi" w:eastAsiaTheme="majorEastAsia" w:hAnsiTheme="majorHAnsi" w:cstheme="majorBidi"/>
          <w:bCs/>
          <w:iCs/>
          <w:color w:val="454347"/>
          <w:sz w:val="24"/>
        </w:rPr>
      </w:pPr>
      <w:r>
        <w:br w:type="page"/>
      </w:r>
    </w:p>
    <w:p w14:paraId="3F3B31C8" w14:textId="477BB8A5" w:rsidR="00C51245" w:rsidRPr="00B71408" w:rsidRDefault="00C51245" w:rsidP="003C7462">
      <w:pPr>
        <w:pStyle w:val="Heading4"/>
      </w:pPr>
      <w:bookmarkStart w:id="5" w:name="_Toc212552000"/>
      <w:r>
        <w:lastRenderedPageBreak/>
        <w:t>Standardising the Data</w:t>
      </w:r>
      <w:bookmarkEnd w:id="5"/>
    </w:p>
    <w:p w14:paraId="2F6D6596" w14:textId="40BFF1A4" w:rsidR="00C51245" w:rsidRPr="00B71408" w:rsidRDefault="00B41D06" w:rsidP="00C51245">
      <w:pPr>
        <w:spacing w:after="160" w:line="259" w:lineRule="auto"/>
      </w:pPr>
      <w:r w:rsidRPr="00B41D06">
        <w:t>Because the variables use different units</w:t>
      </w:r>
      <w:r>
        <w:t xml:space="preserve"> (</w:t>
      </w:r>
      <w:r w:rsidRPr="00B41D06">
        <w:t>percentages, counts, years, and rates</w:t>
      </w:r>
      <w:r>
        <w:t xml:space="preserve">) </w:t>
      </w:r>
      <w:r w:rsidRPr="00B41D06">
        <w:t xml:space="preserve">they cannot be directly compared. To resolve this, </w:t>
      </w:r>
      <w:r w:rsidR="00521CC7">
        <w:t xml:space="preserve">each data point is </w:t>
      </w:r>
      <w:r w:rsidRPr="00B41D06">
        <w:t>converted to a standard</w:t>
      </w:r>
      <w:r w:rsidR="005C5714">
        <w:t>ised</w:t>
      </w:r>
      <w:r w:rsidRPr="00B41D06">
        <w:t xml:space="preserve"> statistical measure called a z</w:t>
      </w:r>
      <w:r w:rsidR="00521CC7">
        <w:noBreakHyphen/>
      </w:r>
      <w:r w:rsidRPr="00B41D06">
        <w:t>score. A z</w:t>
      </w:r>
      <w:r w:rsidR="00521CC7">
        <w:noBreakHyphen/>
      </w:r>
      <w:r w:rsidRPr="00B41D06">
        <w:t>score shows how far a result is from the average, measured in standard deviations</w:t>
      </w:r>
      <w:r w:rsidR="00C51245" w:rsidRPr="00B71408">
        <w:t>:</w:t>
      </w:r>
    </w:p>
    <w:p w14:paraId="0175E7C2" w14:textId="43D9785F" w:rsidR="00C51245" w:rsidRPr="00B71408" w:rsidRDefault="00C51245" w:rsidP="0079000A">
      <w:pPr>
        <w:spacing w:after="120"/>
      </w:pPr>
      <w:r w:rsidRPr="00B71408">
        <w:t>The formula is:  z = (</w:t>
      </w:r>
      <w:r w:rsidR="000B4603" w:rsidRPr="00B71408">
        <w:t>x −</w:t>
      </w:r>
      <w:r w:rsidRPr="00B71408">
        <w:t xml:space="preserve"> μ) / σ</w:t>
      </w:r>
    </w:p>
    <w:p w14:paraId="2348AA5C" w14:textId="1EA5FBC5" w:rsidR="00C51245" w:rsidRPr="00B71408" w:rsidRDefault="00C51245" w:rsidP="0079000A">
      <w:pPr>
        <w:spacing w:after="80"/>
        <w:ind w:left="357"/>
        <w:rPr>
          <w:lang w:eastAsia="en-AU"/>
        </w:rPr>
      </w:pPr>
      <w:r w:rsidRPr="00B71408">
        <w:rPr>
          <w:lang w:eastAsia="en-AU"/>
        </w:rPr>
        <w:t>x = the data point (e.g. employment growth in one job)</w:t>
      </w:r>
    </w:p>
    <w:p w14:paraId="35BC5DB2" w14:textId="60B86A37" w:rsidR="00C51245" w:rsidRPr="00B71408" w:rsidRDefault="00C51245" w:rsidP="0079000A">
      <w:pPr>
        <w:spacing w:after="80"/>
        <w:ind w:left="357"/>
        <w:rPr>
          <w:lang w:eastAsia="en-AU"/>
        </w:rPr>
      </w:pPr>
      <w:r w:rsidRPr="00B71408">
        <w:rPr>
          <w:lang w:eastAsia="en-AU"/>
        </w:rPr>
        <w:t>μ = the average value across all jobs</w:t>
      </w:r>
    </w:p>
    <w:p w14:paraId="16634594" w14:textId="1DCF9BEB" w:rsidR="00C51245" w:rsidRPr="00B71408" w:rsidRDefault="00C51245" w:rsidP="0079000A">
      <w:pPr>
        <w:spacing w:after="80"/>
        <w:ind w:left="357"/>
      </w:pPr>
      <w:r w:rsidRPr="00B71408">
        <w:rPr>
          <w:lang w:eastAsia="en-AU"/>
        </w:rPr>
        <w:t>σ = the standard</w:t>
      </w:r>
      <w:r w:rsidRPr="00B71408">
        <w:t xml:space="preserve"> deviation (a measure of spread in the data)</w:t>
      </w:r>
    </w:p>
    <w:p w14:paraId="7A8BF01E" w14:textId="6FC5F1B1" w:rsidR="00C51245" w:rsidRPr="00B71408" w:rsidRDefault="00C51245" w:rsidP="00C51245">
      <w:pPr>
        <w:spacing w:after="160" w:line="259" w:lineRule="auto"/>
      </w:pPr>
      <w:r w:rsidRPr="00B71408">
        <w:t xml:space="preserve">Each </w:t>
      </w:r>
      <w:r w:rsidR="00521CC7">
        <w:t>data point</w:t>
      </w:r>
      <w:r w:rsidRPr="00B71408">
        <w:t xml:space="preserve"> z-score is multiplied by its weight, then summed to produce an index score</w:t>
      </w:r>
      <w:r w:rsidR="003C7462">
        <w:t xml:space="preserve"> and ranked.</w:t>
      </w:r>
    </w:p>
    <w:p w14:paraId="3004A9AB" w14:textId="03A47789" w:rsidR="00205550" w:rsidRDefault="00205550" w:rsidP="006C05CD">
      <w:pPr>
        <w:spacing w:after="160" w:line="259" w:lineRule="auto"/>
      </w:pPr>
      <w:r w:rsidRPr="00B71408">
        <w:t>Out of 918 eligible occupations</w:t>
      </w:r>
      <w:r w:rsidRPr="00F94BF1">
        <w:t xml:space="preserve">, </w:t>
      </w:r>
      <w:r w:rsidRPr="0079000A">
        <w:t>836</w:t>
      </w:r>
      <w:r w:rsidRPr="00F94BF1">
        <w:t xml:space="preserve"> had</w:t>
      </w:r>
      <w:r w:rsidRPr="00B71408">
        <w:t xml:space="preserve"> sufficient data to be modelled and were ranked from 1 (highest priority) to 836 (lowest priority).</w:t>
      </w:r>
    </w:p>
    <w:p w14:paraId="3CB7A0A6" w14:textId="78C6D0A5" w:rsidR="0075377C" w:rsidRDefault="0075377C" w:rsidP="003C7462">
      <w:pPr>
        <w:pStyle w:val="Heading2"/>
      </w:pPr>
      <w:bookmarkStart w:id="6" w:name="_Toc212552001"/>
      <w:r>
        <w:t>Qualitative Assessment</w:t>
      </w:r>
      <w:bookmarkEnd w:id="6"/>
    </w:p>
    <w:p w14:paraId="6B9ACD24" w14:textId="389590CE" w:rsidR="0075377C" w:rsidRDefault="00F94BF1" w:rsidP="0075377C">
      <w:pPr>
        <w:rPr>
          <w:lang w:eastAsia="en-AU"/>
        </w:rPr>
      </w:pPr>
      <w:r>
        <w:rPr>
          <w:lang w:eastAsia="en-AU"/>
        </w:rPr>
        <w:t>Independent to the quantitative assessment</w:t>
      </w:r>
      <w:r w:rsidRPr="00F94BF1">
        <w:rPr>
          <w:lang w:eastAsia="en-AU"/>
        </w:rPr>
        <w:t xml:space="preserve"> </w:t>
      </w:r>
      <w:r w:rsidRPr="00857299">
        <w:rPr>
          <w:lang w:eastAsia="en-AU"/>
        </w:rPr>
        <w:t xml:space="preserve">ISACNT </w:t>
      </w:r>
      <w:r>
        <w:rPr>
          <w:lang w:eastAsia="en-AU"/>
        </w:rPr>
        <w:t xml:space="preserve">uses an </w:t>
      </w:r>
      <w:r w:rsidRPr="00857299">
        <w:rPr>
          <w:lang w:eastAsia="en-AU"/>
        </w:rPr>
        <w:t xml:space="preserve">eight-question survey </w:t>
      </w:r>
      <w:r>
        <w:rPr>
          <w:lang w:eastAsia="en-AU"/>
        </w:rPr>
        <w:t>(</w:t>
      </w:r>
      <w:r w:rsidRPr="00DC2392">
        <w:rPr>
          <w:lang w:eastAsia="en-AU"/>
        </w:rPr>
        <w:t>Appendix B</w:t>
      </w:r>
      <w:r>
        <w:rPr>
          <w:lang w:eastAsia="en-AU"/>
        </w:rPr>
        <w:t xml:space="preserve">) </w:t>
      </w:r>
      <w:r w:rsidRPr="00857299">
        <w:rPr>
          <w:lang w:eastAsia="en-AU"/>
        </w:rPr>
        <w:t xml:space="preserve">to </w:t>
      </w:r>
      <w:r>
        <w:rPr>
          <w:lang w:eastAsia="en-AU"/>
        </w:rPr>
        <w:t xml:space="preserve">gather information from stakeholders </w:t>
      </w:r>
      <w:r w:rsidRPr="00857299">
        <w:rPr>
          <w:lang w:eastAsia="en-AU"/>
        </w:rPr>
        <w:t xml:space="preserve">for each </w:t>
      </w:r>
      <w:r w:rsidRPr="003772A1">
        <w:t>occupation</w:t>
      </w:r>
      <w:r w:rsidRPr="000F0132">
        <w:rPr>
          <w:lang w:eastAsia="en-AU"/>
        </w:rPr>
        <w:t xml:space="preserve"> </w:t>
      </w:r>
      <w:r>
        <w:rPr>
          <w:lang w:eastAsia="en-AU"/>
        </w:rPr>
        <w:t xml:space="preserve">on the preliminary list. </w:t>
      </w:r>
      <w:r w:rsidR="005D654A">
        <w:rPr>
          <w:lang w:eastAsia="en-AU"/>
        </w:rPr>
        <w:t>This included</w:t>
      </w:r>
      <w:r w:rsidR="0075377C">
        <w:rPr>
          <w:lang w:eastAsia="en-AU"/>
        </w:rPr>
        <w:t>:</w:t>
      </w:r>
    </w:p>
    <w:p w14:paraId="2CBCD584" w14:textId="477FDCE4" w:rsidR="0075377C" w:rsidRDefault="0075377C" w:rsidP="0079000A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607 NT businesses</w:t>
      </w:r>
    </w:p>
    <w:p w14:paraId="3389FF11" w14:textId="4251EEFA" w:rsidR="0075377C" w:rsidRDefault="0075377C" w:rsidP="0079000A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23 peak industry bodies</w:t>
      </w:r>
    </w:p>
    <w:p w14:paraId="49039265" w14:textId="41CB92DD" w:rsidR="00566F80" w:rsidRDefault="00857299" w:rsidP="00566F80">
      <w:pPr>
        <w:rPr>
          <w:lang w:eastAsia="en-AU"/>
        </w:rPr>
      </w:pPr>
      <w:r w:rsidRPr="0079000A">
        <w:rPr>
          <w:spacing w:val="-2"/>
          <w:lang w:eastAsia="en-AU"/>
        </w:rPr>
        <w:t xml:space="preserve">The </w:t>
      </w:r>
      <w:r w:rsidR="00F94BF1" w:rsidRPr="0079000A">
        <w:rPr>
          <w:spacing w:val="-2"/>
          <w:lang w:eastAsia="en-AU"/>
        </w:rPr>
        <w:t>information collected is used to independently develop a list of ‘high priority’ and ‘priority’ occupations. This list is not ranked.</w:t>
      </w:r>
      <w:r w:rsidR="00600072">
        <w:rPr>
          <w:spacing w:val="-2"/>
          <w:lang w:eastAsia="en-AU"/>
        </w:rPr>
        <w:t xml:space="preserve"> </w:t>
      </w:r>
      <w:r w:rsidR="00FE0AB5" w:rsidRPr="00566F80">
        <w:rPr>
          <w:lang w:eastAsia="en-AU"/>
        </w:rPr>
        <w:t>The survey</w:t>
      </w:r>
      <w:r w:rsidR="00865068">
        <w:rPr>
          <w:lang w:eastAsia="en-AU"/>
        </w:rPr>
        <w:t xml:space="preserve"> assess</w:t>
      </w:r>
      <w:r w:rsidR="005D654A">
        <w:rPr>
          <w:lang w:eastAsia="en-AU"/>
        </w:rPr>
        <w:t>ed</w:t>
      </w:r>
      <w:r w:rsidR="00865068">
        <w:rPr>
          <w:lang w:eastAsia="en-AU"/>
        </w:rPr>
        <w:t xml:space="preserve"> and prioriti</w:t>
      </w:r>
      <w:r w:rsidR="00600072">
        <w:rPr>
          <w:lang w:eastAsia="en-AU"/>
        </w:rPr>
        <w:t>se</w:t>
      </w:r>
      <w:r w:rsidR="005D654A">
        <w:rPr>
          <w:lang w:eastAsia="en-AU"/>
        </w:rPr>
        <w:t>d</w:t>
      </w:r>
      <w:r w:rsidR="00865068">
        <w:rPr>
          <w:lang w:eastAsia="en-AU"/>
        </w:rPr>
        <w:t xml:space="preserve"> </w:t>
      </w:r>
      <w:r w:rsidR="0075377C" w:rsidRPr="00566F80">
        <w:rPr>
          <w:lang w:eastAsia="en-AU"/>
        </w:rPr>
        <w:t>528 occupations</w:t>
      </w:r>
      <w:r w:rsidR="00865068">
        <w:rPr>
          <w:lang w:eastAsia="en-AU"/>
        </w:rPr>
        <w:t xml:space="preserve"> as per below</w:t>
      </w:r>
      <w:r w:rsidR="0075377C" w:rsidRPr="00566F80">
        <w:rPr>
          <w:lang w:eastAsia="en-AU"/>
        </w:rPr>
        <w:t>:</w:t>
      </w:r>
    </w:p>
    <w:p w14:paraId="4EE7B858" w14:textId="2C5D5BAA" w:rsidR="0075377C" w:rsidRDefault="0075377C" w:rsidP="0079000A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 xml:space="preserve">111 occupations as </w:t>
      </w:r>
      <w:r w:rsidR="00600072">
        <w:rPr>
          <w:lang w:eastAsia="en-AU"/>
        </w:rPr>
        <w:t>‘</w:t>
      </w:r>
      <w:r>
        <w:rPr>
          <w:lang w:eastAsia="en-AU"/>
        </w:rPr>
        <w:t>high priority</w:t>
      </w:r>
      <w:r w:rsidR="00600072">
        <w:rPr>
          <w:lang w:eastAsia="en-AU"/>
        </w:rPr>
        <w:t>’</w:t>
      </w:r>
    </w:p>
    <w:p w14:paraId="2A97F105" w14:textId="1492429B" w:rsidR="0075377C" w:rsidRDefault="0075377C" w:rsidP="0079000A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 xml:space="preserve">229 occupations as </w:t>
      </w:r>
      <w:r w:rsidR="00600072">
        <w:rPr>
          <w:lang w:eastAsia="en-AU"/>
        </w:rPr>
        <w:t>‘</w:t>
      </w:r>
      <w:r>
        <w:rPr>
          <w:lang w:eastAsia="en-AU"/>
        </w:rPr>
        <w:t>priority</w:t>
      </w:r>
      <w:r w:rsidR="00600072">
        <w:rPr>
          <w:lang w:eastAsia="en-AU"/>
        </w:rPr>
        <w:t>’</w:t>
      </w:r>
    </w:p>
    <w:p w14:paraId="2206199F" w14:textId="4A11F07A" w:rsidR="0075377C" w:rsidRDefault="0075377C" w:rsidP="0079000A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 xml:space="preserve">188 occupations as </w:t>
      </w:r>
      <w:r w:rsidR="00600072">
        <w:rPr>
          <w:lang w:eastAsia="en-AU"/>
        </w:rPr>
        <w:t>‘</w:t>
      </w:r>
      <w:r>
        <w:rPr>
          <w:lang w:eastAsia="en-AU"/>
        </w:rPr>
        <w:t>not a priority</w:t>
      </w:r>
      <w:r w:rsidR="00600072">
        <w:rPr>
          <w:lang w:eastAsia="en-AU"/>
        </w:rPr>
        <w:t>’.</w:t>
      </w:r>
    </w:p>
    <w:p w14:paraId="0710911D" w14:textId="03B5FF9A" w:rsidR="0075377C" w:rsidRDefault="00600072" w:rsidP="003C7462">
      <w:pPr>
        <w:pStyle w:val="Heading2"/>
      </w:pPr>
      <w:bookmarkStart w:id="7" w:name="_Toc212552002"/>
      <w:r>
        <w:t>Synthesis of two methods</w:t>
      </w:r>
      <w:bookmarkEnd w:id="7"/>
    </w:p>
    <w:p w14:paraId="63D2C4F4" w14:textId="1229DF07" w:rsidR="00316A8F" w:rsidRPr="006C5335" w:rsidRDefault="00316A8F" w:rsidP="0079000A">
      <w:pPr>
        <w:spacing w:after="160" w:line="259" w:lineRule="auto"/>
      </w:pPr>
      <w:r>
        <w:t xml:space="preserve">The final list </w:t>
      </w:r>
      <w:r w:rsidR="005D654A">
        <w:t xml:space="preserve">is a </w:t>
      </w:r>
      <w:r w:rsidR="007E137A">
        <w:t>synthesis</w:t>
      </w:r>
      <w:r w:rsidR="005D654A">
        <w:t xml:space="preserve"> of</w:t>
      </w:r>
      <w:r w:rsidR="007E137A">
        <w:t xml:space="preserve"> the</w:t>
      </w:r>
      <w:r>
        <w:t xml:space="preserve"> statistical method and qualitative information</w:t>
      </w:r>
      <w:r w:rsidR="007E137A">
        <w:t xml:space="preserve">. It </w:t>
      </w:r>
      <w:r>
        <w:t xml:space="preserve">also reflects situational intelligence from a range of sources, including Australian Government sources, </w:t>
      </w:r>
      <w:r w:rsidR="007E137A">
        <w:t>and considers whether an</w:t>
      </w:r>
      <w:r>
        <w:t xml:space="preserve"> </w:t>
      </w:r>
      <w:r w:rsidRPr="006C5335">
        <w:t>occupation</w:t>
      </w:r>
      <w:r>
        <w:t xml:space="preserve">, </w:t>
      </w:r>
      <w:r w:rsidR="007E137A">
        <w:t>were it</w:t>
      </w:r>
      <w:r>
        <w:t xml:space="preserve"> not available,</w:t>
      </w:r>
      <w:r w:rsidRPr="006C5335">
        <w:t xml:space="preserve"> </w:t>
      </w:r>
      <w:r>
        <w:t>c</w:t>
      </w:r>
      <w:r w:rsidRPr="006C5335">
        <w:t xml:space="preserve">ould significantly disrupt </w:t>
      </w:r>
      <w:r>
        <w:t>economic activity.</w:t>
      </w:r>
    </w:p>
    <w:p w14:paraId="09DEEBF8" w14:textId="3BADD957" w:rsidR="00600072" w:rsidRDefault="00857299" w:rsidP="0075377C">
      <w:pPr>
        <w:rPr>
          <w:lang w:eastAsia="en-AU"/>
        </w:rPr>
      </w:pPr>
      <w:r w:rsidRPr="00857299">
        <w:rPr>
          <w:lang w:eastAsia="en-AU"/>
        </w:rPr>
        <w:t>Each</w:t>
      </w:r>
      <w:r w:rsidR="00600072">
        <w:rPr>
          <w:lang w:eastAsia="en-AU"/>
        </w:rPr>
        <w:t xml:space="preserve"> of the </w:t>
      </w:r>
      <w:r w:rsidR="00AB7CE7">
        <w:rPr>
          <w:lang w:eastAsia="en-AU"/>
        </w:rPr>
        <w:t>o</w:t>
      </w:r>
      <w:r w:rsidR="00600072">
        <w:rPr>
          <w:lang w:eastAsia="en-AU"/>
        </w:rPr>
        <w:t>ccupations ISACNT identified as</w:t>
      </w:r>
      <w:r w:rsidRPr="00857299">
        <w:rPr>
          <w:lang w:eastAsia="en-AU"/>
        </w:rPr>
        <w:t xml:space="preserve"> </w:t>
      </w:r>
      <w:r w:rsidR="00600072">
        <w:rPr>
          <w:lang w:eastAsia="en-AU"/>
        </w:rPr>
        <w:t>‘</w:t>
      </w:r>
      <w:r w:rsidR="00600072" w:rsidRPr="00857299">
        <w:rPr>
          <w:lang w:eastAsia="en-AU"/>
        </w:rPr>
        <w:t>priority</w:t>
      </w:r>
      <w:r w:rsidR="00600072">
        <w:rPr>
          <w:lang w:eastAsia="en-AU"/>
        </w:rPr>
        <w:t>’ and</w:t>
      </w:r>
      <w:r w:rsidR="00600072" w:rsidRPr="00857299">
        <w:rPr>
          <w:lang w:eastAsia="en-AU"/>
        </w:rPr>
        <w:t xml:space="preserve"> </w:t>
      </w:r>
      <w:r w:rsidR="00600072">
        <w:rPr>
          <w:lang w:eastAsia="en-AU"/>
        </w:rPr>
        <w:t>‘h</w:t>
      </w:r>
      <w:r w:rsidR="00600072" w:rsidRPr="00857299">
        <w:rPr>
          <w:lang w:eastAsia="en-AU"/>
        </w:rPr>
        <w:t>igh priority</w:t>
      </w:r>
      <w:r w:rsidR="00600072">
        <w:rPr>
          <w:lang w:eastAsia="en-AU"/>
        </w:rPr>
        <w:t>’</w:t>
      </w:r>
      <w:r w:rsidR="00600072" w:rsidRPr="00857299">
        <w:rPr>
          <w:lang w:eastAsia="en-AU"/>
        </w:rPr>
        <w:t xml:space="preserve"> </w:t>
      </w:r>
      <w:r w:rsidR="00600072">
        <w:rPr>
          <w:lang w:eastAsia="en-AU"/>
        </w:rPr>
        <w:t xml:space="preserve">are </w:t>
      </w:r>
      <w:r w:rsidR="00630C88">
        <w:rPr>
          <w:lang w:eastAsia="en-AU"/>
        </w:rPr>
        <w:t xml:space="preserve">also </w:t>
      </w:r>
      <w:r w:rsidR="00600072">
        <w:rPr>
          <w:lang w:eastAsia="en-AU"/>
        </w:rPr>
        <w:t xml:space="preserve">validated </w:t>
      </w:r>
      <w:r w:rsidR="003144F1">
        <w:rPr>
          <w:lang w:eastAsia="en-AU"/>
        </w:rPr>
        <w:t xml:space="preserve">and assessed </w:t>
      </w:r>
      <w:r w:rsidR="00600072">
        <w:rPr>
          <w:lang w:eastAsia="en-AU"/>
        </w:rPr>
        <w:t>with reference to</w:t>
      </w:r>
      <w:r w:rsidR="00316A8F">
        <w:rPr>
          <w:lang w:eastAsia="en-AU"/>
        </w:rPr>
        <w:t xml:space="preserve"> the Top 400 ranked occupations from the quantitative assessment, as well as with reference to:</w:t>
      </w:r>
    </w:p>
    <w:p w14:paraId="362AE422" w14:textId="7E17DED9" w:rsidR="00316A8F" w:rsidRDefault="00316A8F" w:rsidP="00316A8F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Australian Government shortage and migration lists</w:t>
      </w:r>
    </w:p>
    <w:p w14:paraId="66F96951" w14:textId="6B5DC2F1" w:rsidR="00316A8F" w:rsidRDefault="005D654A" w:rsidP="00316A8F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f</w:t>
      </w:r>
      <w:r w:rsidR="00316A8F" w:rsidRPr="00566F80">
        <w:rPr>
          <w:lang w:eastAsia="en-AU"/>
        </w:rPr>
        <w:t>orecast workforce demand for major projects</w:t>
      </w:r>
    </w:p>
    <w:p w14:paraId="2676677D" w14:textId="070C889F" w:rsidR="003C7462" w:rsidRDefault="005D654A" w:rsidP="003C7462">
      <w:pPr>
        <w:pStyle w:val="ListParagraph"/>
        <w:numPr>
          <w:ilvl w:val="0"/>
          <w:numId w:val="12"/>
        </w:numPr>
        <w:rPr>
          <w:lang w:eastAsia="en-AU"/>
        </w:rPr>
      </w:pPr>
      <w:r>
        <w:rPr>
          <w:lang w:eastAsia="en-AU"/>
        </w:rPr>
        <w:t>w</w:t>
      </w:r>
      <w:r w:rsidR="003C7462">
        <w:rPr>
          <w:lang w:eastAsia="en-AU"/>
        </w:rPr>
        <w:t>hether the a</w:t>
      </w:r>
      <w:r w:rsidR="003C7462" w:rsidRPr="006C5335">
        <w:rPr>
          <w:lang w:eastAsia="en-AU"/>
        </w:rPr>
        <w:t xml:space="preserve">bsence of the occupation </w:t>
      </w:r>
      <w:r w:rsidR="003C7462">
        <w:rPr>
          <w:lang w:eastAsia="en-AU"/>
        </w:rPr>
        <w:t>c</w:t>
      </w:r>
      <w:r w:rsidR="003C7462" w:rsidRPr="006C5335">
        <w:rPr>
          <w:lang w:eastAsia="en-AU"/>
        </w:rPr>
        <w:t xml:space="preserve">ould significantly disrupt </w:t>
      </w:r>
      <w:r w:rsidR="003C7462">
        <w:rPr>
          <w:lang w:eastAsia="en-AU"/>
        </w:rPr>
        <w:t>economic activity</w:t>
      </w:r>
      <w:r w:rsidR="007E137A">
        <w:rPr>
          <w:lang w:eastAsia="en-AU"/>
        </w:rPr>
        <w:t>.</w:t>
      </w:r>
    </w:p>
    <w:p w14:paraId="5D6A7E96" w14:textId="06E1F2FD" w:rsidR="003144F1" w:rsidRDefault="00316A8F" w:rsidP="0001786F">
      <w:pPr>
        <w:rPr>
          <w:lang w:eastAsia="en-AU"/>
        </w:rPr>
      </w:pPr>
      <w:r>
        <w:rPr>
          <w:lang w:eastAsia="en-AU"/>
        </w:rPr>
        <w:t xml:space="preserve">Occupations rated as priority or high priority through this combined process </w:t>
      </w:r>
      <w:r w:rsidR="005D654A">
        <w:rPr>
          <w:lang w:eastAsia="en-AU"/>
        </w:rPr>
        <w:t>are included in</w:t>
      </w:r>
      <w:r>
        <w:rPr>
          <w:lang w:eastAsia="en-AU"/>
        </w:rPr>
        <w:t xml:space="preserve"> the NTSOPL</w:t>
      </w:r>
      <w:r w:rsidR="003C7462">
        <w:rPr>
          <w:lang w:eastAsia="en-AU"/>
        </w:rPr>
        <w:t>.</w:t>
      </w:r>
    </w:p>
    <w:p w14:paraId="70576D5D" w14:textId="170852A8" w:rsidR="003446E9" w:rsidRPr="0079000A" w:rsidRDefault="00490B86">
      <w:pPr>
        <w:rPr>
          <w:lang w:eastAsia="en-AU"/>
        </w:rPr>
      </w:pPr>
      <w:r>
        <w:rPr>
          <w:lang w:eastAsia="en-AU"/>
        </w:rPr>
        <w:br/>
      </w:r>
      <w:r w:rsidR="00226C2A">
        <w:rPr>
          <w:lang w:eastAsia="en-AU"/>
        </w:rPr>
        <w:t xml:space="preserve">The 2025 NTSOPL </w:t>
      </w:r>
      <w:r w:rsidR="003C7462">
        <w:rPr>
          <w:lang w:eastAsia="en-AU"/>
        </w:rPr>
        <w:t>has</w:t>
      </w:r>
      <w:r w:rsidR="009E0035">
        <w:rPr>
          <w:lang w:eastAsia="en-AU"/>
        </w:rPr>
        <w:t xml:space="preserve"> 38</w:t>
      </w:r>
      <w:r w:rsidR="00272FF8">
        <w:rPr>
          <w:lang w:eastAsia="en-AU"/>
        </w:rPr>
        <w:t>1</w:t>
      </w:r>
      <w:r w:rsidR="009E0035">
        <w:rPr>
          <w:lang w:eastAsia="en-AU"/>
        </w:rPr>
        <w:t xml:space="preserve"> occupations and </w:t>
      </w:r>
      <w:r w:rsidR="00226C2A">
        <w:rPr>
          <w:lang w:eastAsia="en-AU"/>
        </w:rPr>
        <w:t xml:space="preserve">is </w:t>
      </w:r>
      <w:r w:rsidR="003C7462">
        <w:rPr>
          <w:lang w:eastAsia="en-AU"/>
        </w:rPr>
        <w:t>a</w:t>
      </w:r>
      <w:r w:rsidR="00226C2A">
        <w:rPr>
          <w:lang w:eastAsia="en-AU"/>
        </w:rPr>
        <w:t>vailable</w:t>
      </w:r>
      <w:r w:rsidR="003C7462">
        <w:rPr>
          <w:lang w:eastAsia="en-AU"/>
        </w:rPr>
        <w:t xml:space="preserve"> at:</w:t>
      </w:r>
      <w:r w:rsidR="00AB44B9" w:rsidRPr="00AB44B9">
        <w:t xml:space="preserve"> </w:t>
      </w:r>
      <w:hyperlink r:id="rId17" w:history="1">
        <w:r w:rsidR="00AB44B9" w:rsidRPr="001E78CC">
          <w:rPr>
            <w:rStyle w:val="Hyperlink"/>
          </w:rPr>
          <w:t>https://nt.gov.au/employ/for-employers-in-nt/skills-existing-and-needed/hard-to-fill-jobs-in-the-nt</w:t>
        </w:r>
      </w:hyperlink>
      <w:r w:rsidR="00AB44B9">
        <w:t xml:space="preserve"> </w:t>
      </w:r>
      <w:r w:rsidR="003446E9">
        <w:rPr>
          <w:lang w:eastAsia="en-AU"/>
        </w:rPr>
        <w:br w:type="page"/>
      </w:r>
    </w:p>
    <w:p w14:paraId="0F121D54" w14:textId="4E7B6ED3" w:rsidR="00226C2A" w:rsidRDefault="00226C2A" w:rsidP="00226C2A">
      <w:pPr>
        <w:pStyle w:val="Heading1"/>
        <w:rPr>
          <w:lang w:eastAsia="en-AU"/>
        </w:rPr>
      </w:pPr>
      <w:bookmarkStart w:id="8" w:name="_Toc212552003"/>
      <w:r>
        <w:rPr>
          <w:lang w:eastAsia="en-AU"/>
        </w:rPr>
        <w:lastRenderedPageBreak/>
        <w:t>Appendix A – Development Process Flowchart</w:t>
      </w:r>
      <w:bookmarkEnd w:id="8"/>
    </w:p>
    <w:p w14:paraId="0A24603E" w14:textId="67A9905F" w:rsidR="009E4D07" w:rsidRPr="009E4D07" w:rsidRDefault="0019239E" w:rsidP="009E4D07">
      <w:pPr>
        <w:jc w:val="center"/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0B1CB46E" wp14:editId="246AC7AE">
            <wp:extent cx="3234159" cy="8085399"/>
            <wp:effectExtent l="0" t="0" r="4445" b="0"/>
            <wp:docPr id="807635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63513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159" cy="808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3082F" w14:textId="7E1F9D2F" w:rsidR="00226C2A" w:rsidRDefault="00226C2A" w:rsidP="00226C2A">
      <w:pPr>
        <w:pStyle w:val="Heading1"/>
        <w:rPr>
          <w:lang w:eastAsia="en-AU"/>
        </w:rPr>
      </w:pPr>
      <w:bookmarkStart w:id="9" w:name="_Toc212552004"/>
      <w:r>
        <w:rPr>
          <w:lang w:eastAsia="en-AU"/>
        </w:rPr>
        <w:lastRenderedPageBreak/>
        <w:t>Appendix B – ISACNT Survey Instrument (2025)</w:t>
      </w:r>
      <w:bookmarkEnd w:id="9"/>
    </w:p>
    <w:p w14:paraId="7C3DADBD" w14:textId="77777777" w:rsidR="00226C2A" w:rsidRPr="00226C2A" w:rsidRDefault="00226C2A" w:rsidP="0079000A">
      <w:pPr>
        <w:spacing w:after="120"/>
        <w:rPr>
          <w:b/>
          <w:bCs/>
          <w:lang w:eastAsia="en-AU"/>
        </w:rPr>
      </w:pPr>
      <w:r w:rsidRPr="00226C2A">
        <w:rPr>
          <w:b/>
          <w:bCs/>
          <w:lang w:eastAsia="en-AU"/>
        </w:rPr>
        <w:t>Key questions include:</w:t>
      </w:r>
    </w:p>
    <w:p w14:paraId="70BAEF5B" w14:textId="20395AA3" w:rsidR="007548C8" w:rsidRPr="0079000A" w:rsidRDefault="007548C8" w:rsidP="0079000A">
      <w:pPr>
        <w:pStyle w:val="BlockText"/>
        <w:spacing w:after="80"/>
        <w:ind w:left="1559" w:hanging="1559"/>
        <w:rPr>
          <w:spacing w:val="-2"/>
        </w:rPr>
      </w:pPr>
      <w:r w:rsidRPr="0079000A">
        <w:rPr>
          <w:spacing w:val="-2"/>
        </w:rPr>
        <w:t>Occupation:</w:t>
      </w:r>
      <w:r w:rsidR="00A64B9B" w:rsidRPr="0079000A">
        <w:rPr>
          <w:spacing w:val="-2"/>
        </w:rPr>
        <w:tab/>
      </w:r>
      <w:r w:rsidR="00A64B9B" w:rsidRPr="0079000A">
        <w:rPr>
          <w:spacing w:val="-2"/>
        </w:rPr>
        <w:tab/>
      </w:r>
      <w:r w:rsidR="00A64B9B" w:rsidRPr="0079000A">
        <w:rPr>
          <w:spacing w:val="-2"/>
        </w:rPr>
        <w:tab/>
        <w:t>Insert Name</w:t>
      </w:r>
    </w:p>
    <w:p w14:paraId="4E7D58AA" w14:textId="1FB58D74" w:rsidR="007548C8" w:rsidRPr="0079000A" w:rsidRDefault="007548C8" w:rsidP="0079000A">
      <w:pPr>
        <w:pStyle w:val="BlockText"/>
        <w:spacing w:after="80"/>
        <w:ind w:left="1559" w:hanging="1559"/>
        <w:rPr>
          <w:spacing w:val="-2"/>
        </w:rPr>
      </w:pPr>
      <w:r w:rsidRPr="0079000A">
        <w:rPr>
          <w:spacing w:val="-2"/>
        </w:rPr>
        <w:t>ANZSCO Code:</w:t>
      </w:r>
      <w:r w:rsidR="00A64B9B" w:rsidRPr="0079000A">
        <w:rPr>
          <w:spacing w:val="-2"/>
        </w:rPr>
        <w:tab/>
      </w:r>
      <w:r w:rsidR="00A64B9B" w:rsidRPr="0079000A">
        <w:rPr>
          <w:spacing w:val="-2"/>
        </w:rPr>
        <w:tab/>
      </w:r>
      <w:r w:rsidR="00A64B9B" w:rsidRPr="0079000A">
        <w:rPr>
          <w:spacing w:val="-2"/>
        </w:rPr>
        <w:tab/>
        <w:t>Insert Code</w:t>
      </w:r>
      <w:r w:rsidR="00A64B9B" w:rsidRPr="0079000A">
        <w:rPr>
          <w:spacing w:val="-2"/>
        </w:rPr>
        <w:tab/>
      </w:r>
    </w:p>
    <w:p w14:paraId="7D0F5EBC" w14:textId="13005FA1" w:rsidR="00211C9A" w:rsidRPr="0079000A" w:rsidRDefault="007548C8" w:rsidP="0079000A">
      <w:pPr>
        <w:pStyle w:val="BlockText"/>
        <w:spacing w:after="80"/>
        <w:ind w:left="1559" w:hanging="1559"/>
        <w:rPr>
          <w:spacing w:val="-2"/>
        </w:rPr>
      </w:pPr>
      <w:r w:rsidRPr="0079000A">
        <w:rPr>
          <w:spacing w:val="-2"/>
        </w:rPr>
        <w:t xml:space="preserve">Question 1: </w:t>
      </w:r>
      <w:r w:rsidRPr="0079000A">
        <w:rPr>
          <w:spacing w:val="-2"/>
        </w:rPr>
        <w:tab/>
      </w:r>
      <w:r w:rsidR="00211C9A" w:rsidRPr="0079000A">
        <w:rPr>
          <w:spacing w:val="-2"/>
        </w:rPr>
        <w:t>In the past 12 months (including the current month) has your organisation/branch experienced any difficulties in attracting or retaining workers for this occupation, and how many?</w:t>
      </w:r>
    </w:p>
    <w:p w14:paraId="270A81B8" w14:textId="6FB9F71B" w:rsidR="007548C8" w:rsidRPr="0079000A" w:rsidRDefault="007548C8" w:rsidP="0079000A">
      <w:pPr>
        <w:pStyle w:val="BlockText"/>
        <w:spacing w:after="80"/>
        <w:ind w:left="1559" w:hanging="1559"/>
        <w:rPr>
          <w:spacing w:val="-2"/>
        </w:rPr>
      </w:pPr>
      <w:r w:rsidRPr="0079000A">
        <w:rPr>
          <w:spacing w:val="-2"/>
        </w:rPr>
        <w:t xml:space="preserve">Question 2: </w:t>
      </w:r>
      <w:r w:rsidRPr="0079000A">
        <w:rPr>
          <w:spacing w:val="-2"/>
        </w:rPr>
        <w:tab/>
      </w:r>
      <w:r w:rsidR="006C7E9E" w:rsidRPr="0079000A">
        <w:rPr>
          <w:spacing w:val="-2"/>
        </w:rPr>
        <w:t>Is the occupation expected to be in shortage or experience recruitment difficulties in the next 12 months?</w:t>
      </w:r>
    </w:p>
    <w:p w14:paraId="591F48DB" w14:textId="0C1DA186" w:rsidR="007548C8" w:rsidRPr="0079000A" w:rsidRDefault="007548C8" w:rsidP="0079000A">
      <w:pPr>
        <w:pStyle w:val="BlockText"/>
        <w:spacing w:after="80"/>
        <w:ind w:left="1559" w:hanging="1559"/>
        <w:rPr>
          <w:spacing w:val="-2"/>
        </w:rPr>
      </w:pPr>
      <w:r w:rsidRPr="0079000A">
        <w:rPr>
          <w:spacing w:val="-2"/>
        </w:rPr>
        <w:t>If the answer is ‘</w:t>
      </w:r>
      <w:r w:rsidR="00211C9A" w:rsidRPr="0079000A">
        <w:rPr>
          <w:spacing w:val="-2"/>
        </w:rPr>
        <w:t xml:space="preserve">No’ </w:t>
      </w:r>
      <w:r w:rsidRPr="0079000A">
        <w:rPr>
          <w:spacing w:val="-2"/>
        </w:rPr>
        <w:t xml:space="preserve">to both </w:t>
      </w:r>
      <w:r w:rsidRPr="0079000A">
        <w:rPr>
          <w:b/>
          <w:spacing w:val="-2"/>
        </w:rPr>
        <w:t>Question 1</w:t>
      </w:r>
      <w:r w:rsidRPr="0079000A">
        <w:rPr>
          <w:spacing w:val="-2"/>
        </w:rPr>
        <w:t xml:space="preserve"> and </w:t>
      </w:r>
      <w:r w:rsidRPr="0079000A">
        <w:rPr>
          <w:b/>
          <w:spacing w:val="-2"/>
        </w:rPr>
        <w:t>2</w:t>
      </w:r>
      <w:r w:rsidRPr="0079000A">
        <w:rPr>
          <w:spacing w:val="-2"/>
        </w:rPr>
        <w:t xml:space="preserve">, go to </w:t>
      </w:r>
      <w:r w:rsidRPr="0079000A">
        <w:rPr>
          <w:b/>
          <w:spacing w:val="-2"/>
        </w:rPr>
        <w:t>Question 5</w:t>
      </w:r>
      <w:r w:rsidRPr="0079000A">
        <w:rPr>
          <w:spacing w:val="-2"/>
        </w:rPr>
        <w:t xml:space="preserve">. </w:t>
      </w:r>
    </w:p>
    <w:p w14:paraId="203AF1AC" w14:textId="578ACB90" w:rsidR="007548C8" w:rsidRPr="0079000A" w:rsidRDefault="007548C8" w:rsidP="0079000A">
      <w:pPr>
        <w:pStyle w:val="BlockText"/>
        <w:spacing w:after="80"/>
        <w:ind w:left="1559" w:hanging="1559"/>
        <w:rPr>
          <w:spacing w:val="-2"/>
        </w:rPr>
      </w:pPr>
      <w:r w:rsidRPr="0079000A">
        <w:rPr>
          <w:spacing w:val="-2"/>
        </w:rPr>
        <w:t xml:space="preserve">Question 3: </w:t>
      </w:r>
      <w:r w:rsidRPr="0079000A">
        <w:rPr>
          <w:spacing w:val="-2"/>
        </w:rPr>
        <w:tab/>
      </w:r>
      <w:r w:rsidR="00211C9A" w:rsidRPr="0079000A">
        <w:rPr>
          <w:spacing w:val="-2"/>
        </w:rPr>
        <w:t>Priority Status (Choices: Highest Priority, Priority or Not a Priority)</w:t>
      </w:r>
    </w:p>
    <w:p w14:paraId="10560D7B" w14:textId="3B09C0C7" w:rsidR="007548C8" w:rsidRPr="0079000A" w:rsidRDefault="007548C8" w:rsidP="0079000A">
      <w:pPr>
        <w:pStyle w:val="BlockText"/>
        <w:spacing w:after="80"/>
        <w:ind w:left="1559" w:hanging="1559"/>
        <w:rPr>
          <w:spacing w:val="-2"/>
        </w:rPr>
      </w:pPr>
      <w:r w:rsidRPr="0079000A">
        <w:rPr>
          <w:spacing w:val="-2"/>
        </w:rPr>
        <w:t xml:space="preserve">Question 3a: </w:t>
      </w:r>
      <w:r w:rsidRPr="0079000A">
        <w:rPr>
          <w:spacing w:val="-2"/>
        </w:rPr>
        <w:tab/>
      </w:r>
      <w:r w:rsidR="005D1E85" w:rsidRPr="0079000A">
        <w:rPr>
          <w:spacing w:val="-2"/>
        </w:rPr>
        <w:t>For this occupation, What are the challenges that apply?</w:t>
      </w:r>
    </w:p>
    <w:p w14:paraId="504FF1C9" w14:textId="5F440DE5" w:rsidR="007548C8" w:rsidRPr="0079000A" w:rsidRDefault="007548C8" w:rsidP="0079000A">
      <w:pPr>
        <w:pStyle w:val="BlockText"/>
        <w:spacing w:after="80"/>
        <w:ind w:left="1559" w:hanging="1559"/>
        <w:rPr>
          <w:spacing w:val="-2"/>
        </w:rPr>
      </w:pPr>
      <w:r w:rsidRPr="0079000A">
        <w:rPr>
          <w:spacing w:val="-2"/>
        </w:rPr>
        <w:t>Question 3b:</w:t>
      </w:r>
      <w:r w:rsidRPr="0079000A">
        <w:rPr>
          <w:spacing w:val="-2"/>
        </w:rPr>
        <w:tab/>
      </w:r>
      <w:r w:rsidR="005D1E85" w:rsidRPr="0079000A">
        <w:rPr>
          <w:spacing w:val="-2"/>
        </w:rPr>
        <w:t>Occupation remains vacant after 6 months? (Choices: Yes or No)</w:t>
      </w:r>
    </w:p>
    <w:p w14:paraId="3CDB4790" w14:textId="03CC0150" w:rsidR="005D1E85" w:rsidRPr="0079000A" w:rsidRDefault="005D1E85" w:rsidP="0079000A">
      <w:pPr>
        <w:pStyle w:val="BlockText"/>
        <w:spacing w:after="80"/>
        <w:ind w:left="1559" w:hanging="1559"/>
        <w:rPr>
          <w:spacing w:val="-2"/>
        </w:rPr>
      </w:pPr>
      <w:r w:rsidRPr="0079000A">
        <w:rPr>
          <w:spacing w:val="-2"/>
        </w:rPr>
        <w:t>Question 3c:</w:t>
      </w:r>
      <w:r w:rsidRPr="0079000A">
        <w:rPr>
          <w:spacing w:val="-2"/>
        </w:rPr>
        <w:tab/>
        <w:t>Occupation remains vacant after 12 months? (Choices: Yes or No)</w:t>
      </w:r>
    </w:p>
    <w:p w14:paraId="45FA091D" w14:textId="743E8B70" w:rsidR="006C7E9E" w:rsidRPr="0079000A" w:rsidRDefault="006C7E9E" w:rsidP="0079000A">
      <w:pPr>
        <w:pStyle w:val="BlockText"/>
        <w:spacing w:after="80"/>
        <w:ind w:left="1559" w:hanging="1559"/>
        <w:rPr>
          <w:spacing w:val="-2"/>
        </w:rPr>
      </w:pPr>
      <w:r w:rsidRPr="0079000A">
        <w:rPr>
          <w:spacing w:val="-2"/>
        </w:rPr>
        <w:t>Question 3d:</w:t>
      </w:r>
      <w:r w:rsidRPr="0079000A">
        <w:rPr>
          <w:spacing w:val="-2"/>
        </w:rPr>
        <w:tab/>
        <w:t>Number of businesses/employers with identified issues.</w:t>
      </w:r>
    </w:p>
    <w:p w14:paraId="25FB9E83" w14:textId="3F05D3C6" w:rsidR="007548C8" w:rsidRPr="0079000A" w:rsidRDefault="007548C8" w:rsidP="0079000A">
      <w:pPr>
        <w:pStyle w:val="BlockText"/>
        <w:spacing w:after="80"/>
        <w:ind w:left="1559" w:hanging="1559"/>
        <w:rPr>
          <w:spacing w:val="-2"/>
        </w:rPr>
      </w:pPr>
      <w:r w:rsidRPr="0079000A">
        <w:rPr>
          <w:spacing w:val="-2"/>
        </w:rPr>
        <w:t xml:space="preserve">Question 4: </w:t>
      </w:r>
      <w:r w:rsidRPr="0079000A">
        <w:rPr>
          <w:spacing w:val="-2"/>
        </w:rPr>
        <w:tab/>
        <w:t xml:space="preserve">Are the </w:t>
      </w:r>
      <w:r w:rsidR="005D1E85" w:rsidRPr="0079000A">
        <w:rPr>
          <w:spacing w:val="-2"/>
        </w:rPr>
        <w:t>challenges</w:t>
      </w:r>
      <w:r w:rsidRPr="0079000A">
        <w:rPr>
          <w:spacing w:val="-2"/>
        </w:rPr>
        <w:t xml:space="preserve"> affecting th</w:t>
      </w:r>
      <w:r w:rsidR="005D1E85" w:rsidRPr="0079000A">
        <w:rPr>
          <w:spacing w:val="-2"/>
        </w:rPr>
        <w:t>is</w:t>
      </w:r>
      <w:r w:rsidRPr="0079000A">
        <w:rPr>
          <w:spacing w:val="-2"/>
        </w:rPr>
        <w:t xml:space="preserve"> occupation considered to be short term</w:t>
      </w:r>
      <w:r w:rsidRPr="0079000A">
        <w:rPr>
          <w:spacing w:val="-2"/>
        </w:rPr>
        <w:br/>
        <w:t>(1-2 years), medium term (3-5 years) or long term (5+ years)?</w:t>
      </w:r>
    </w:p>
    <w:p w14:paraId="40FCD00C" w14:textId="77777777" w:rsidR="007548C8" w:rsidRPr="0079000A" w:rsidRDefault="007548C8" w:rsidP="0079000A">
      <w:pPr>
        <w:pStyle w:val="BlockText"/>
        <w:spacing w:after="80"/>
        <w:ind w:left="1559" w:hanging="1559"/>
        <w:rPr>
          <w:spacing w:val="-2"/>
        </w:rPr>
      </w:pPr>
      <w:r w:rsidRPr="0079000A">
        <w:rPr>
          <w:spacing w:val="-2"/>
        </w:rPr>
        <w:t xml:space="preserve">Question 4a: </w:t>
      </w:r>
      <w:r w:rsidRPr="0079000A">
        <w:rPr>
          <w:spacing w:val="-2"/>
        </w:rPr>
        <w:tab/>
        <w:t>Why?</w:t>
      </w:r>
    </w:p>
    <w:p w14:paraId="3DC628A3" w14:textId="77777777" w:rsidR="007548C8" w:rsidRPr="0079000A" w:rsidRDefault="007548C8" w:rsidP="0079000A">
      <w:pPr>
        <w:pStyle w:val="BlockText"/>
        <w:tabs>
          <w:tab w:val="left" w:pos="2268"/>
        </w:tabs>
        <w:spacing w:after="80"/>
        <w:ind w:left="1559" w:hanging="1559"/>
        <w:rPr>
          <w:spacing w:val="-2"/>
        </w:rPr>
      </w:pPr>
      <w:r w:rsidRPr="0079000A">
        <w:rPr>
          <w:spacing w:val="-2"/>
        </w:rPr>
        <w:t>Question 5:</w:t>
      </w:r>
      <w:r w:rsidRPr="0079000A">
        <w:rPr>
          <w:spacing w:val="-2"/>
        </w:rPr>
        <w:tab/>
        <w:t>Total number of employees that are on temporary visa with business's that have responded or contacted?</w:t>
      </w:r>
    </w:p>
    <w:p w14:paraId="7611CB9B" w14:textId="77777777" w:rsidR="007548C8" w:rsidRPr="0079000A" w:rsidRDefault="007548C8" w:rsidP="0079000A">
      <w:pPr>
        <w:pStyle w:val="BlockText"/>
        <w:tabs>
          <w:tab w:val="left" w:pos="2268"/>
        </w:tabs>
        <w:spacing w:after="80"/>
        <w:ind w:left="1559" w:hanging="1559"/>
        <w:rPr>
          <w:spacing w:val="-2"/>
        </w:rPr>
      </w:pPr>
      <w:r w:rsidRPr="0079000A">
        <w:rPr>
          <w:spacing w:val="-2"/>
        </w:rPr>
        <w:t>Question 5a:</w:t>
      </w:r>
      <w:r w:rsidRPr="0079000A">
        <w:rPr>
          <w:spacing w:val="-2"/>
        </w:rPr>
        <w:tab/>
        <w:t>Count of Temporary Work (Skilled) Visa</w:t>
      </w:r>
    </w:p>
    <w:p w14:paraId="23BCE3B5" w14:textId="77777777" w:rsidR="007548C8" w:rsidRPr="0079000A" w:rsidRDefault="007548C8" w:rsidP="0079000A">
      <w:pPr>
        <w:pStyle w:val="BlockText"/>
        <w:tabs>
          <w:tab w:val="left" w:pos="2268"/>
        </w:tabs>
        <w:spacing w:after="80"/>
        <w:ind w:left="1559" w:hanging="1559"/>
        <w:rPr>
          <w:i/>
          <w:spacing w:val="-2"/>
        </w:rPr>
      </w:pPr>
      <w:r w:rsidRPr="0079000A">
        <w:rPr>
          <w:i/>
          <w:spacing w:val="-2"/>
        </w:rPr>
        <w:t>Question 6:</w:t>
      </w:r>
      <w:r w:rsidRPr="0079000A">
        <w:rPr>
          <w:i/>
          <w:spacing w:val="-2"/>
        </w:rPr>
        <w:tab/>
        <w:t>Number of businesses that made up question 5?</w:t>
      </w:r>
    </w:p>
    <w:p w14:paraId="20786DE6" w14:textId="1487DEE4" w:rsidR="007548C8" w:rsidRPr="0079000A" w:rsidRDefault="007548C8" w:rsidP="0079000A">
      <w:pPr>
        <w:pStyle w:val="BlockText"/>
        <w:spacing w:after="80"/>
        <w:ind w:left="1559" w:hanging="1559"/>
        <w:rPr>
          <w:spacing w:val="-2"/>
        </w:rPr>
      </w:pPr>
      <w:r w:rsidRPr="0079000A">
        <w:rPr>
          <w:spacing w:val="-2"/>
        </w:rPr>
        <w:t xml:space="preserve">Question 7: </w:t>
      </w:r>
      <w:r w:rsidRPr="0079000A">
        <w:rPr>
          <w:spacing w:val="-2"/>
        </w:rPr>
        <w:tab/>
        <w:t xml:space="preserve">Are you aware of any specific issues relating to this occupation in particular sub-Territory regions? </w:t>
      </w:r>
      <w:r w:rsidR="006C7E9E" w:rsidRPr="0079000A">
        <w:rPr>
          <w:spacing w:val="-2"/>
        </w:rPr>
        <w:t xml:space="preserve">(Choices: </w:t>
      </w:r>
      <w:r w:rsidRPr="0079000A">
        <w:rPr>
          <w:spacing w:val="-2"/>
        </w:rPr>
        <w:t xml:space="preserve">Greater Darwin, </w:t>
      </w:r>
      <w:r w:rsidR="006C7E9E" w:rsidRPr="0079000A">
        <w:rPr>
          <w:spacing w:val="-2"/>
        </w:rPr>
        <w:t xml:space="preserve">Top End, </w:t>
      </w:r>
      <w:r w:rsidRPr="0079000A">
        <w:rPr>
          <w:spacing w:val="-2"/>
        </w:rPr>
        <w:t>Central Australia, Katherine, Barkly, Arnhem</w:t>
      </w:r>
      <w:r w:rsidR="006C7E9E" w:rsidRPr="0079000A">
        <w:rPr>
          <w:spacing w:val="-2"/>
        </w:rPr>
        <w:t xml:space="preserve"> or free text)</w:t>
      </w:r>
    </w:p>
    <w:p w14:paraId="460A14AF" w14:textId="531183EF" w:rsidR="006C7E9E" w:rsidRPr="0079000A" w:rsidRDefault="007548C8" w:rsidP="0079000A">
      <w:pPr>
        <w:pStyle w:val="BlockText"/>
        <w:spacing w:after="80"/>
        <w:ind w:left="1559" w:hanging="1559"/>
        <w:rPr>
          <w:spacing w:val="-2"/>
        </w:rPr>
      </w:pPr>
      <w:r w:rsidRPr="0079000A">
        <w:rPr>
          <w:spacing w:val="-2"/>
        </w:rPr>
        <w:t xml:space="preserve">Question 8: </w:t>
      </w:r>
      <w:r w:rsidRPr="0079000A">
        <w:rPr>
          <w:spacing w:val="-2"/>
        </w:rPr>
        <w:tab/>
      </w:r>
      <w:r w:rsidR="006C7E9E" w:rsidRPr="0079000A">
        <w:rPr>
          <w:spacing w:val="-2"/>
        </w:rPr>
        <w:t>Do you have any further comments about the occupation?</w:t>
      </w:r>
    </w:p>
    <w:p w14:paraId="3A8BEA58" w14:textId="36464743" w:rsidR="00226C2A" w:rsidRDefault="00226C2A" w:rsidP="00226C2A">
      <w:pPr>
        <w:pStyle w:val="Heading1"/>
        <w:rPr>
          <w:lang w:eastAsia="en-AU"/>
        </w:rPr>
      </w:pPr>
      <w:bookmarkStart w:id="10" w:name="_Toc212552005"/>
      <w:r>
        <w:rPr>
          <w:lang w:eastAsia="en-AU"/>
        </w:rPr>
        <w:t>Notes</w:t>
      </w:r>
      <w:bookmarkEnd w:id="10"/>
    </w:p>
    <w:p w14:paraId="481B6A7D" w14:textId="77777777" w:rsidR="00B41D06" w:rsidRDefault="00B41D06" w:rsidP="00B41D06">
      <w:pPr>
        <w:pStyle w:val="ListParagraph"/>
        <w:numPr>
          <w:ilvl w:val="0"/>
          <w:numId w:val="16"/>
        </w:numPr>
        <w:rPr>
          <w:lang w:eastAsia="en-AU"/>
        </w:rPr>
      </w:pPr>
      <w:r>
        <w:rPr>
          <w:lang w:eastAsia="en-AU"/>
        </w:rPr>
        <w:t>The 2025 NTSOPL uses ANZSCO 2022, as data collection occurred before implementation of OSCA 2025.</w:t>
      </w:r>
    </w:p>
    <w:p w14:paraId="1727FBE8" w14:textId="4C3BEAF0" w:rsidR="00B41D06" w:rsidRDefault="00B41D06" w:rsidP="00B41D06">
      <w:pPr>
        <w:pStyle w:val="ListParagraph"/>
        <w:numPr>
          <w:ilvl w:val="0"/>
          <w:numId w:val="16"/>
        </w:numPr>
        <w:rPr>
          <w:lang w:eastAsia="en-AU"/>
        </w:rPr>
      </w:pPr>
      <w:r>
        <w:rPr>
          <w:lang w:eastAsia="en-AU"/>
        </w:rPr>
        <w:t>ANZSCO is produced and managed by the ABS.</w:t>
      </w:r>
    </w:p>
    <w:p w14:paraId="4C5732FA" w14:textId="5FB458C7" w:rsidR="00B41D06" w:rsidRDefault="00B41D06" w:rsidP="00B41D06">
      <w:pPr>
        <w:pStyle w:val="ListParagraph"/>
        <w:numPr>
          <w:ilvl w:val="0"/>
          <w:numId w:val="16"/>
        </w:numPr>
        <w:rPr>
          <w:lang w:eastAsia="en-AU"/>
        </w:rPr>
      </w:pPr>
      <w:r>
        <w:rPr>
          <w:lang w:eastAsia="en-AU"/>
        </w:rPr>
        <w:t>ANZSCO provides the framework for consistent collection, analysis, and reporting of occupation data across Australia and New Zealand.</w:t>
      </w:r>
    </w:p>
    <w:p w14:paraId="10F5B652" w14:textId="1E447955" w:rsidR="00B41D06" w:rsidRDefault="00B41D06" w:rsidP="00B41D06">
      <w:pPr>
        <w:pStyle w:val="ListParagraph"/>
        <w:numPr>
          <w:ilvl w:val="0"/>
          <w:numId w:val="16"/>
        </w:numPr>
        <w:rPr>
          <w:lang w:eastAsia="en-AU"/>
        </w:rPr>
      </w:pPr>
      <w:r>
        <w:rPr>
          <w:lang w:eastAsia="en-AU"/>
        </w:rPr>
        <w:t>Modelling for the NTSOPL uses 2021 ABS Census data, Victoria University forecasts, and Job Skills Australia vacancy datasets.</w:t>
      </w:r>
    </w:p>
    <w:p w14:paraId="2C3F0327" w14:textId="11A54B24" w:rsidR="00B41D06" w:rsidRDefault="00B41D06" w:rsidP="00B41D06">
      <w:pPr>
        <w:pStyle w:val="ListParagraph"/>
        <w:numPr>
          <w:ilvl w:val="0"/>
          <w:numId w:val="16"/>
        </w:numPr>
        <w:rPr>
          <w:lang w:eastAsia="en-AU"/>
        </w:rPr>
      </w:pPr>
      <w:r>
        <w:rPr>
          <w:lang w:eastAsia="en-AU"/>
        </w:rPr>
        <w:t>Forecasts are conservative and may understate short-term pressures from major projects not yet at final investment decision.</w:t>
      </w:r>
    </w:p>
    <w:p w14:paraId="07F801DE" w14:textId="1300E30C" w:rsidR="00C65A5A" w:rsidRPr="0075377C" w:rsidRDefault="00B41D06" w:rsidP="002F5C89">
      <w:pPr>
        <w:pStyle w:val="ListParagraph"/>
        <w:numPr>
          <w:ilvl w:val="0"/>
          <w:numId w:val="16"/>
        </w:numPr>
        <w:rPr>
          <w:lang w:eastAsia="en-AU"/>
        </w:rPr>
      </w:pPr>
      <w:r>
        <w:rPr>
          <w:lang w:eastAsia="en-AU"/>
        </w:rPr>
        <w:t>The model operates at an NT-wide level and may not capture localised shortages.</w:t>
      </w:r>
    </w:p>
    <w:sectPr w:rsidR="00C65A5A" w:rsidRPr="0075377C" w:rsidSect="00C95D30">
      <w:footerReference w:type="default" r:id="rId19"/>
      <w:headerReference w:type="first" r:id="rId20"/>
      <w:pgSz w:w="11906" w:h="16838" w:code="9"/>
      <w:pgMar w:top="794" w:right="794" w:bottom="794" w:left="79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9C2F" w14:textId="77777777" w:rsidR="007305DB" w:rsidRDefault="007305DB">
      <w:r>
        <w:separator/>
      </w:r>
    </w:p>
  </w:endnote>
  <w:endnote w:type="continuationSeparator" w:id="0">
    <w:p w14:paraId="7B7F3F26" w14:textId="77777777" w:rsidR="007305DB" w:rsidRDefault="007305DB">
      <w:r>
        <w:continuationSeparator/>
      </w:r>
    </w:p>
  </w:endnote>
  <w:endnote w:type="continuationNotice" w:id="1">
    <w:p w14:paraId="1F592ECA" w14:textId="77777777" w:rsidR="007305DB" w:rsidRDefault="007305D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325129"/>
      <w:docPartObj>
        <w:docPartGallery w:val="Page Numbers (Bottom of Page)"/>
        <w:docPartUnique/>
      </w:docPartObj>
    </w:sdtPr>
    <w:sdtEndPr/>
    <w:sdtContent>
      <w:sdt>
        <w:sdtPr>
          <w:id w:val="34003993"/>
          <w:docPartObj>
            <w:docPartGallery w:val="Page Numbers (Top of Page)"/>
            <w:docPartUnique/>
          </w:docPartObj>
        </w:sdtPr>
        <w:sdtEndPr/>
        <w:sdtContent>
          <w:p w14:paraId="2DD445FE" w14:textId="77777777" w:rsidR="004E7885" w:rsidRDefault="004E7885" w:rsidP="004E7885">
            <w:r w:rsidRPr="004E7885">
              <w:rPr>
                <w:rStyle w:val="PageNumber"/>
              </w:rPr>
              <w:t xml:space="preserve">Page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PAGE </w:instrText>
            </w:r>
            <w:r w:rsidRPr="004E7885">
              <w:rPr>
                <w:rStyle w:val="PageNumber"/>
              </w:rPr>
              <w:fldChar w:fldCharType="separate"/>
            </w:r>
            <w:r>
              <w:rPr>
                <w:rStyle w:val="PageNumber"/>
                <w:noProof/>
              </w:rPr>
              <w:t>3</w:t>
            </w:r>
            <w:r w:rsidRPr="004E7885">
              <w:rPr>
                <w:rStyle w:val="PageNumber"/>
              </w:rPr>
              <w:fldChar w:fldCharType="end"/>
            </w:r>
            <w:r w:rsidRPr="004E7885">
              <w:rPr>
                <w:rStyle w:val="PageNumber"/>
              </w:rPr>
              <w:t xml:space="preserve"> of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NUMPAGES  </w:instrText>
            </w:r>
            <w:r w:rsidRPr="004E7885">
              <w:rPr>
                <w:rStyle w:val="PageNumber"/>
              </w:rPr>
              <w:fldChar w:fldCharType="separate"/>
            </w:r>
            <w:r w:rsidR="00E45536">
              <w:rPr>
                <w:rStyle w:val="PageNumber"/>
                <w:noProof/>
              </w:rPr>
              <w:t>4</w:t>
            </w:r>
            <w:r w:rsidRPr="004E7885">
              <w:rPr>
                <w:rStyle w:val="PageNumbe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3A14" w14:textId="77777777" w:rsidR="00964B22" w:rsidRPr="00F538BD" w:rsidRDefault="00964B22" w:rsidP="004E7885">
    <w:pPr>
      <w:spacing w:after="0"/>
      <w:jc w:val="right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E578" w14:textId="77777777" w:rsidR="004E7885" w:rsidRDefault="004E7885" w:rsidP="004E7885">
    <w:pPr>
      <w:pStyle w:val="Hidden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1E92" w14:textId="77777777" w:rsidR="004E7885" w:rsidRPr="00F538BD" w:rsidRDefault="004E7885" w:rsidP="004E7885">
    <w:pPr>
      <w:spacing w:after="0"/>
      <w:rPr>
        <w:sz w:val="6"/>
        <w:szCs w:val="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354F" w14:textId="77777777" w:rsidR="009B7C35" w:rsidRPr="00A50829" w:rsidRDefault="009B7C35" w:rsidP="002C6C39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A50829" w:rsidRPr="00132658" w14:paraId="2FA415EA" w14:textId="77777777" w:rsidTr="00AD224A">
      <w:trPr>
        <w:cantSplit/>
        <w:trHeight w:hRule="exact" w:val="850"/>
        <w:tblHeader/>
      </w:trPr>
      <w:tc>
        <w:tcPr>
          <w:tcW w:w="10318" w:type="dxa"/>
          <w:vAlign w:val="bottom"/>
        </w:tcPr>
        <w:p w14:paraId="1389EC99" w14:textId="44B1A51A" w:rsidR="00A50829" w:rsidRDefault="00A50829" w:rsidP="00A50829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7305DB" w:rsidRPr="007305DB">
            <w:rPr>
              <w:rStyle w:val="PageNumber"/>
              <w:b/>
            </w:rPr>
            <w:t>Department of Trade, Business and Asian Relations</w:t>
          </w:r>
          <w:r w:rsidRPr="00CE6614">
            <w:rPr>
              <w:rStyle w:val="PageNumber"/>
            </w:rPr>
            <w:t xml:space="preserve"> </w:t>
          </w:r>
        </w:p>
        <w:p w14:paraId="2D465557" w14:textId="3356898A" w:rsidR="00A50829" w:rsidRPr="00CE6614" w:rsidRDefault="001E1B75" w:rsidP="00A50829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22</w:t>
          </w:r>
          <w:r w:rsidR="00685A91">
            <w:rPr>
              <w:rStyle w:val="PageNumber"/>
            </w:rPr>
            <w:t xml:space="preserve"> </w:t>
          </w:r>
          <w:r>
            <w:rPr>
              <w:rStyle w:val="PageNumber"/>
            </w:rPr>
            <w:t>October</w:t>
          </w:r>
          <w:r w:rsidR="00685A91">
            <w:rPr>
              <w:rStyle w:val="PageNumber"/>
            </w:rPr>
            <w:t xml:space="preserve"> 2025</w:t>
          </w:r>
          <w:r w:rsidR="00A50829" w:rsidRPr="00CE6614">
            <w:rPr>
              <w:rStyle w:val="PageNumber"/>
            </w:rPr>
            <w:t xml:space="preserve"> | Version </w:t>
          </w:r>
          <w:r w:rsidR="00685A91">
            <w:rPr>
              <w:rStyle w:val="PageNumber"/>
            </w:rPr>
            <w:t>1</w:t>
          </w:r>
        </w:p>
        <w:p w14:paraId="7E44C770" w14:textId="77777777" w:rsidR="00A50829" w:rsidRPr="00AC4488" w:rsidRDefault="00A50829" w:rsidP="00A50829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A15DB4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A15DB4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4E98028" w14:textId="77777777" w:rsidR="00417E19" w:rsidRDefault="00417E19" w:rsidP="00AD1B26">
    <w:pPr>
      <w:pStyle w:val="Hidden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8A36" w14:textId="77777777" w:rsidR="007305DB" w:rsidRDefault="007305DB">
      <w:r>
        <w:separator/>
      </w:r>
    </w:p>
  </w:footnote>
  <w:footnote w:type="continuationSeparator" w:id="0">
    <w:p w14:paraId="1E4A3E05" w14:textId="77777777" w:rsidR="007305DB" w:rsidRDefault="007305DB">
      <w:r>
        <w:continuationSeparator/>
      </w:r>
    </w:p>
  </w:footnote>
  <w:footnote w:type="continuationNotice" w:id="1">
    <w:p w14:paraId="47CA27AB" w14:textId="77777777" w:rsidR="007305DB" w:rsidRDefault="007305D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46C83" w14:textId="49B049E8" w:rsidR="00964B22" w:rsidRPr="008E0345" w:rsidRDefault="00277E8F" w:rsidP="005A5A44">
    <w:pPr>
      <w:pStyle w:val="Header"/>
    </w:pPr>
    <w:r>
      <w:t>Northern Territory Skilled Occupation Priority List: Information Paper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A2B9" w14:textId="77777777" w:rsidR="004B7373" w:rsidRPr="00BD0F38" w:rsidRDefault="00DD64C2" w:rsidP="00A32EFF">
    <w:pPr>
      <w:tabs>
        <w:tab w:val="right" w:pos="10318"/>
      </w:tabs>
    </w:pPr>
    <w:r w:rsidRPr="00BD0F38">
      <w:rPr>
        <w:noProof/>
        <w:lang w:eastAsia="en-AU"/>
      </w:rPr>
      <w:drawing>
        <wp:anchor distT="0" distB="0" distL="0" distR="0" simplePos="0" relativeHeight="251659264" behindDoc="0" locked="0" layoutInCell="1" allowOverlap="1" wp14:anchorId="3473037F" wp14:editId="3B59E858">
          <wp:simplePos x="0" y="0"/>
          <wp:positionH relativeFrom="page">
            <wp:posOffset>0</wp:posOffset>
          </wp:positionH>
          <wp:positionV relativeFrom="page">
            <wp:posOffset>2565070</wp:posOffset>
          </wp:positionV>
          <wp:extent cx="7563962" cy="8112001"/>
          <wp:effectExtent l="0" t="0" r="0" b="3810"/>
          <wp:wrapTopAndBottom/>
          <wp:docPr id="416509107" name="image4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509107" name="image4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790" cy="8115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D5E2" w14:textId="06849DE7" w:rsidR="00717C37" w:rsidRPr="004E7885" w:rsidRDefault="00277E8F" w:rsidP="004E7885">
    <w:pPr>
      <w:pStyle w:val="Header"/>
    </w:pPr>
    <w:r>
      <w:t>Northern Territory Skilled Occupation Priority List: Information Paper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C53B" w14:textId="77777777" w:rsidR="00964B22" w:rsidRPr="00274F1C" w:rsidRDefault="00964B22" w:rsidP="004E7885">
    <w:pPr>
      <w:pStyle w:val="Header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084F" w14:textId="2871FC5A" w:rsidR="00983000" w:rsidRPr="00964B22" w:rsidRDefault="00277E8F" w:rsidP="008E0345">
    <w:pPr>
      <w:pStyle w:val="Header"/>
      <w:rPr>
        <w:b/>
      </w:rPr>
    </w:pPr>
    <w:r>
      <w:t>Northern Territory Skilled Occupation Priority List: Information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9BA"/>
    <w:multiLevelType w:val="hybridMultilevel"/>
    <w:tmpl w:val="FF1431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23E1E"/>
    <w:multiLevelType w:val="hybridMultilevel"/>
    <w:tmpl w:val="79BA6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3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4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5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6" w15:restartNumberingAfterBreak="0">
    <w:nsid w:val="13E273B4"/>
    <w:multiLevelType w:val="hybridMultilevel"/>
    <w:tmpl w:val="D1AAFBAC"/>
    <w:lvl w:ilvl="0" w:tplc="4E70B12E"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9644AF"/>
    <w:multiLevelType w:val="hybridMultilevel"/>
    <w:tmpl w:val="69A09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2" w15:restartNumberingAfterBreak="0">
    <w:nsid w:val="1B152E81"/>
    <w:multiLevelType w:val="hybridMultilevel"/>
    <w:tmpl w:val="F87E7A76"/>
    <w:lvl w:ilvl="0" w:tplc="1C6E2864"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4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5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6" w15:restartNumberingAfterBreak="0">
    <w:nsid w:val="1E6530BF"/>
    <w:multiLevelType w:val="hybridMultilevel"/>
    <w:tmpl w:val="7AE4EFDA"/>
    <w:lvl w:ilvl="0" w:tplc="1C6E2864"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B63D4"/>
    <w:multiLevelType w:val="hybridMultilevel"/>
    <w:tmpl w:val="1F4649E0"/>
    <w:lvl w:ilvl="0" w:tplc="C186DF26">
      <w:numFmt w:val="bullet"/>
      <w:lvlText w:val="•"/>
      <w:lvlJc w:val="left"/>
      <w:pPr>
        <w:ind w:left="108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9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0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1" w15:restartNumberingAfterBreak="0">
    <w:nsid w:val="27D83E4D"/>
    <w:multiLevelType w:val="multilevel"/>
    <w:tmpl w:val="3928FD02"/>
    <w:numStyleLink w:val="Bulletlist"/>
  </w:abstractNum>
  <w:abstractNum w:abstractNumId="22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3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6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7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9" w15:restartNumberingAfterBreak="0">
    <w:nsid w:val="41686286"/>
    <w:multiLevelType w:val="hybridMultilevel"/>
    <w:tmpl w:val="F1CE1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B345BA"/>
    <w:multiLevelType w:val="hybridMultilevel"/>
    <w:tmpl w:val="4A422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2" w15:restartNumberingAfterBreak="0">
    <w:nsid w:val="4B942D4C"/>
    <w:multiLevelType w:val="hybridMultilevel"/>
    <w:tmpl w:val="D1E61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5" w15:restartNumberingAfterBreak="0">
    <w:nsid w:val="4F4B331D"/>
    <w:multiLevelType w:val="hybridMultilevel"/>
    <w:tmpl w:val="2A881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842BC6"/>
    <w:multiLevelType w:val="multilevel"/>
    <w:tmpl w:val="0C78A7AC"/>
    <w:numStyleLink w:val="Tablebulletlist"/>
  </w:abstractNum>
  <w:abstractNum w:abstractNumId="3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2" w15:restartNumberingAfterBreak="0">
    <w:nsid w:val="5FE52DEF"/>
    <w:multiLevelType w:val="hybridMultilevel"/>
    <w:tmpl w:val="EDC2B70E"/>
    <w:lvl w:ilvl="0" w:tplc="4E70B12E"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E115E7"/>
    <w:multiLevelType w:val="hybridMultilevel"/>
    <w:tmpl w:val="00703150"/>
    <w:lvl w:ilvl="0" w:tplc="1C6E2864"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6" w15:restartNumberingAfterBreak="0">
    <w:nsid w:val="75836ECB"/>
    <w:multiLevelType w:val="hybridMultilevel"/>
    <w:tmpl w:val="4F4C7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8" w15:restartNumberingAfterBreak="0">
    <w:nsid w:val="778D22B0"/>
    <w:multiLevelType w:val="hybridMultilevel"/>
    <w:tmpl w:val="BE88DF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CC6470"/>
    <w:multiLevelType w:val="multilevel"/>
    <w:tmpl w:val="8688B204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50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94408167">
    <w:abstractNumId w:val="26"/>
  </w:num>
  <w:num w:numId="2" w16cid:durableId="1018698121">
    <w:abstractNumId w:val="18"/>
  </w:num>
  <w:num w:numId="3" w16cid:durableId="974025919">
    <w:abstractNumId w:val="49"/>
  </w:num>
  <w:num w:numId="4" w16cid:durableId="1306158225">
    <w:abstractNumId w:val="33"/>
  </w:num>
  <w:num w:numId="5" w16cid:durableId="899513662">
    <w:abstractNumId w:val="22"/>
  </w:num>
  <w:num w:numId="6" w16cid:durableId="464005404">
    <w:abstractNumId w:val="11"/>
  </w:num>
  <w:num w:numId="7" w16cid:durableId="1367758493">
    <w:abstractNumId w:val="36"/>
  </w:num>
  <w:num w:numId="8" w16cid:durableId="1394742345">
    <w:abstractNumId w:val="21"/>
  </w:num>
  <w:num w:numId="9" w16cid:durableId="981159042">
    <w:abstractNumId w:val="27"/>
  </w:num>
  <w:num w:numId="10" w16cid:durableId="1305353785">
    <w:abstractNumId w:val="17"/>
  </w:num>
  <w:num w:numId="11" w16cid:durableId="828061634">
    <w:abstractNumId w:val="49"/>
  </w:num>
  <w:num w:numId="12" w16cid:durableId="1656103306">
    <w:abstractNumId w:val="46"/>
  </w:num>
  <w:num w:numId="13" w16cid:durableId="819426476">
    <w:abstractNumId w:val="30"/>
  </w:num>
  <w:num w:numId="14" w16cid:durableId="1794055791">
    <w:abstractNumId w:val="29"/>
  </w:num>
  <w:num w:numId="15" w16cid:durableId="664819197">
    <w:abstractNumId w:val="12"/>
  </w:num>
  <w:num w:numId="16" w16cid:durableId="90859807">
    <w:abstractNumId w:val="16"/>
  </w:num>
  <w:num w:numId="17" w16cid:durableId="432213491">
    <w:abstractNumId w:val="49"/>
  </w:num>
  <w:num w:numId="18" w16cid:durableId="1342245737">
    <w:abstractNumId w:val="43"/>
  </w:num>
  <w:num w:numId="19" w16cid:durableId="67311354">
    <w:abstractNumId w:val="10"/>
  </w:num>
  <w:num w:numId="20" w16cid:durableId="2110271577">
    <w:abstractNumId w:val="1"/>
  </w:num>
  <w:num w:numId="21" w16cid:durableId="1689795899">
    <w:abstractNumId w:val="35"/>
  </w:num>
  <w:num w:numId="22" w16cid:durableId="1359970287">
    <w:abstractNumId w:val="49"/>
  </w:num>
  <w:num w:numId="23" w16cid:durableId="74518353">
    <w:abstractNumId w:val="32"/>
  </w:num>
  <w:num w:numId="24" w16cid:durableId="924537574">
    <w:abstractNumId w:val="0"/>
  </w:num>
  <w:num w:numId="25" w16cid:durableId="1810709925">
    <w:abstractNumId w:val="6"/>
  </w:num>
  <w:num w:numId="26" w16cid:durableId="1326669071">
    <w:abstractNumId w:val="42"/>
  </w:num>
  <w:num w:numId="27" w16cid:durableId="1615400402">
    <w:abstractNumId w:val="4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DB"/>
    <w:rsid w:val="00001DDF"/>
    <w:rsid w:val="000030BA"/>
    <w:rsid w:val="0000322D"/>
    <w:rsid w:val="00007670"/>
    <w:rsid w:val="00010665"/>
    <w:rsid w:val="0001786F"/>
    <w:rsid w:val="000238B4"/>
    <w:rsid w:val="0002393A"/>
    <w:rsid w:val="00027DB8"/>
    <w:rsid w:val="000307A7"/>
    <w:rsid w:val="00031A96"/>
    <w:rsid w:val="00040BF3"/>
    <w:rsid w:val="0004562E"/>
    <w:rsid w:val="00046C59"/>
    <w:rsid w:val="00050358"/>
    <w:rsid w:val="00050552"/>
    <w:rsid w:val="00051362"/>
    <w:rsid w:val="00051F45"/>
    <w:rsid w:val="00052953"/>
    <w:rsid w:val="0005341A"/>
    <w:rsid w:val="00056DEF"/>
    <w:rsid w:val="000647E6"/>
    <w:rsid w:val="000659B4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86E3D"/>
    <w:rsid w:val="000911EF"/>
    <w:rsid w:val="00095DDD"/>
    <w:rsid w:val="000962C5"/>
    <w:rsid w:val="000A4317"/>
    <w:rsid w:val="000A559C"/>
    <w:rsid w:val="000B280D"/>
    <w:rsid w:val="000B2CA1"/>
    <w:rsid w:val="000B4603"/>
    <w:rsid w:val="000B6E48"/>
    <w:rsid w:val="000B719C"/>
    <w:rsid w:val="000C140A"/>
    <w:rsid w:val="000D1F29"/>
    <w:rsid w:val="000D20D9"/>
    <w:rsid w:val="000D633D"/>
    <w:rsid w:val="000D78C8"/>
    <w:rsid w:val="000E0962"/>
    <w:rsid w:val="000E342B"/>
    <w:rsid w:val="000E38FB"/>
    <w:rsid w:val="000E5DD2"/>
    <w:rsid w:val="000F0132"/>
    <w:rsid w:val="000F2958"/>
    <w:rsid w:val="000F4229"/>
    <w:rsid w:val="000F4805"/>
    <w:rsid w:val="000F4B45"/>
    <w:rsid w:val="000F5E22"/>
    <w:rsid w:val="00104E7F"/>
    <w:rsid w:val="001137EC"/>
    <w:rsid w:val="001152F5"/>
    <w:rsid w:val="00117743"/>
    <w:rsid w:val="00117F5B"/>
    <w:rsid w:val="00126C4C"/>
    <w:rsid w:val="00132658"/>
    <w:rsid w:val="00135D27"/>
    <w:rsid w:val="00146879"/>
    <w:rsid w:val="00147DED"/>
    <w:rsid w:val="00150DC0"/>
    <w:rsid w:val="00151105"/>
    <w:rsid w:val="00156CD4"/>
    <w:rsid w:val="00161CC6"/>
    <w:rsid w:val="001632AA"/>
    <w:rsid w:val="00164A3E"/>
    <w:rsid w:val="00166FF6"/>
    <w:rsid w:val="00172C77"/>
    <w:rsid w:val="00176123"/>
    <w:rsid w:val="00181620"/>
    <w:rsid w:val="0018425D"/>
    <w:rsid w:val="0019239E"/>
    <w:rsid w:val="00195121"/>
    <w:rsid w:val="001957AD"/>
    <w:rsid w:val="001A2B7F"/>
    <w:rsid w:val="001A3AFD"/>
    <w:rsid w:val="001A496C"/>
    <w:rsid w:val="001A59E7"/>
    <w:rsid w:val="001A6304"/>
    <w:rsid w:val="001B2B6C"/>
    <w:rsid w:val="001B2FB8"/>
    <w:rsid w:val="001B3B47"/>
    <w:rsid w:val="001C1828"/>
    <w:rsid w:val="001C5CD2"/>
    <w:rsid w:val="001D01C4"/>
    <w:rsid w:val="001D52B0"/>
    <w:rsid w:val="001D5A18"/>
    <w:rsid w:val="001D7CA4"/>
    <w:rsid w:val="001E057F"/>
    <w:rsid w:val="001E14EB"/>
    <w:rsid w:val="001E1B75"/>
    <w:rsid w:val="001E1D4D"/>
    <w:rsid w:val="001F1300"/>
    <w:rsid w:val="001F59E6"/>
    <w:rsid w:val="00202014"/>
    <w:rsid w:val="00204221"/>
    <w:rsid w:val="00205550"/>
    <w:rsid w:val="00206936"/>
    <w:rsid w:val="00206C6F"/>
    <w:rsid w:val="00206FBD"/>
    <w:rsid w:val="00207746"/>
    <w:rsid w:val="00211C9A"/>
    <w:rsid w:val="00221220"/>
    <w:rsid w:val="00226C2A"/>
    <w:rsid w:val="00226CB2"/>
    <w:rsid w:val="00227FE2"/>
    <w:rsid w:val="00230031"/>
    <w:rsid w:val="00230ECE"/>
    <w:rsid w:val="00235C01"/>
    <w:rsid w:val="00235C6F"/>
    <w:rsid w:val="00235CCA"/>
    <w:rsid w:val="00236878"/>
    <w:rsid w:val="00247343"/>
    <w:rsid w:val="00247538"/>
    <w:rsid w:val="002519D0"/>
    <w:rsid w:val="0025555C"/>
    <w:rsid w:val="00256DBF"/>
    <w:rsid w:val="00264C90"/>
    <w:rsid w:val="00265C56"/>
    <w:rsid w:val="002716CD"/>
    <w:rsid w:val="00272232"/>
    <w:rsid w:val="00272FF8"/>
    <w:rsid w:val="00274D4B"/>
    <w:rsid w:val="00277E8F"/>
    <w:rsid w:val="002806F5"/>
    <w:rsid w:val="00281577"/>
    <w:rsid w:val="002926BC"/>
    <w:rsid w:val="00293A72"/>
    <w:rsid w:val="002A0160"/>
    <w:rsid w:val="002A30C3"/>
    <w:rsid w:val="002A62FE"/>
    <w:rsid w:val="002A6F6A"/>
    <w:rsid w:val="002A7712"/>
    <w:rsid w:val="002B38F7"/>
    <w:rsid w:val="002B4C0D"/>
    <w:rsid w:val="002B5591"/>
    <w:rsid w:val="002B6AA4"/>
    <w:rsid w:val="002C1FE9"/>
    <w:rsid w:val="002C6C39"/>
    <w:rsid w:val="002C7546"/>
    <w:rsid w:val="002D3A57"/>
    <w:rsid w:val="002D7D05"/>
    <w:rsid w:val="002E20C8"/>
    <w:rsid w:val="002E4290"/>
    <w:rsid w:val="002E5B94"/>
    <w:rsid w:val="002E66A6"/>
    <w:rsid w:val="002F0733"/>
    <w:rsid w:val="002F0DB1"/>
    <w:rsid w:val="002F2885"/>
    <w:rsid w:val="002F3CF1"/>
    <w:rsid w:val="002F45A1"/>
    <w:rsid w:val="002F5C89"/>
    <w:rsid w:val="00302827"/>
    <w:rsid w:val="003037F9"/>
    <w:rsid w:val="0030583E"/>
    <w:rsid w:val="00307FE1"/>
    <w:rsid w:val="00313158"/>
    <w:rsid w:val="003144F1"/>
    <w:rsid w:val="003147B3"/>
    <w:rsid w:val="003164BA"/>
    <w:rsid w:val="00316A8F"/>
    <w:rsid w:val="00320E44"/>
    <w:rsid w:val="003216EA"/>
    <w:rsid w:val="003223FE"/>
    <w:rsid w:val="003258E6"/>
    <w:rsid w:val="00342283"/>
    <w:rsid w:val="00343A87"/>
    <w:rsid w:val="003446E9"/>
    <w:rsid w:val="00344A36"/>
    <w:rsid w:val="003456F4"/>
    <w:rsid w:val="00347FB6"/>
    <w:rsid w:val="003504FD"/>
    <w:rsid w:val="00350881"/>
    <w:rsid w:val="00352467"/>
    <w:rsid w:val="00357D55"/>
    <w:rsid w:val="00363513"/>
    <w:rsid w:val="003657E5"/>
    <w:rsid w:val="0036589C"/>
    <w:rsid w:val="00366721"/>
    <w:rsid w:val="00371312"/>
    <w:rsid w:val="00371DC7"/>
    <w:rsid w:val="003765C6"/>
    <w:rsid w:val="00376BF0"/>
    <w:rsid w:val="00377B21"/>
    <w:rsid w:val="00390CE3"/>
    <w:rsid w:val="00394876"/>
    <w:rsid w:val="00394AAF"/>
    <w:rsid w:val="00394CE5"/>
    <w:rsid w:val="003A6341"/>
    <w:rsid w:val="003A68D7"/>
    <w:rsid w:val="003A7041"/>
    <w:rsid w:val="003B173F"/>
    <w:rsid w:val="003B67FD"/>
    <w:rsid w:val="003B6A61"/>
    <w:rsid w:val="003C04F7"/>
    <w:rsid w:val="003C7462"/>
    <w:rsid w:val="003D3850"/>
    <w:rsid w:val="003D42C0"/>
    <w:rsid w:val="003D5B29"/>
    <w:rsid w:val="003D7818"/>
    <w:rsid w:val="003E2445"/>
    <w:rsid w:val="003E3BB2"/>
    <w:rsid w:val="003F295A"/>
    <w:rsid w:val="003F3367"/>
    <w:rsid w:val="003F4B38"/>
    <w:rsid w:val="003F5B58"/>
    <w:rsid w:val="0040222A"/>
    <w:rsid w:val="004047BC"/>
    <w:rsid w:val="00406497"/>
    <w:rsid w:val="004100F7"/>
    <w:rsid w:val="00414CB3"/>
    <w:rsid w:val="0041563D"/>
    <w:rsid w:val="00416A43"/>
    <w:rsid w:val="00417E19"/>
    <w:rsid w:val="00420CF5"/>
    <w:rsid w:val="00422874"/>
    <w:rsid w:val="00424ADD"/>
    <w:rsid w:val="00426E25"/>
    <w:rsid w:val="00427D9C"/>
    <w:rsid w:val="00427E7E"/>
    <w:rsid w:val="004433AE"/>
    <w:rsid w:val="00443B6E"/>
    <w:rsid w:val="00445C6B"/>
    <w:rsid w:val="004521CB"/>
    <w:rsid w:val="0045420A"/>
    <w:rsid w:val="004554D4"/>
    <w:rsid w:val="00455A13"/>
    <w:rsid w:val="00457393"/>
    <w:rsid w:val="00461744"/>
    <w:rsid w:val="00466185"/>
    <w:rsid w:val="004668A7"/>
    <w:rsid w:val="00466D96"/>
    <w:rsid w:val="00467747"/>
    <w:rsid w:val="00473C98"/>
    <w:rsid w:val="00474965"/>
    <w:rsid w:val="00482DF8"/>
    <w:rsid w:val="004864DE"/>
    <w:rsid w:val="00490B86"/>
    <w:rsid w:val="00494BE5"/>
    <w:rsid w:val="00495B04"/>
    <w:rsid w:val="004A0253"/>
    <w:rsid w:val="004A0EBA"/>
    <w:rsid w:val="004A2538"/>
    <w:rsid w:val="004B0C15"/>
    <w:rsid w:val="004B35EA"/>
    <w:rsid w:val="004B60D2"/>
    <w:rsid w:val="004B69E4"/>
    <w:rsid w:val="004B715C"/>
    <w:rsid w:val="004B7373"/>
    <w:rsid w:val="004C2BF4"/>
    <w:rsid w:val="004C6C39"/>
    <w:rsid w:val="004D075F"/>
    <w:rsid w:val="004D1B76"/>
    <w:rsid w:val="004D344E"/>
    <w:rsid w:val="004E019E"/>
    <w:rsid w:val="004E06EC"/>
    <w:rsid w:val="004E0FD7"/>
    <w:rsid w:val="004E2CB7"/>
    <w:rsid w:val="004E31D1"/>
    <w:rsid w:val="004E739A"/>
    <w:rsid w:val="004E7885"/>
    <w:rsid w:val="004F016A"/>
    <w:rsid w:val="004F2206"/>
    <w:rsid w:val="004F53DB"/>
    <w:rsid w:val="00500F94"/>
    <w:rsid w:val="00502FB3"/>
    <w:rsid w:val="00503233"/>
    <w:rsid w:val="00503DE9"/>
    <w:rsid w:val="0050530C"/>
    <w:rsid w:val="00505DEA"/>
    <w:rsid w:val="00507782"/>
    <w:rsid w:val="00512A04"/>
    <w:rsid w:val="00521CC7"/>
    <w:rsid w:val="005249F5"/>
    <w:rsid w:val="005260F7"/>
    <w:rsid w:val="00526A8C"/>
    <w:rsid w:val="00530D9A"/>
    <w:rsid w:val="00543BD1"/>
    <w:rsid w:val="00546D7E"/>
    <w:rsid w:val="00556113"/>
    <w:rsid w:val="00564C12"/>
    <w:rsid w:val="005654B8"/>
    <w:rsid w:val="00566F80"/>
    <w:rsid w:val="00570D80"/>
    <w:rsid w:val="0057377F"/>
    <w:rsid w:val="005762CC"/>
    <w:rsid w:val="00582D3D"/>
    <w:rsid w:val="00583889"/>
    <w:rsid w:val="00592428"/>
    <w:rsid w:val="00595386"/>
    <w:rsid w:val="005953B0"/>
    <w:rsid w:val="005A3179"/>
    <w:rsid w:val="005A3621"/>
    <w:rsid w:val="005A402E"/>
    <w:rsid w:val="005A4AC0"/>
    <w:rsid w:val="005A5A44"/>
    <w:rsid w:val="005A5FDF"/>
    <w:rsid w:val="005B0FB7"/>
    <w:rsid w:val="005B122A"/>
    <w:rsid w:val="005B5AC2"/>
    <w:rsid w:val="005C2833"/>
    <w:rsid w:val="005C5714"/>
    <w:rsid w:val="005D1E85"/>
    <w:rsid w:val="005D654A"/>
    <w:rsid w:val="005D6C97"/>
    <w:rsid w:val="005E144D"/>
    <w:rsid w:val="005E1500"/>
    <w:rsid w:val="005E3A43"/>
    <w:rsid w:val="005E51A4"/>
    <w:rsid w:val="005F77C7"/>
    <w:rsid w:val="00600072"/>
    <w:rsid w:val="00602D16"/>
    <w:rsid w:val="00620675"/>
    <w:rsid w:val="00622910"/>
    <w:rsid w:val="00622E24"/>
    <w:rsid w:val="00627E7A"/>
    <w:rsid w:val="00630C88"/>
    <w:rsid w:val="006433C3"/>
    <w:rsid w:val="00647A30"/>
    <w:rsid w:val="00650F5B"/>
    <w:rsid w:val="00652DC0"/>
    <w:rsid w:val="00660584"/>
    <w:rsid w:val="0066511D"/>
    <w:rsid w:val="006670D7"/>
    <w:rsid w:val="00667797"/>
    <w:rsid w:val="006719EA"/>
    <w:rsid w:val="00671F13"/>
    <w:rsid w:val="0067400A"/>
    <w:rsid w:val="006747E0"/>
    <w:rsid w:val="006808AD"/>
    <w:rsid w:val="006847AD"/>
    <w:rsid w:val="00685A91"/>
    <w:rsid w:val="0069114B"/>
    <w:rsid w:val="006A4192"/>
    <w:rsid w:val="006A756A"/>
    <w:rsid w:val="006B7F49"/>
    <w:rsid w:val="006C05CD"/>
    <w:rsid w:val="006C396A"/>
    <w:rsid w:val="006C5335"/>
    <w:rsid w:val="006C7E9E"/>
    <w:rsid w:val="006D1ADA"/>
    <w:rsid w:val="006D1ECE"/>
    <w:rsid w:val="006D66F7"/>
    <w:rsid w:val="006E2EF5"/>
    <w:rsid w:val="006E3B5D"/>
    <w:rsid w:val="006F00C4"/>
    <w:rsid w:val="00702D61"/>
    <w:rsid w:val="00705C9D"/>
    <w:rsid w:val="00705F13"/>
    <w:rsid w:val="007067FB"/>
    <w:rsid w:val="0071427B"/>
    <w:rsid w:val="00714F1D"/>
    <w:rsid w:val="00715225"/>
    <w:rsid w:val="00717C37"/>
    <w:rsid w:val="00720CC6"/>
    <w:rsid w:val="00722DDB"/>
    <w:rsid w:val="00724728"/>
    <w:rsid w:val="00724AD5"/>
    <w:rsid w:val="00724F98"/>
    <w:rsid w:val="007305DB"/>
    <w:rsid w:val="00730B9B"/>
    <w:rsid w:val="0073182E"/>
    <w:rsid w:val="007332FF"/>
    <w:rsid w:val="007408F5"/>
    <w:rsid w:val="00741EAE"/>
    <w:rsid w:val="00742FF4"/>
    <w:rsid w:val="007461E4"/>
    <w:rsid w:val="00750F38"/>
    <w:rsid w:val="0075377C"/>
    <w:rsid w:val="007548C8"/>
    <w:rsid w:val="007551E1"/>
    <w:rsid w:val="00755248"/>
    <w:rsid w:val="007557E0"/>
    <w:rsid w:val="0076190B"/>
    <w:rsid w:val="0076355D"/>
    <w:rsid w:val="00763A2D"/>
    <w:rsid w:val="007761D8"/>
    <w:rsid w:val="00777795"/>
    <w:rsid w:val="0078007A"/>
    <w:rsid w:val="00783A57"/>
    <w:rsid w:val="00784261"/>
    <w:rsid w:val="00784C92"/>
    <w:rsid w:val="00785639"/>
    <w:rsid w:val="007859CD"/>
    <w:rsid w:val="00786FA3"/>
    <w:rsid w:val="0079000A"/>
    <w:rsid w:val="007907E4"/>
    <w:rsid w:val="00796461"/>
    <w:rsid w:val="00797696"/>
    <w:rsid w:val="007A6A4F"/>
    <w:rsid w:val="007B03F5"/>
    <w:rsid w:val="007B59D3"/>
    <w:rsid w:val="007B5C09"/>
    <w:rsid w:val="007B5DA2"/>
    <w:rsid w:val="007C0966"/>
    <w:rsid w:val="007C19E7"/>
    <w:rsid w:val="007C5CFD"/>
    <w:rsid w:val="007C6D9F"/>
    <w:rsid w:val="007D4893"/>
    <w:rsid w:val="007D7697"/>
    <w:rsid w:val="007E137A"/>
    <w:rsid w:val="007E70CF"/>
    <w:rsid w:val="007E74A4"/>
    <w:rsid w:val="007F263F"/>
    <w:rsid w:val="007F46EA"/>
    <w:rsid w:val="007F5579"/>
    <w:rsid w:val="008002E8"/>
    <w:rsid w:val="008051C7"/>
    <w:rsid w:val="0080669B"/>
    <w:rsid w:val="0080766E"/>
    <w:rsid w:val="008105BE"/>
    <w:rsid w:val="00811169"/>
    <w:rsid w:val="00815297"/>
    <w:rsid w:val="00817BA1"/>
    <w:rsid w:val="00821D46"/>
    <w:rsid w:val="00823022"/>
    <w:rsid w:val="0082634E"/>
    <w:rsid w:val="008313C4"/>
    <w:rsid w:val="00831BB6"/>
    <w:rsid w:val="00832B35"/>
    <w:rsid w:val="00835434"/>
    <w:rsid w:val="008358C0"/>
    <w:rsid w:val="0083798C"/>
    <w:rsid w:val="00842838"/>
    <w:rsid w:val="00852724"/>
    <w:rsid w:val="00854BE6"/>
    <w:rsid w:val="00854EC1"/>
    <w:rsid w:val="0085673E"/>
    <w:rsid w:val="00856AF5"/>
    <w:rsid w:val="00857299"/>
    <w:rsid w:val="00857307"/>
    <w:rsid w:val="0085797F"/>
    <w:rsid w:val="00861DC3"/>
    <w:rsid w:val="00865068"/>
    <w:rsid w:val="00867019"/>
    <w:rsid w:val="008735A9"/>
    <w:rsid w:val="008741FD"/>
    <w:rsid w:val="00875D67"/>
    <w:rsid w:val="00877D20"/>
    <w:rsid w:val="00881C48"/>
    <w:rsid w:val="00885590"/>
    <w:rsid w:val="00885B80"/>
    <w:rsid w:val="00885C30"/>
    <w:rsid w:val="00885E9B"/>
    <w:rsid w:val="00886C9D"/>
    <w:rsid w:val="00893C96"/>
    <w:rsid w:val="0089500A"/>
    <w:rsid w:val="00896376"/>
    <w:rsid w:val="00897C94"/>
    <w:rsid w:val="008A1B97"/>
    <w:rsid w:val="008A51A3"/>
    <w:rsid w:val="008A52F4"/>
    <w:rsid w:val="008A7C12"/>
    <w:rsid w:val="008B03CE"/>
    <w:rsid w:val="008B13D1"/>
    <w:rsid w:val="008B529E"/>
    <w:rsid w:val="008B6151"/>
    <w:rsid w:val="008B640B"/>
    <w:rsid w:val="008C17FB"/>
    <w:rsid w:val="008D1B00"/>
    <w:rsid w:val="008D57B8"/>
    <w:rsid w:val="008E0345"/>
    <w:rsid w:val="008E03FC"/>
    <w:rsid w:val="008E510B"/>
    <w:rsid w:val="008E7495"/>
    <w:rsid w:val="00902B13"/>
    <w:rsid w:val="00911941"/>
    <w:rsid w:val="009138A0"/>
    <w:rsid w:val="00915223"/>
    <w:rsid w:val="009209FB"/>
    <w:rsid w:val="00921A01"/>
    <w:rsid w:val="00925F0F"/>
    <w:rsid w:val="00930C91"/>
    <w:rsid w:val="00932F6B"/>
    <w:rsid w:val="009402D2"/>
    <w:rsid w:val="009436FF"/>
    <w:rsid w:val="009468BC"/>
    <w:rsid w:val="00954B69"/>
    <w:rsid w:val="009616DF"/>
    <w:rsid w:val="00964B22"/>
    <w:rsid w:val="0096542F"/>
    <w:rsid w:val="00965F15"/>
    <w:rsid w:val="00966B57"/>
    <w:rsid w:val="00967FA7"/>
    <w:rsid w:val="009706A0"/>
    <w:rsid w:val="009706A8"/>
    <w:rsid w:val="00971645"/>
    <w:rsid w:val="0097224F"/>
    <w:rsid w:val="00977919"/>
    <w:rsid w:val="00980452"/>
    <w:rsid w:val="00983000"/>
    <w:rsid w:val="00984D9B"/>
    <w:rsid w:val="009863A2"/>
    <w:rsid w:val="009870FA"/>
    <w:rsid w:val="009921C3"/>
    <w:rsid w:val="0099551D"/>
    <w:rsid w:val="009A383A"/>
    <w:rsid w:val="009A5897"/>
    <w:rsid w:val="009A5F24"/>
    <w:rsid w:val="009B0B3E"/>
    <w:rsid w:val="009B1913"/>
    <w:rsid w:val="009B65D2"/>
    <w:rsid w:val="009B6657"/>
    <w:rsid w:val="009B7C35"/>
    <w:rsid w:val="009C21F1"/>
    <w:rsid w:val="009D0EB5"/>
    <w:rsid w:val="009D14F9"/>
    <w:rsid w:val="009D2B74"/>
    <w:rsid w:val="009D63FF"/>
    <w:rsid w:val="009E0035"/>
    <w:rsid w:val="009E175D"/>
    <w:rsid w:val="009E2315"/>
    <w:rsid w:val="009E3CC2"/>
    <w:rsid w:val="009E4D07"/>
    <w:rsid w:val="009F06BD"/>
    <w:rsid w:val="009F2380"/>
    <w:rsid w:val="009F2A4D"/>
    <w:rsid w:val="009F3302"/>
    <w:rsid w:val="00A00828"/>
    <w:rsid w:val="00A03290"/>
    <w:rsid w:val="00A07490"/>
    <w:rsid w:val="00A10655"/>
    <w:rsid w:val="00A1197C"/>
    <w:rsid w:val="00A12B64"/>
    <w:rsid w:val="00A15DB4"/>
    <w:rsid w:val="00A22C38"/>
    <w:rsid w:val="00A25193"/>
    <w:rsid w:val="00A25466"/>
    <w:rsid w:val="00A25C46"/>
    <w:rsid w:val="00A26E80"/>
    <w:rsid w:val="00A31AE8"/>
    <w:rsid w:val="00A32EFF"/>
    <w:rsid w:val="00A3657B"/>
    <w:rsid w:val="00A3739D"/>
    <w:rsid w:val="00A37DDA"/>
    <w:rsid w:val="00A37ED8"/>
    <w:rsid w:val="00A41A99"/>
    <w:rsid w:val="00A50829"/>
    <w:rsid w:val="00A63F16"/>
    <w:rsid w:val="00A64B9B"/>
    <w:rsid w:val="00A75345"/>
    <w:rsid w:val="00A925EC"/>
    <w:rsid w:val="00A929AA"/>
    <w:rsid w:val="00A92B6B"/>
    <w:rsid w:val="00A955A9"/>
    <w:rsid w:val="00A96A0B"/>
    <w:rsid w:val="00AA4C49"/>
    <w:rsid w:val="00AA541E"/>
    <w:rsid w:val="00AB2D87"/>
    <w:rsid w:val="00AB44B9"/>
    <w:rsid w:val="00AB7CE7"/>
    <w:rsid w:val="00AC31B4"/>
    <w:rsid w:val="00AD0DA4"/>
    <w:rsid w:val="00AD134E"/>
    <w:rsid w:val="00AD1B26"/>
    <w:rsid w:val="00AD23F7"/>
    <w:rsid w:val="00AD4169"/>
    <w:rsid w:val="00AD613E"/>
    <w:rsid w:val="00AD7557"/>
    <w:rsid w:val="00AE25C6"/>
    <w:rsid w:val="00AE306C"/>
    <w:rsid w:val="00AE3A9A"/>
    <w:rsid w:val="00AE54A0"/>
    <w:rsid w:val="00AF2244"/>
    <w:rsid w:val="00AF28C1"/>
    <w:rsid w:val="00B001A3"/>
    <w:rsid w:val="00B02EF1"/>
    <w:rsid w:val="00B070B3"/>
    <w:rsid w:val="00B07C97"/>
    <w:rsid w:val="00B07EA1"/>
    <w:rsid w:val="00B11C67"/>
    <w:rsid w:val="00B15754"/>
    <w:rsid w:val="00B15A27"/>
    <w:rsid w:val="00B17C1E"/>
    <w:rsid w:val="00B2046E"/>
    <w:rsid w:val="00B20E8B"/>
    <w:rsid w:val="00B257E1"/>
    <w:rsid w:val="00B2599A"/>
    <w:rsid w:val="00B27AC4"/>
    <w:rsid w:val="00B343CC"/>
    <w:rsid w:val="00B41D06"/>
    <w:rsid w:val="00B43C75"/>
    <w:rsid w:val="00B5084A"/>
    <w:rsid w:val="00B606A1"/>
    <w:rsid w:val="00B614F7"/>
    <w:rsid w:val="00B61B26"/>
    <w:rsid w:val="00B675B2"/>
    <w:rsid w:val="00B71408"/>
    <w:rsid w:val="00B81261"/>
    <w:rsid w:val="00B8223E"/>
    <w:rsid w:val="00B832AE"/>
    <w:rsid w:val="00B86678"/>
    <w:rsid w:val="00B906C1"/>
    <w:rsid w:val="00B92F9B"/>
    <w:rsid w:val="00B941B3"/>
    <w:rsid w:val="00B96513"/>
    <w:rsid w:val="00BA1D47"/>
    <w:rsid w:val="00BA66F0"/>
    <w:rsid w:val="00BB1D43"/>
    <w:rsid w:val="00BB2239"/>
    <w:rsid w:val="00BB2AE7"/>
    <w:rsid w:val="00BB6464"/>
    <w:rsid w:val="00BC1BB8"/>
    <w:rsid w:val="00BD0F38"/>
    <w:rsid w:val="00BD5E45"/>
    <w:rsid w:val="00BD6EAD"/>
    <w:rsid w:val="00BD7FE1"/>
    <w:rsid w:val="00BE37CA"/>
    <w:rsid w:val="00BE4B2A"/>
    <w:rsid w:val="00BE6144"/>
    <w:rsid w:val="00BE635A"/>
    <w:rsid w:val="00BF17E9"/>
    <w:rsid w:val="00BF2ABB"/>
    <w:rsid w:val="00BF5099"/>
    <w:rsid w:val="00C04C2A"/>
    <w:rsid w:val="00C10F10"/>
    <w:rsid w:val="00C15D4D"/>
    <w:rsid w:val="00C175DC"/>
    <w:rsid w:val="00C30171"/>
    <w:rsid w:val="00C309D8"/>
    <w:rsid w:val="00C33998"/>
    <w:rsid w:val="00C415FF"/>
    <w:rsid w:val="00C43519"/>
    <w:rsid w:val="00C449AF"/>
    <w:rsid w:val="00C5071C"/>
    <w:rsid w:val="00C509E6"/>
    <w:rsid w:val="00C51245"/>
    <w:rsid w:val="00C51537"/>
    <w:rsid w:val="00C52BC3"/>
    <w:rsid w:val="00C5584B"/>
    <w:rsid w:val="00C61AFA"/>
    <w:rsid w:val="00C61D64"/>
    <w:rsid w:val="00C62099"/>
    <w:rsid w:val="00C63CB6"/>
    <w:rsid w:val="00C64EA3"/>
    <w:rsid w:val="00C65A5A"/>
    <w:rsid w:val="00C67611"/>
    <w:rsid w:val="00C72867"/>
    <w:rsid w:val="00C75E27"/>
    <w:rsid w:val="00C75E81"/>
    <w:rsid w:val="00C75F52"/>
    <w:rsid w:val="00C77425"/>
    <w:rsid w:val="00C86609"/>
    <w:rsid w:val="00C92B4C"/>
    <w:rsid w:val="00C9526C"/>
    <w:rsid w:val="00C954F6"/>
    <w:rsid w:val="00C95D30"/>
    <w:rsid w:val="00C9665F"/>
    <w:rsid w:val="00CA6BC5"/>
    <w:rsid w:val="00CB3E57"/>
    <w:rsid w:val="00CC1CCA"/>
    <w:rsid w:val="00CC5064"/>
    <w:rsid w:val="00CC5464"/>
    <w:rsid w:val="00CC61CD"/>
    <w:rsid w:val="00CC6AF3"/>
    <w:rsid w:val="00CD1183"/>
    <w:rsid w:val="00CD5011"/>
    <w:rsid w:val="00CE4CA7"/>
    <w:rsid w:val="00CE5576"/>
    <w:rsid w:val="00CE640F"/>
    <w:rsid w:val="00CE76BC"/>
    <w:rsid w:val="00CF540E"/>
    <w:rsid w:val="00D02F07"/>
    <w:rsid w:val="00D1431C"/>
    <w:rsid w:val="00D23346"/>
    <w:rsid w:val="00D27EBE"/>
    <w:rsid w:val="00D36A49"/>
    <w:rsid w:val="00D43983"/>
    <w:rsid w:val="00D474A5"/>
    <w:rsid w:val="00D517C6"/>
    <w:rsid w:val="00D56F84"/>
    <w:rsid w:val="00D64806"/>
    <w:rsid w:val="00D70E06"/>
    <w:rsid w:val="00D71D84"/>
    <w:rsid w:val="00D72464"/>
    <w:rsid w:val="00D741BE"/>
    <w:rsid w:val="00D768EB"/>
    <w:rsid w:val="00D80E21"/>
    <w:rsid w:val="00D82D1E"/>
    <w:rsid w:val="00D832D9"/>
    <w:rsid w:val="00D87D8A"/>
    <w:rsid w:val="00D90F00"/>
    <w:rsid w:val="00D94F6B"/>
    <w:rsid w:val="00D975C0"/>
    <w:rsid w:val="00DA5285"/>
    <w:rsid w:val="00DA6FEF"/>
    <w:rsid w:val="00DB191D"/>
    <w:rsid w:val="00DB4F91"/>
    <w:rsid w:val="00DC1EF7"/>
    <w:rsid w:val="00DC1F0F"/>
    <w:rsid w:val="00DC2392"/>
    <w:rsid w:val="00DC3117"/>
    <w:rsid w:val="00DC5DD9"/>
    <w:rsid w:val="00DC6D2D"/>
    <w:rsid w:val="00DD64C2"/>
    <w:rsid w:val="00DE0B4D"/>
    <w:rsid w:val="00DE33B5"/>
    <w:rsid w:val="00DE5E18"/>
    <w:rsid w:val="00DE6E01"/>
    <w:rsid w:val="00DF0487"/>
    <w:rsid w:val="00DF5EA4"/>
    <w:rsid w:val="00DF6F15"/>
    <w:rsid w:val="00DF7432"/>
    <w:rsid w:val="00E02681"/>
    <w:rsid w:val="00E02792"/>
    <w:rsid w:val="00E034D8"/>
    <w:rsid w:val="00E039E4"/>
    <w:rsid w:val="00E04CC0"/>
    <w:rsid w:val="00E15816"/>
    <w:rsid w:val="00E160D5"/>
    <w:rsid w:val="00E21AC5"/>
    <w:rsid w:val="00E239FF"/>
    <w:rsid w:val="00E27D7B"/>
    <w:rsid w:val="00E30556"/>
    <w:rsid w:val="00E30981"/>
    <w:rsid w:val="00E33136"/>
    <w:rsid w:val="00E34D7C"/>
    <w:rsid w:val="00E36C7E"/>
    <w:rsid w:val="00E3723D"/>
    <w:rsid w:val="00E44C89"/>
    <w:rsid w:val="00E45536"/>
    <w:rsid w:val="00E552E7"/>
    <w:rsid w:val="00E57901"/>
    <w:rsid w:val="00E61BA2"/>
    <w:rsid w:val="00E63586"/>
    <w:rsid w:val="00E63864"/>
    <w:rsid w:val="00E6403F"/>
    <w:rsid w:val="00E64725"/>
    <w:rsid w:val="00E73320"/>
    <w:rsid w:val="00E770C4"/>
    <w:rsid w:val="00E77ACA"/>
    <w:rsid w:val="00E84C5A"/>
    <w:rsid w:val="00E861DB"/>
    <w:rsid w:val="00E90FA2"/>
    <w:rsid w:val="00E93406"/>
    <w:rsid w:val="00E956C5"/>
    <w:rsid w:val="00E95C39"/>
    <w:rsid w:val="00EA2C39"/>
    <w:rsid w:val="00EB0A3C"/>
    <w:rsid w:val="00EB0A96"/>
    <w:rsid w:val="00EB3D43"/>
    <w:rsid w:val="00EB77F9"/>
    <w:rsid w:val="00EC04EE"/>
    <w:rsid w:val="00EC5769"/>
    <w:rsid w:val="00EC7D00"/>
    <w:rsid w:val="00ED0304"/>
    <w:rsid w:val="00ED087C"/>
    <w:rsid w:val="00ED6558"/>
    <w:rsid w:val="00EE38FA"/>
    <w:rsid w:val="00EE3E2C"/>
    <w:rsid w:val="00EE466C"/>
    <w:rsid w:val="00EE5D23"/>
    <w:rsid w:val="00EE750D"/>
    <w:rsid w:val="00EF3CA4"/>
    <w:rsid w:val="00EF5E1F"/>
    <w:rsid w:val="00EF7859"/>
    <w:rsid w:val="00F014DA"/>
    <w:rsid w:val="00F02591"/>
    <w:rsid w:val="00F13212"/>
    <w:rsid w:val="00F14273"/>
    <w:rsid w:val="00F15D8F"/>
    <w:rsid w:val="00F27C17"/>
    <w:rsid w:val="00F41684"/>
    <w:rsid w:val="00F479D5"/>
    <w:rsid w:val="00F5445C"/>
    <w:rsid w:val="00F5696E"/>
    <w:rsid w:val="00F60EFF"/>
    <w:rsid w:val="00F67D2D"/>
    <w:rsid w:val="00F70155"/>
    <w:rsid w:val="00F860CC"/>
    <w:rsid w:val="00F90858"/>
    <w:rsid w:val="00F92A4C"/>
    <w:rsid w:val="00F93101"/>
    <w:rsid w:val="00F94398"/>
    <w:rsid w:val="00F94BF1"/>
    <w:rsid w:val="00FA228B"/>
    <w:rsid w:val="00FA24FF"/>
    <w:rsid w:val="00FA4629"/>
    <w:rsid w:val="00FA64B4"/>
    <w:rsid w:val="00FA6B6D"/>
    <w:rsid w:val="00FB04E2"/>
    <w:rsid w:val="00FB0A2D"/>
    <w:rsid w:val="00FB2B56"/>
    <w:rsid w:val="00FB4E3A"/>
    <w:rsid w:val="00FB615B"/>
    <w:rsid w:val="00FC12BF"/>
    <w:rsid w:val="00FC16A5"/>
    <w:rsid w:val="00FC1A7C"/>
    <w:rsid w:val="00FC2C60"/>
    <w:rsid w:val="00FC64AB"/>
    <w:rsid w:val="00FD3E6F"/>
    <w:rsid w:val="00FD51B9"/>
    <w:rsid w:val="00FE0AB5"/>
    <w:rsid w:val="00FE2A39"/>
    <w:rsid w:val="00FE2EF6"/>
    <w:rsid w:val="00FF39CF"/>
    <w:rsid w:val="00FF39ED"/>
    <w:rsid w:val="00FF605E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2F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B69"/>
    <w:rPr>
      <w:rFonts w:ascii="Lato" w:hAnsi="Lato"/>
    </w:rPr>
  </w:style>
  <w:style w:type="paragraph" w:styleId="Heading1">
    <w:name w:val="heading 1"/>
    <w:basedOn w:val="Normal"/>
    <w:next w:val="Normal"/>
    <w:link w:val="Heading1Char"/>
    <w:autoRedefine/>
    <w:uiPriority w:val="2"/>
    <w:qFormat/>
    <w:rsid w:val="00366721"/>
    <w:pPr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bCs/>
      <w:color w:val="E35205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2"/>
    <w:qFormat/>
    <w:rsid w:val="003C7462"/>
    <w:pPr>
      <w:numPr>
        <w:ilvl w:val="1"/>
        <w:numId w:val="3"/>
      </w:numPr>
      <w:spacing w:before="200" w:after="120"/>
      <w:ind w:left="578" w:hanging="578"/>
      <w:outlineLvl w:val="1"/>
    </w:pPr>
    <w:rPr>
      <w:rFonts w:asciiTheme="majorHAnsi" w:eastAsiaTheme="majorEastAsia" w:hAnsiTheme="majorHAnsi" w:cstheme="majorBidi"/>
      <w:bCs/>
      <w:iCs/>
      <w:color w:val="2E979C" w:themeColor="accent3"/>
      <w:sz w:val="32"/>
      <w:szCs w:val="32"/>
      <w:lang w:eastAsia="en-AU"/>
    </w:rPr>
  </w:style>
  <w:style w:type="paragraph" w:styleId="Heading3">
    <w:name w:val="heading 3"/>
    <w:basedOn w:val="Normal"/>
    <w:next w:val="Normal"/>
    <w:link w:val="Heading3Char"/>
    <w:autoRedefine/>
    <w:uiPriority w:val="2"/>
    <w:qFormat/>
    <w:rsid w:val="009706A8"/>
    <w:pPr>
      <w:spacing w:before="240"/>
      <w:ind w:left="720"/>
      <w:outlineLvl w:val="2"/>
    </w:pPr>
    <w:rPr>
      <w:rFonts w:asciiTheme="majorHAnsi" w:hAnsiTheme="majorHAnsi" w:cs="Arial"/>
      <w:bCs/>
      <w:color w:val="3A344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2"/>
    <w:qFormat/>
    <w:rsid w:val="003C7462"/>
    <w:pPr>
      <w:spacing w:before="240" w:after="120"/>
      <w:ind w:left="862" w:hanging="862"/>
      <w:outlineLvl w:val="3"/>
    </w:pPr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C5584B"/>
    <w:pPr>
      <w:numPr>
        <w:ilvl w:val="4"/>
        <w:numId w:val="3"/>
      </w:numPr>
      <w:ind w:left="1009" w:hanging="1009"/>
      <w:outlineLvl w:val="4"/>
    </w:pPr>
    <w:rPr>
      <w:rFonts w:asciiTheme="majorHAnsi" w:hAnsiTheme="majorHAnsi"/>
      <w:color w:val="3A344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C5584B"/>
    <w:pPr>
      <w:numPr>
        <w:ilvl w:val="5"/>
        <w:numId w:val="3"/>
      </w:numPr>
      <w:ind w:left="1151" w:hanging="1151"/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C5584B"/>
    <w:pPr>
      <w:numPr>
        <w:ilvl w:val="6"/>
        <w:numId w:val="3"/>
      </w:numPr>
      <w:ind w:left="1298" w:hanging="1298"/>
      <w:outlineLvl w:val="6"/>
    </w:pPr>
    <w:rPr>
      <w:rFonts w:asciiTheme="majorHAnsi" w:hAnsiTheme="majorHAnsi"/>
      <w:color w:val="3A3440" w:themeColor="text1"/>
      <w:lang w:eastAsia="en-AU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C5584B"/>
    <w:pPr>
      <w:numPr>
        <w:ilvl w:val="7"/>
        <w:numId w:val="3"/>
      </w:numPr>
      <w:outlineLvl w:val="7"/>
    </w:pPr>
    <w:rPr>
      <w:rFonts w:asciiTheme="majorHAnsi" w:hAnsiTheme="majorHAnsi"/>
      <w:color w:val="606060"/>
      <w:lang w:eastAsia="en-AU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C5584B"/>
    <w:pPr>
      <w:numPr>
        <w:ilvl w:val="8"/>
        <w:numId w:val="3"/>
      </w:numPr>
      <w:ind w:left="1582" w:hanging="1582"/>
      <w:outlineLvl w:val="8"/>
    </w:pPr>
    <w:rPr>
      <w:rFonts w:asciiTheme="majorHAnsi" w:hAnsiTheme="majorHAnsi"/>
      <w:color w:val="3A3440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366721"/>
    <w:rPr>
      <w:rFonts w:asciiTheme="majorHAnsi" w:eastAsiaTheme="majorEastAsia" w:hAnsiTheme="majorHAnsi" w:cstheme="majorBidi"/>
      <w:bCs/>
      <w:color w:val="E35205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3C7462"/>
    <w:rPr>
      <w:rFonts w:asciiTheme="majorHAnsi" w:eastAsiaTheme="majorEastAsia" w:hAnsiTheme="majorHAnsi" w:cstheme="majorBidi"/>
      <w:bCs/>
      <w:iCs/>
      <w:color w:val="2E979C" w:themeColor="accent3"/>
      <w:sz w:val="32"/>
      <w:szCs w:val="32"/>
      <w:lang w:eastAsia="en-AU"/>
    </w:rPr>
  </w:style>
  <w:style w:type="paragraph" w:styleId="Title">
    <w:name w:val="Title"/>
    <w:basedOn w:val="Normal"/>
    <w:next w:val="Normal"/>
    <w:link w:val="TitleChar"/>
    <w:autoRedefine/>
    <w:qFormat/>
    <w:rsid w:val="00366721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366721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9706A8"/>
    <w:rPr>
      <w:rFonts w:asciiTheme="majorHAnsi" w:hAnsiTheme="majorHAnsi" w:cs="Arial"/>
      <w:bCs/>
      <w:color w:val="3A3440" w:themeColor="text1"/>
      <w:sz w:val="28"/>
      <w:szCs w:val="28"/>
    </w:rPr>
  </w:style>
  <w:style w:type="paragraph" w:styleId="BlockText">
    <w:name w:val="Block Text"/>
    <w:basedOn w:val="Normal"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FC16A5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FC16A5"/>
    <w:rPr>
      <w:rFonts w:ascii="Lato" w:hAnsi="Lato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4E788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E7885"/>
    <w:rPr>
      <w:rFonts w:ascii="Lato" w:hAnsi="Lato"/>
    </w:rPr>
  </w:style>
  <w:style w:type="paragraph" w:customStyle="1" w:styleId="Subtitle0">
    <w:name w:val="Sub title"/>
    <w:basedOn w:val="Normal"/>
    <w:autoRedefine/>
    <w:uiPriority w:val="1"/>
    <w:qFormat/>
    <w:rsid w:val="00366721"/>
    <w:pPr>
      <w:numPr>
        <w:ilvl w:val="1"/>
      </w:numPr>
      <w:spacing w:after="160"/>
    </w:pPr>
    <w:rPr>
      <w:rFonts w:ascii="Lato Semibold" w:eastAsia="Times New Roman" w:hAnsi="Lato Semibold"/>
      <w:color w:val="E35205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3C7462"/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C5584B"/>
    <w:rPr>
      <w:rFonts w:asciiTheme="majorHAnsi" w:hAnsiTheme="majorHAnsi"/>
      <w:color w:val="3A3440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C5584B"/>
    <w:rPr>
      <w:rFonts w:asciiTheme="majorHAnsi" w:hAnsiTheme="majorHAnsi"/>
      <w:color w:val="3A3440" w:themeColor="text1"/>
      <w:lang w:eastAsia="en-AU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C5584B"/>
    <w:rPr>
      <w:rFonts w:asciiTheme="majorHAnsi" w:hAnsiTheme="majorHAnsi"/>
      <w:color w:val="3A3440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qFormat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22874"/>
    <w:pPr>
      <w:numPr>
        <w:numId w:val="0"/>
      </w:num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2F3CF1"/>
    <w:pPr>
      <w:tabs>
        <w:tab w:val="right" w:leader="dot" w:pos="10318"/>
      </w:tabs>
      <w:spacing w:before="120"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F3CF1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9"/>
      </w:numPr>
    </w:pPr>
  </w:style>
  <w:style w:type="paragraph" w:styleId="Caption">
    <w:name w:val="caption"/>
    <w:basedOn w:val="Normal"/>
    <w:next w:val="Normal"/>
    <w:uiPriority w:val="8"/>
    <w:rsid w:val="00AD7557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954B69"/>
    <w:pPr>
      <w:spacing w:before="40" w:after="40"/>
    </w:pPr>
    <w:rPr>
      <w:rFonts w:ascii="Lato" w:hAnsi="Lato"/>
    </w:rPr>
    <w:tblPr>
      <w:tblStyleRowBandSize w:val="1"/>
      <w:tblStyleColBandSize w:val="1"/>
      <w:tblBorders>
        <w:top w:val="single" w:sz="4" w:space="0" w:color="3A3440" w:themeColor="text1"/>
        <w:left w:val="single" w:sz="4" w:space="0" w:color="3A3440" w:themeColor="text1"/>
        <w:bottom w:val="single" w:sz="4" w:space="0" w:color="3A3440" w:themeColor="text1"/>
        <w:right w:val="single" w:sz="4" w:space="0" w:color="3A3440" w:themeColor="text1"/>
        <w:insideV w:val="single" w:sz="4" w:space="0" w:color="3A3440" w:themeColor="text1"/>
      </w:tblBorders>
    </w:tblPr>
    <w:tcPr>
      <w:vAlign w:val="center"/>
    </w:tcPr>
    <w:tblStylePr w:type="firstRow">
      <w:rPr>
        <w:b/>
        <w:color w:val="FFFFFF" w:themeColor="background1"/>
        <w:sz w:val="22"/>
      </w:rPr>
      <w:tblPr/>
      <w:tcPr>
        <w:shd w:val="clear" w:color="auto" w:fill="3A344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3A3440" w:themeColor="text1"/>
          <w:left w:val="single" w:sz="4" w:space="0" w:color="3A3440" w:themeColor="text1"/>
          <w:bottom w:val="single" w:sz="4" w:space="0" w:color="3A3440" w:themeColor="text1"/>
          <w:right w:val="single" w:sz="4" w:space="0" w:color="3A3440" w:themeColor="text1"/>
        </w:tcBorders>
      </w:tcPr>
    </w:tblStylePr>
    <w:tblStylePr w:type="firstCol">
      <w:rPr>
        <w:b w:val="0"/>
        <w:sz w:val="22"/>
      </w:rPr>
    </w:tblStylePr>
    <w:tblStylePr w:type="lastCol">
      <w:rPr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sz w:val="22"/>
      </w:rPr>
    </w:tblStylePr>
    <w:tblStylePr w:type="nwCell">
      <w:rPr>
        <w:sz w:val="22"/>
      </w:rPr>
    </w:tblStylePr>
    <w:tblStylePr w:type="seCell">
      <w:rPr>
        <w:sz w:val="22"/>
      </w:rPr>
    </w:tblStylePr>
    <w:tblStylePr w:type="swCell">
      <w:rPr>
        <w:sz w:val="22"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B6E4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E4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6E4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769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769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7696"/>
    <w:rPr>
      <w:vertAlign w:val="superscript"/>
    </w:rPr>
  </w:style>
  <w:style w:type="table" w:styleId="GridTable4-Accent2">
    <w:name w:val="Grid Table 4 Accent 2"/>
    <w:basedOn w:val="TableNormal"/>
    <w:uiPriority w:val="49"/>
    <w:rsid w:val="0075377C"/>
    <w:pPr>
      <w:spacing w:after="0"/>
    </w:pPr>
    <w:tblPr>
      <w:tblStyleRowBandSize w:val="1"/>
      <w:tblStyleColBandSize w:val="1"/>
      <w:tblBorders>
        <w:top w:val="single" w:sz="4" w:space="0" w:color="0461FF" w:themeColor="accent2" w:themeTint="99"/>
        <w:left w:val="single" w:sz="4" w:space="0" w:color="0461FF" w:themeColor="accent2" w:themeTint="99"/>
        <w:bottom w:val="single" w:sz="4" w:space="0" w:color="0461FF" w:themeColor="accent2" w:themeTint="99"/>
        <w:right w:val="single" w:sz="4" w:space="0" w:color="0461FF" w:themeColor="accent2" w:themeTint="99"/>
        <w:insideH w:val="single" w:sz="4" w:space="0" w:color="0461FF" w:themeColor="accent2" w:themeTint="99"/>
        <w:insideV w:val="single" w:sz="4" w:space="0" w:color="0461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35D" w:themeColor="accent2"/>
          <w:left w:val="single" w:sz="4" w:space="0" w:color="00235D" w:themeColor="accent2"/>
          <w:bottom w:val="single" w:sz="4" w:space="0" w:color="00235D" w:themeColor="accent2"/>
          <w:right w:val="single" w:sz="4" w:space="0" w:color="00235D" w:themeColor="accent2"/>
          <w:insideH w:val="nil"/>
          <w:insideV w:val="nil"/>
        </w:tcBorders>
        <w:shd w:val="clear" w:color="auto" w:fill="00235D" w:themeFill="accent2"/>
      </w:tcPr>
    </w:tblStylePr>
    <w:tblStylePr w:type="lastRow">
      <w:rPr>
        <w:b/>
        <w:bCs/>
      </w:rPr>
      <w:tblPr/>
      <w:tcPr>
        <w:tcBorders>
          <w:top w:val="double" w:sz="4" w:space="0" w:color="002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AFF" w:themeFill="accent2" w:themeFillTint="33"/>
      </w:tcPr>
    </w:tblStylePr>
    <w:tblStylePr w:type="band1Horz">
      <w:tblPr/>
      <w:tcPr>
        <w:shd w:val="clear" w:color="auto" w:fill="ABCAFF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75377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CA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35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35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35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35D" w:themeFill="accent2"/>
      </w:tcPr>
    </w:tblStylePr>
    <w:tblStylePr w:type="band1Vert">
      <w:tblPr/>
      <w:tcPr>
        <w:shd w:val="clear" w:color="auto" w:fill="5896FF" w:themeFill="accent2" w:themeFillTint="66"/>
      </w:tcPr>
    </w:tblStylePr>
    <w:tblStylePr w:type="band1Horz">
      <w:tblPr/>
      <w:tcPr>
        <w:shd w:val="clear" w:color="auto" w:fill="5896FF" w:themeFill="accent2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26C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5A5A"/>
    <w:rPr>
      <w:color w:val="0D5D90" w:themeColor="followedHyperlink"/>
      <w:u w:val="single"/>
    </w:rPr>
  </w:style>
  <w:style w:type="paragraph" w:styleId="Revision">
    <w:name w:val="Revision"/>
    <w:hidden/>
    <w:uiPriority w:val="99"/>
    <w:semiHidden/>
    <w:rsid w:val="00E552E7"/>
    <w:pPr>
      <w:spacing w:after="0"/>
    </w:pPr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E55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52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52E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2E7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2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nt.gov.au/employ/for-employers-in-nt/skills-existing-and-needed/hard-to-fill-jobs-in-the-nt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TG branding">
  <a:themeElements>
    <a:clrScheme name="NTG 2025">
      <a:dk1>
        <a:srgbClr val="3A3440"/>
      </a:dk1>
      <a:lt1>
        <a:sysClr val="window" lastClr="FFFFFF"/>
      </a:lt1>
      <a:dk2>
        <a:srgbClr val="E35205"/>
      </a:dk2>
      <a:lt2>
        <a:srgbClr val="FFFFFF"/>
      </a:lt2>
      <a:accent1>
        <a:srgbClr val="FA3E00"/>
      </a:accent1>
      <a:accent2>
        <a:srgbClr val="00235D"/>
      </a:accent2>
      <a:accent3>
        <a:srgbClr val="2E979C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G_theme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8A5F84-2FC7-407B-95B3-30533F29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2025-10-28T04:22:00Z</dcterms:created>
  <dcterms:modified xsi:type="dcterms:W3CDTF">2025-10-28T04:27:00Z</dcterms:modified>
</cp:coreProperties>
</file>