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3BA4">
      <w:pPr>
        <w:pStyle w:val="Gazettenoanddate"/>
        <w:tabs>
          <w:tab w:val="left" w:pos="7230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3055C7">
        <w:t>44</w:t>
      </w:r>
      <w:r w:rsidR="00D35922">
        <w:tab/>
        <w:t>18</w:t>
      </w:r>
      <w:r w:rsidR="00C67E8E">
        <w:t xml:space="preserve"> May</w:t>
      </w:r>
      <w:r>
        <w:t xml:space="preserve"> 2016</w:t>
      </w:r>
    </w:p>
    <w:p w:rsidR="00473BEE" w:rsidRPr="0018042E" w:rsidRDefault="00DF27CA" w:rsidP="00DF27CA">
      <w:pPr>
        <w:spacing w:before="480" w:after="120"/>
        <w:jc w:val="center"/>
        <w:rPr>
          <w:rFonts w:cs="Calibri"/>
          <w:szCs w:val="24"/>
        </w:rPr>
      </w:pPr>
      <w:r w:rsidRPr="0018042E">
        <w:rPr>
          <w:rFonts w:cs="Calibri"/>
          <w:szCs w:val="24"/>
        </w:rPr>
        <w:t>Northern Territory of Australia</w:t>
      </w:r>
    </w:p>
    <w:p w:rsidR="00473BEE" w:rsidRPr="0018042E" w:rsidRDefault="00473BEE" w:rsidP="00473BEE">
      <w:pPr>
        <w:tabs>
          <w:tab w:val="center" w:pos="4513"/>
        </w:tabs>
        <w:spacing w:after="120"/>
        <w:jc w:val="center"/>
        <w:rPr>
          <w:rFonts w:cs="Calibri"/>
          <w:i/>
          <w:szCs w:val="24"/>
        </w:rPr>
      </w:pPr>
      <w:r w:rsidRPr="0018042E">
        <w:rPr>
          <w:rFonts w:cs="Calibri"/>
          <w:i/>
          <w:szCs w:val="24"/>
        </w:rPr>
        <w:t>Motor Vehicles Act</w:t>
      </w:r>
    </w:p>
    <w:p w:rsidR="00473BEE" w:rsidRPr="0018042E" w:rsidRDefault="00DF27CA" w:rsidP="00473BEE">
      <w:pPr>
        <w:tabs>
          <w:tab w:val="center" w:pos="4513"/>
        </w:tabs>
        <w:spacing w:after="120"/>
        <w:jc w:val="center"/>
        <w:rPr>
          <w:rFonts w:cs="Calibri"/>
          <w:szCs w:val="24"/>
        </w:rPr>
      </w:pPr>
      <w:r w:rsidRPr="0018042E">
        <w:rPr>
          <w:rFonts w:cs="Calibri"/>
          <w:szCs w:val="24"/>
        </w:rPr>
        <w:t>Compensation Contributions</w:t>
      </w:r>
    </w:p>
    <w:p w:rsidR="00473BEE" w:rsidRPr="0018042E" w:rsidRDefault="00473BEE" w:rsidP="00473BEE">
      <w:pPr>
        <w:tabs>
          <w:tab w:val="left" w:pos="8640"/>
        </w:tabs>
        <w:spacing w:after="120"/>
        <w:rPr>
          <w:rFonts w:cs="Calibri"/>
          <w:szCs w:val="24"/>
        </w:rPr>
      </w:pPr>
      <w:r w:rsidRPr="0018042E">
        <w:rPr>
          <w:rFonts w:cs="Calibri"/>
          <w:szCs w:val="24"/>
        </w:rPr>
        <w:t xml:space="preserve">I, David William Tollner, Treasurer, under section 47(1) of the </w:t>
      </w:r>
      <w:r w:rsidRPr="0018042E">
        <w:rPr>
          <w:rFonts w:cs="Calibri"/>
          <w:i/>
          <w:szCs w:val="24"/>
        </w:rPr>
        <w:t>Motor Vehicles Act</w:t>
      </w:r>
      <w:r w:rsidRPr="0018042E">
        <w:rPr>
          <w:rFonts w:cs="Calibri"/>
          <w:szCs w:val="24"/>
        </w:rPr>
        <w:t>, declare</w:t>
      </w:r>
      <w:r>
        <w:rPr>
          <w:rFonts w:cs="Calibri"/>
          <w:szCs w:val="24"/>
        </w:rPr>
        <w:t xml:space="preserve"> that</w:t>
      </w:r>
      <w:r w:rsidRPr="0018042E">
        <w:rPr>
          <w:rFonts w:cs="Calibri"/>
          <w:szCs w:val="24"/>
        </w:rPr>
        <w:t xml:space="preserve">, for the class of vehicle or plate described in the Schedule, the amount stated opposite is the amount of compensation contributions payable </w:t>
      </w:r>
      <w:r>
        <w:rPr>
          <w:rFonts w:cs="Calibri"/>
          <w:szCs w:val="24"/>
        </w:rPr>
        <w:t xml:space="preserve">for any of the following from 1 July </w:t>
      </w:r>
      <w:r w:rsidRPr="0018042E">
        <w:rPr>
          <w:rFonts w:cs="Calibri"/>
          <w:szCs w:val="24"/>
        </w:rPr>
        <w:t>201</w:t>
      </w:r>
      <w:r>
        <w:rPr>
          <w:rFonts w:cs="Calibri"/>
          <w:szCs w:val="24"/>
        </w:rPr>
        <w:t>6</w:t>
      </w:r>
      <w:r w:rsidRPr="0018042E">
        <w:rPr>
          <w:rFonts w:cs="Calibri"/>
          <w:szCs w:val="24"/>
        </w:rPr>
        <w:t>:</w:t>
      </w:r>
    </w:p>
    <w:p w:rsidR="00473BEE" w:rsidRPr="0018042E" w:rsidRDefault="00473BEE" w:rsidP="00473BEE">
      <w:pPr>
        <w:tabs>
          <w:tab w:val="left" w:pos="8640"/>
        </w:tabs>
        <w:spacing w:after="120"/>
        <w:ind w:left="720" w:hanging="720"/>
        <w:rPr>
          <w:rFonts w:cs="Calibri"/>
          <w:szCs w:val="24"/>
        </w:rPr>
      </w:pPr>
      <w:r w:rsidRPr="0018042E">
        <w:rPr>
          <w:rFonts w:cs="Calibri"/>
          <w:szCs w:val="24"/>
        </w:rPr>
        <w:t>(a)</w:t>
      </w:r>
      <w:r w:rsidRPr="0018042E">
        <w:rPr>
          <w:rFonts w:cs="Calibri"/>
          <w:szCs w:val="24"/>
        </w:rPr>
        <w:tab/>
        <w:t>the grant or renewal of the registration of a motor vehicle;</w:t>
      </w:r>
    </w:p>
    <w:p w:rsidR="00473BEE" w:rsidRPr="0018042E" w:rsidRDefault="00473BEE" w:rsidP="00473BEE">
      <w:pPr>
        <w:spacing w:after="120"/>
        <w:ind w:left="720" w:hanging="720"/>
        <w:rPr>
          <w:rFonts w:cs="Calibri"/>
          <w:szCs w:val="24"/>
        </w:rPr>
      </w:pPr>
      <w:r w:rsidRPr="0018042E">
        <w:rPr>
          <w:rFonts w:cs="Calibri"/>
          <w:szCs w:val="24"/>
        </w:rPr>
        <w:t>(b)</w:t>
      </w:r>
      <w:r w:rsidRPr="0018042E">
        <w:rPr>
          <w:rFonts w:cs="Calibri"/>
          <w:szCs w:val="24"/>
        </w:rPr>
        <w:tab/>
        <w:t>the grant or renewal of a pastoral vehicle permit;</w:t>
      </w:r>
    </w:p>
    <w:p w:rsidR="00473BEE" w:rsidRPr="0018042E" w:rsidRDefault="00473BEE" w:rsidP="00473BEE">
      <w:pPr>
        <w:spacing w:after="120"/>
        <w:ind w:left="720" w:hanging="720"/>
        <w:rPr>
          <w:rFonts w:cs="Calibri"/>
          <w:szCs w:val="24"/>
        </w:rPr>
      </w:pPr>
      <w:r w:rsidRPr="0018042E">
        <w:rPr>
          <w:rFonts w:cs="Calibri"/>
          <w:szCs w:val="24"/>
        </w:rPr>
        <w:t>(c)</w:t>
      </w:r>
      <w:r w:rsidRPr="0018042E">
        <w:rPr>
          <w:rFonts w:cs="Calibri"/>
          <w:szCs w:val="24"/>
        </w:rPr>
        <w:tab/>
        <w:t>the grant of an exemption from registration of a visiting motor vehicle under section 8A of the Act;</w:t>
      </w:r>
    </w:p>
    <w:p w:rsidR="00473BEE" w:rsidRPr="0018042E" w:rsidRDefault="00473BEE" w:rsidP="00473BEE">
      <w:pPr>
        <w:spacing w:after="120"/>
        <w:ind w:left="720" w:hanging="720"/>
        <w:rPr>
          <w:rFonts w:cs="Calibri"/>
          <w:szCs w:val="24"/>
        </w:rPr>
      </w:pPr>
      <w:r w:rsidRPr="0018042E">
        <w:rPr>
          <w:rFonts w:cs="Calibri"/>
          <w:szCs w:val="24"/>
        </w:rPr>
        <w:t>(d)</w:t>
      </w:r>
      <w:r w:rsidRPr="0018042E">
        <w:rPr>
          <w:rFonts w:cs="Calibri"/>
          <w:szCs w:val="24"/>
        </w:rPr>
        <w:tab/>
        <w:t xml:space="preserve">the grant of a </w:t>
      </w:r>
      <w:proofErr w:type="spellStart"/>
      <w:r w:rsidRPr="0018042E">
        <w:rPr>
          <w:rFonts w:cs="Calibri"/>
          <w:szCs w:val="24"/>
        </w:rPr>
        <w:t>licence</w:t>
      </w:r>
      <w:proofErr w:type="spellEnd"/>
      <w:r w:rsidRPr="0018042E">
        <w:rPr>
          <w:rFonts w:cs="Calibri"/>
          <w:szCs w:val="24"/>
        </w:rPr>
        <w:t xml:space="preserve"> under section 137 of the Act; </w:t>
      </w:r>
    </w:p>
    <w:p w:rsidR="00473BEE" w:rsidRPr="0018042E" w:rsidRDefault="00473BEE" w:rsidP="00473BEE">
      <w:pPr>
        <w:spacing w:after="120"/>
        <w:ind w:left="720" w:hanging="720"/>
        <w:rPr>
          <w:rFonts w:cs="Calibri"/>
          <w:szCs w:val="24"/>
        </w:rPr>
      </w:pPr>
      <w:r w:rsidRPr="0018042E">
        <w:rPr>
          <w:rFonts w:cs="Calibri"/>
          <w:szCs w:val="24"/>
        </w:rPr>
        <w:t>(e)</w:t>
      </w:r>
      <w:r w:rsidRPr="0018042E">
        <w:rPr>
          <w:rFonts w:cs="Calibri"/>
          <w:szCs w:val="24"/>
        </w:rPr>
        <w:tab/>
        <w:t>the issuing of a trader's plate;</w:t>
      </w:r>
    </w:p>
    <w:p w:rsidR="00473BEE" w:rsidRPr="0018042E" w:rsidRDefault="00473BEE" w:rsidP="00473BEE">
      <w:pPr>
        <w:tabs>
          <w:tab w:val="left" w:pos="8640"/>
        </w:tabs>
        <w:ind w:left="720" w:hanging="720"/>
        <w:rPr>
          <w:rFonts w:cs="Calibri"/>
          <w:szCs w:val="24"/>
        </w:rPr>
      </w:pPr>
      <w:r w:rsidRPr="0018042E">
        <w:rPr>
          <w:rFonts w:cs="Calibri"/>
          <w:szCs w:val="24"/>
        </w:rPr>
        <w:t>(f)</w:t>
      </w:r>
      <w:r w:rsidRPr="0018042E">
        <w:rPr>
          <w:rFonts w:cs="Calibri"/>
          <w:szCs w:val="24"/>
        </w:rPr>
        <w:tab/>
        <w:t xml:space="preserve">an application for registration or re-registration under </w:t>
      </w:r>
      <w:r w:rsidRPr="00EA4057">
        <w:rPr>
          <w:rFonts w:cs="Calibri"/>
          <w:szCs w:val="24"/>
        </w:rPr>
        <w:t>the</w:t>
      </w:r>
      <w:r w:rsidRPr="0018042E">
        <w:rPr>
          <w:rFonts w:cs="Calibri"/>
          <w:i/>
          <w:szCs w:val="24"/>
        </w:rPr>
        <w:t xml:space="preserve"> </w:t>
      </w:r>
      <w:r>
        <w:rPr>
          <w:rFonts w:cs="Calibri"/>
          <w:i/>
          <w:szCs w:val="24"/>
        </w:rPr>
        <w:br/>
      </w:r>
      <w:r w:rsidRPr="0018042E">
        <w:rPr>
          <w:rFonts w:cs="Calibri"/>
          <w:i/>
          <w:szCs w:val="24"/>
        </w:rPr>
        <w:t>Interstate Road Transport Act 1985</w:t>
      </w:r>
      <w:r w:rsidRPr="0018042E">
        <w:rPr>
          <w:rFonts w:cs="Calibri"/>
          <w:szCs w:val="24"/>
        </w:rPr>
        <w:t xml:space="preserve"> (</w:t>
      </w:r>
      <w:proofErr w:type="spellStart"/>
      <w:r w:rsidRPr="0018042E">
        <w:rPr>
          <w:rFonts w:cs="Calibri"/>
          <w:szCs w:val="24"/>
        </w:rPr>
        <w:t>Cth</w:t>
      </w:r>
      <w:proofErr w:type="spellEnd"/>
      <w:r w:rsidRPr="0018042E">
        <w:rPr>
          <w:rFonts w:cs="Calibri"/>
          <w:szCs w:val="24"/>
        </w:rPr>
        <w:t>) of a motor vehicle or trailer.</w:t>
      </w:r>
    </w:p>
    <w:p w:rsidR="00473BEE" w:rsidRPr="0018042E" w:rsidRDefault="00473BEE" w:rsidP="00DF27CA">
      <w:pPr>
        <w:tabs>
          <w:tab w:val="left" w:pos="8640"/>
        </w:tabs>
        <w:spacing w:before="240" w:after="240"/>
        <w:rPr>
          <w:rFonts w:cs="Calibri"/>
          <w:szCs w:val="24"/>
        </w:rPr>
      </w:pPr>
      <w:r w:rsidRPr="0018042E">
        <w:rPr>
          <w:rFonts w:cs="Calibri"/>
          <w:szCs w:val="24"/>
        </w:rPr>
        <w:t>Dated</w:t>
      </w:r>
      <w:r w:rsidR="00DF27CA">
        <w:rPr>
          <w:rFonts w:cs="Calibri"/>
          <w:szCs w:val="24"/>
        </w:rPr>
        <w:t xml:space="preserve"> 11 May 2016</w:t>
      </w:r>
    </w:p>
    <w:p w:rsidR="00473BEE" w:rsidRPr="0018042E" w:rsidRDefault="00DF27CA" w:rsidP="00DF27CA">
      <w:pPr>
        <w:tabs>
          <w:tab w:val="left" w:pos="8640"/>
        </w:tabs>
        <w:spacing w:before="240" w:after="0"/>
        <w:jc w:val="right"/>
        <w:rPr>
          <w:rFonts w:cs="Calibri"/>
          <w:szCs w:val="24"/>
        </w:rPr>
      </w:pPr>
      <w:r>
        <w:rPr>
          <w:rFonts w:cs="Calibri"/>
          <w:szCs w:val="24"/>
        </w:rPr>
        <w:t>D. W. Tollner</w:t>
      </w:r>
    </w:p>
    <w:p w:rsidR="00473BEE" w:rsidRPr="0018042E" w:rsidRDefault="00473BEE" w:rsidP="00DF27CA">
      <w:pPr>
        <w:tabs>
          <w:tab w:val="right" w:pos="9026"/>
        </w:tabs>
        <w:spacing w:before="0"/>
        <w:jc w:val="right"/>
        <w:rPr>
          <w:rFonts w:cs="Calibri"/>
          <w:szCs w:val="24"/>
        </w:rPr>
      </w:pPr>
      <w:r w:rsidRPr="0018042E">
        <w:rPr>
          <w:rFonts w:cs="Calibri"/>
          <w:szCs w:val="24"/>
        </w:rPr>
        <w:t>Treasurer</w:t>
      </w:r>
    </w:p>
    <w:p w:rsidR="00473BEE" w:rsidRPr="0018042E" w:rsidRDefault="00BA2373" w:rsidP="003262A7">
      <w:pPr>
        <w:pageBreakBefore/>
        <w:tabs>
          <w:tab w:val="center" w:pos="4801"/>
        </w:tabs>
        <w:spacing w:before="0" w:after="0"/>
        <w:jc w:val="center"/>
        <w:rPr>
          <w:rFonts w:cs="Calibri"/>
          <w:szCs w:val="24"/>
        </w:rPr>
      </w:pPr>
      <w:r w:rsidRPr="0018042E">
        <w:rPr>
          <w:rFonts w:cs="Calibri"/>
          <w:szCs w:val="24"/>
        </w:rPr>
        <w:lastRenderedPageBreak/>
        <w:t>Schedule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chedule"/>
        <w:tblDescription w:val="Item, Class of Vehicle or Plate, Amount"/>
      </w:tblPr>
      <w:tblGrid>
        <w:gridCol w:w="1384"/>
        <w:gridCol w:w="284"/>
        <w:gridCol w:w="283"/>
        <w:gridCol w:w="142"/>
        <w:gridCol w:w="24"/>
        <w:gridCol w:w="4795"/>
        <w:gridCol w:w="1843"/>
      </w:tblGrid>
      <w:tr w:rsidR="00473BEE" w:rsidRPr="0018042E" w:rsidTr="00981054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jc w:val="center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Item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jc w:val="center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Class of Vehicle or Plate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jc w:val="center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Amount ($)</w:t>
            </w:r>
          </w:p>
        </w:tc>
      </w:tr>
      <w:tr w:rsidR="00473BEE" w:rsidRPr="0018042E" w:rsidTr="00981054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A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Private motor vehicle and derivatives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vehicle not otherwise specified in this Schedule, being:</w:t>
            </w:r>
          </w:p>
          <w:p w:rsidR="00473BEE" w:rsidRPr="0018042E" w:rsidRDefault="00473BEE" w:rsidP="00473BEE">
            <w:pPr>
              <w:widowControl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01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</w:t>
            </w:r>
            <w:r>
              <w:rPr>
                <w:rFonts w:cs="Calibri"/>
                <w:szCs w:val="24"/>
              </w:rPr>
              <w:t xml:space="preserve"> </w:t>
            </w:r>
            <w:r w:rsidRPr="0018042E">
              <w:rPr>
                <w:rFonts w:cs="Calibri"/>
                <w:szCs w:val="24"/>
              </w:rPr>
              <w:t xml:space="preserve">private motor vehicle (being a motor vehicle used for social, </w:t>
            </w:r>
            <w:r>
              <w:rPr>
                <w:rFonts w:cs="Calibri"/>
                <w:szCs w:val="24"/>
              </w:rPr>
              <w:t xml:space="preserve">domestic or pleasure purposes); </w:t>
            </w:r>
            <w:r w:rsidRPr="0018042E">
              <w:rPr>
                <w:rFonts w:cs="Calibri"/>
                <w:szCs w:val="24"/>
              </w:rPr>
              <w:t>or</w:t>
            </w:r>
          </w:p>
          <w:p w:rsidR="00473BEE" w:rsidRPr="0018042E" w:rsidRDefault="00473BEE" w:rsidP="00473BEE">
            <w:pPr>
              <w:widowControl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01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business vehicle (being a motor vehicle used for busi</w:t>
            </w:r>
            <w:r>
              <w:rPr>
                <w:rFonts w:cs="Calibri"/>
                <w:szCs w:val="24"/>
              </w:rPr>
              <w:t xml:space="preserve">ness or professional purposes); </w:t>
            </w:r>
            <w:r w:rsidRPr="0018042E">
              <w:rPr>
                <w:rFonts w:cs="Calibri"/>
                <w:szCs w:val="24"/>
              </w:rPr>
              <w:t xml:space="preserve">or </w:t>
            </w:r>
          </w:p>
          <w:p w:rsidR="00473BEE" w:rsidRPr="0018042E" w:rsidRDefault="00473BEE" w:rsidP="00473BEE">
            <w:pPr>
              <w:widowControl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01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goods carrying vehicle (being a motor vehicle constructed or adapted primarily for the carriage</w:t>
            </w:r>
            <w:r>
              <w:rPr>
                <w:rFonts w:cs="Calibri"/>
                <w:szCs w:val="24"/>
              </w:rPr>
              <w:t xml:space="preserve"> of goods and not exceeding 4.5 </w:t>
            </w:r>
            <w:proofErr w:type="spellStart"/>
            <w:r w:rsidRPr="0018042E">
              <w:rPr>
                <w:rFonts w:cs="Calibri"/>
                <w:szCs w:val="24"/>
              </w:rPr>
              <w:t>tonnes</w:t>
            </w:r>
            <w:proofErr w:type="spellEnd"/>
            <w:r w:rsidRPr="0018042E">
              <w:rPr>
                <w:rFonts w:cs="Calibri"/>
                <w:szCs w:val="24"/>
              </w:rPr>
              <w:t xml:space="preserve"> gross vehicle mass); or</w:t>
            </w:r>
          </w:p>
          <w:p w:rsidR="00473BEE" w:rsidRPr="0018042E" w:rsidRDefault="00473BEE" w:rsidP="00473BEE">
            <w:pPr>
              <w:widowControl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01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omnibus (used exclusively for private purposes)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rPr>
          <w:trHeight w:val="8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B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Goods carrying vehicle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vehicle constructed or adapted primarily for the carriage of goods and exceeding 4.5</w:t>
            </w:r>
            <w:r>
              <w:rPr>
                <w:rFonts w:cs="Calibri"/>
                <w:szCs w:val="24"/>
              </w:rPr>
              <w:t> </w:t>
            </w:r>
            <w:proofErr w:type="spellStart"/>
            <w:r w:rsidRPr="0018042E">
              <w:rPr>
                <w:rFonts w:cs="Calibri"/>
                <w:szCs w:val="24"/>
              </w:rPr>
              <w:t>tonnes</w:t>
            </w:r>
            <w:proofErr w:type="spellEnd"/>
            <w:r w:rsidRPr="0018042E">
              <w:rPr>
                <w:rFonts w:cs="Calibri"/>
                <w:szCs w:val="24"/>
              </w:rPr>
              <w:t xml:space="preserve"> gross vehicle mass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C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Commercial passenger vehicle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commercial passenger</w:t>
            </w:r>
            <w:r>
              <w:rPr>
                <w:rFonts w:cs="Calibri"/>
                <w:szCs w:val="24"/>
              </w:rPr>
              <w:t xml:space="preserve"> vehicle (as defined in section </w:t>
            </w:r>
            <w:r w:rsidRPr="0018042E">
              <w:rPr>
                <w:rFonts w:cs="Calibri"/>
                <w:szCs w:val="24"/>
              </w:rPr>
              <w:t xml:space="preserve">3(1) of the </w:t>
            </w:r>
            <w:r w:rsidRPr="00D50A1B">
              <w:rPr>
                <w:rFonts w:cs="Calibri"/>
                <w:i/>
                <w:szCs w:val="24"/>
              </w:rPr>
              <w:t>Commercial Passenger (Road) Transport Act</w:t>
            </w:r>
            <w:r w:rsidRPr="0018042E">
              <w:rPr>
                <w:rFonts w:cs="Calibri"/>
                <w:szCs w:val="24"/>
              </w:rPr>
              <w:t>), where the vehicle is: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(1)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taxi or substitute taxi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(2)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courtesy vehicle – where the vehicle has a seating capacity: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(a)</w:t>
            </w:r>
            <w:r w:rsidRPr="0018042E">
              <w:rPr>
                <w:rFonts w:cs="Calibri"/>
                <w:szCs w:val="24"/>
              </w:rPr>
              <w:tab/>
              <w:t xml:space="preserve">for more than 9 persons (including the driver)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(b)</w:t>
            </w:r>
            <w:r w:rsidRPr="0018042E">
              <w:rPr>
                <w:rFonts w:cs="Calibri"/>
                <w:szCs w:val="24"/>
              </w:rPr>
              <w:tab/>
              <w:t>for not more than 9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(3)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private hire car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806.65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(3A)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limousine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806.65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(4)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omnibus – where the vehicle has seating capacity: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(a)</w:t>
            </w:r>
            <w:r w:rsidRPr="0018042E">
              <w:rPr>
                <w:rFonts w:cs="Calibri"/>
                <w:szCs w:val="24"/>
              </w:rPr>
              <w:tab/>
              <w:t>for more than 30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(b)</w:t>
            </w:r>
            <w:r w:rsidRPr="0018042E">
              <w:rPr>
                <w:rFonts w:cs="Calibri"/>
                <w:szCs w:val="24"/>
              </w:rPr>
              <w:tab/>
              <w:t xml:space="preserve">for not more than 30 persons (including the driver)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(5)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tourist vehicle – where the vehicle has seating capacity: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(a)</w:t>
            </w:r>
            <w:r w:rsidRPr="0018042E">
              <w:rPr>
                <w:rFonts w:cs="Calibri"/>
                <w:szCs w:val="24"/>
              </w:rPr>
              <w:tab/>
              <w:t>for more than 30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(b)</w:t>
            </w:r>
            <w:r w:rsidRPr="0018042E">
              <w:rPr>
                <w:rFonts w:cs="Calibri"/>
                <w:szCs w:val="24"/>
              </w:rPr>
              <w:tab/>
              <w:t>for not more than 30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(c)</w:t>
            </w:r>
            <w:r>
              <w:rPr>
                <w:rFonts w:cs="Calibri"/>
                <w:szCs w:val="24"/>
              </w:rPr>
              <w:tab/>
              <w:t>is a motor cycle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1 154.10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(6)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special passenger vehicle – where the vehicle has seating capacity: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(a)</w:t>
            </w:r>
            <w:r w:rsidRPr="0018042E">
              <w:rPr>
                <w:rFonts w:cs="Calibri"/>
                <w:szCs w:val="24"/>
              </w:rPr>
              <w:tab/>
              <w:t>for more than 9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(b)</w:t>
            </w:r>
            <w:r w:rsidRPr="0018042E">
              <w:rPr>
                <w:rFonts w:cs="Calibri"/>
                <w:szCs w:val="24"/>
              </w:rPr>
              <w:tab/>
              <w:t>for not more than 9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(7)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special function vehicle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D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Motor cycle*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cycle used for any purpose, including being let for hire (otherwise than under a hire purchase agreement) but not</w:t>
            </w:r>
            <w:r>
              <w:rPr>
                <w:rFonts w:cs="Calibri"/>
                <w:szCs w:val="24"/>
              </w:rPr>
              <w:t xml:space="preserve"> being a motor cycle under item </w:t>
            </w:r>
            <w:r w:rsidRPr="0018042E">
              <w:rPr>
                <w:rFonts w:cs="Calibri"/>
                <w:szCs w:val="24"/>
              </w:rPr>
              <w:t>C(5)(c) – where the capacity rating of its engine: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(1)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exceeds 600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806.65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(2)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exceeds 260 ml but does not exceed 600</w:t>
            </w:r>
            <w:r>
              <w:rPr>
                <w:rFonts w:cs="Calibri"/>
                <w:szCs w:val="24"/>
              </w:rPr>
              <w:t> </w:t>
            </w:r>
            <w:r w:rsidRPr="0018042E">
              <w:rPr>
                <w:rFonts w:cs="Calibri"/>
                <w:szCs w:val="24"/>
              </w:rPr>
              <w:t>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806.65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(3)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exceeds 125 ml but does not exceed 260 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312.40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(4)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does not exceed 125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111.95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E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Drive yourself motor vehicle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vehicle that is let for hire (otherwise than under a hire purchase agreement) without the services of a driver, where the vehicle is: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(1)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car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(2)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goods carrying vehicle (exceeding 4.5 </w:t>
            </w:r>
            <w:proofErr w:type="spellStart"/>
            <w:r w:rsidRPr="0018042E">
              <w:rPr>
                <w:rFonts w:cs="Calibri"/>
                <w:szCs w:val="24"/>
              </w:rPr>
              <w:t>tonnes</w:t>
            </w:r>
            <w:proofErr w:type="spellEnd"/>
            <w:r w:rsidRPr="0018042E">
              <w:rPr>
                <w:rFonts w:cs="Calibri"/>
                <w:szCs w:val="24"/>
              </w:rPr>
              <w:t xml:space="preserve"> gross vehicle mass)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(3)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goods carrying vehicle (not exceeding 4.5 </w:t>
            </w:r>
            <w:proofErr w:type="spellStart"/>
            <w:r w:rsidRPr="0018042E">
              <w:rPr>
                <w:rFonts w:cs="Calibri"/>
                <w:szCs w:val="24"/>
              </w:rPr>
              <w:t>tonnes</w:t>
            </w:r>
            <w:proofErr w:type="spellEnd"/>
            <w:r w:rsidRPr="0018042E">
              <w:rPr>
                <w:rFonts w:cs="Calibri"/>
                <w:szCs w:val="24"/>
              </w:rPr>
              <w:t xml:space="preserve"> gross vehicle mass)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(4)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passenger carrying vehicle having seating capacity for more than 9</w:t>
            </w:r>
            <w:r>
              <w:rPr>
                <w:rFonts w:cs="Calibri"/>
                <w:szCs w:val="24"/>
              </w:rPr>
              <w:t xml:space="preserve">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(5)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passenger carrying vehicle having seating capacity for not more than 9</w:t>
            </w:r>
            <w:r>
              <w:rPr>
                <w:rFonts w:cs="Calibri"/>
                <w:szCs w:val="24"/>
              </w:rPr>
              <w:t> </w:t>
            </w:r>
            <w:r w:rsidRPr="0018042E">
              <w:rPr>
                <w:rFonts w:cs="Calibri"/>
                <w:szCs w:val="24"/>
              </w:rPr>
              <w:t>persons (including the driver)</w:t>
            </w:r>
            <w:r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1 539.85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F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Trailer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rPr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trailer: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(1)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exceeding 500 kg tare or 750 kg aggregate trailer mass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70.20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(2)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not exceeding 500 kg tare or 750 kg aggregate trailer mass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70.20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3262A7">
            <w:pPr>
              <w:pageBreakBefore/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lastRenderedPageBreak/>
              <w:t>G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Miscellaneous vehicles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The following vehicles: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(1)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motor breakdown vehicle used solely as a tow truck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312.40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(2)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an undertaker's vehicle (being a motor vehicle used solely as a hearse), fire-fighting vehicle (being a motor vehicle used solely for fire-fighting purposes) or ambulance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166.95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(3)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an airport luggage transporter (being a motor vehicle used solely to transport baggage at an airport), ride-on mower, tractor, garbage compactor, forklift, backhoe, drilling rig, sweeper, roller, loader, scraper, grader, bobcat, crane or any other vehicle not included in this Schedule that is not principally designed for t</w:t>
            </w:r>
            <w:r>
              <w:rPr>
                <w:rFonts w:cs="Calibri"/>
                <w:szCs w:val="24"/>
              </w:rPr>
              <w:t>he carriage of goods or persons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166.95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(4)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veteran, vintage or classic motor vehicle used by a motor enthusiast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50.05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(5)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vehicle to which a pastoral permit relates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123.60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(6)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 powered golf buggy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77.30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(7)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a powered wheelchair, but only if capable of travelling at a speed greater than 10 </w:t>
            </w:r>
            <w:proofErr w:type="spellStart"/>
            <w:r w:rsidRPr="0018042E">
              <w:rPr>
                <w:rFonts w:cs="Calibri"/>
                <w:szCs w:val="24"/>
              </w:rPr>
              <w:t>kph</w:t>
            </w:r>
            <w:proofErr w:type="spellEnd"/>
            <w:r w:rsidRPr="0018042E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19.90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H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Trader's plate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rPr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trader's plate: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(1)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in respect of a motor ve</w:t>
            </w:r>
            <w:r>
              <w:rPr>
                <w:rFonts w:cs="Calibri"/>
                <w:szCs w:val="24"/>
              </w:rPr>
              <w:t>hicle other than a motor cycle*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547.95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(2)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in respect of a motor cycle*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494.45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3262A7">
            <w:pPr>
              <w:pageBreakBefore/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lastRenderedPageBreak/>
              <w:t>J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V</w:t>
            </w:r>
            <w:r>
              <w:rPr>
                <w:rFonts w:cs="Calibri"/>
                <w:szCs w:val="24"/>
              </w:rPr>
              <w:t>isiting motor vehicle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rPr>
          <w:trHeight w:val="7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visiting motor vehicle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pro rata the contribution payable for the registration of an equivalent vehicle in the Territory 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K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Temporary </w:t>
            </w:r>
            <w:proofErr w:type="spellStart"/>
            <w:r>
              <w:rPr>
                <w:rFonts w:cs="Calibri"/>
                <w:szCs w:val="24"/>
              </w:rPr>
              <w:t>licence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A </w:t>
            </w:r>
            <w:proofErr w:type="spellStart"/>
            <w:r w:rsidRPr="0018042E">
              <w:rPr>
                <w:rFonts w:cs="Calibri"/>
                <w:szCs w:val="24"/>
              </w:rPr>
              <w:t>licence</w:t>
            </w:r>
            <w:proofErr w:type="spellEnd"/>
            <w:r w:rsidRPr="0018042E">
              <w:rPr>
                <w:rFonts w:cs="Calibri"/>
                <w:szCs w:val="24"/>
              </w:rPr>
              <w:t xml:space="preserve"> under section 137 of the Act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33.40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D50A1B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b/>
                <w:szCs w:val="24"/>
              </w:rPr>
            </w:pPr>
            <w:r w:rsidRPr="00D50A1B">
              <w:rPr>
                <w:rFonts w:cs="Calibri"/>
                <w:b/>
                <w:szCs w:val="24"/>
              </w:rPr>
              <w:t>L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Vehicle registered or re-registered under the </w:t>
            </w:r>
            <w:r w:rsidRPr="00D50A1B">
              <w:rPr>
                <w:rFonts w:cs="Calibri"/>
                <w:i/>
                <w:szCs w:val="24"/>
              </w:rPr>
              <w:t>Interstate Road Transport Act 1985</w:t>
            </w:r>
            <w:r w:rsidRPr="0018042E">
              <w:rPr>
                <w:rFonts w:cs="Calibri"/>
                <w:szCs w:val="24"/>
              </w:rPr>
              <w:t xml:space="preserve"> (</w:t>
            </w:r>
            <w:proofErr w:type="spellStart"/>
            <w:r w:rsidRPr="0018042E">
              <w:rPr>
                <w:rFonts w:cs="Calibri"/>
                <w:szCs w:val="24"/>
              </w:rPr>
              <w:t>Cth</w:t>
            </w:r>
            <w:proofErr w:type="spellEnd"/>
            <w:r w:rsidRPr="0018042E">
              <w:rPr>
                <w:rFonts w:cs="Calibri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A vehicle registered or re-registered under the </w:t>
            </w:r>
            <w:r w:rsidRPr="00D50A1B">
              <w:rPr>
                <w:rFonts w:cs="Calibri"/>
                <w:i/>
                <w:szCs w:val="24"/>
              </w:rPr>
              <w:t>Interstate Road Transport Act 1985</w:t>
            </w:r>
            <w:r w:rsidRPr="0018042E">
              <w:rPr>
                <w:rFonts w:cs="Calibri"/>
                <w:szCs w:val="24"/>
              </w:rPr>
              <w:t xml:space="preserve"> (</w:t>
            </w:r>
            <w:proofErr w:type="spellStart"/>
            <w:r w:rsidRPr="0018042E">
              <w:rPr>
                <w:rFonts w:cs="Calibri"/>
                <w:szCs w:val="24"/>
              </w:rPr>
              <w:t>Cth</w:t>
            </w:r>
            <w:proofErr w:type="spellEnd"/>
            <w:r w:rsidRPr="0018042E">
              <w:rPr>
                <w:rFonts w:cs="Calibri"/>
                <w:szCs w:val="24"/>
              </w:rPr>
              <w:t>), where the vehicle is: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(1)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 goods carrying vehicle </w:t>
            </w:r>
            <w:r w:rsidRPr="0018042E">
              <w:rPr>
                <w:rFonts w:cs="Calibri"/>
                <w:szCs w:val="24"/>
              </w:rPr>
              <w:t>– a motor vehicle constructed or adapted primarily for the carriage of goods</w:t>
            </w:r>
            <w:r>
              <w:rPr>
                <w:rFonts w:cs="Calibri"/>
                <w:szCs w:val="24"/>
              </w:rPr>
              <w:t>,</w:t>
            </w:r>
            <w:r w:rsidRPr="0018042E">
              <w:rPr>
                <w:rFonts w:cs="Calibri"/>
                <w:szCs w:val="24"/>
              </w:rPr>
              <w:t xml:space="preserve"> where the gross vehicle </w:t>
            </w:r>
            <w:r>
              <w:rPr>
                <w:rFonts w:cs="Calibri"/>
                <w:szCs w:val="24"/>
              </w:rPr>
              <w:t xml:space="preserve">mass does not exceed 4.5 </w:t>
            </w:r>
            <w:proofErr w:type="spellStart"/>
            <w:r>
              <w:rPr>
                <w:rFonts w:cs="Calibri"/>
                <w:szCs w:val="24"/>
              </w:rPr>
              <w:t>tonnes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588.00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(2)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 goods carrying vehicle – </w:t>
            </w:r>
            <w:r w:rsidRPr="0018042E">
              <w:rPr>
                <w:rFonts w:cs="Calibri"/>
                <w:szCs w:val="24"/>
              </w:rPr>
              <w:t>a motor vehicle constructed or adapted prima</w:t>
            </w:r>
            <w:r>
              <w:rPr>
                <w:rFonts w:cs="Calibri"/>
                <w:szCs w:val="24"/>
              </w:rPr>
              <w:t xml:space="preserve">rily for the carriage of goods, </w:t>
            </w:r>
            <w:r w:rsidRPr="0018042E">
              <w:rPr>
                <w:rFonts w:cs="Calibri"/>
                <w:szCs w:val="24"/>
              </w:rPr>
              <w:t xml:space="preserve">where the gross </w:t>
            </w:r>
            <w:r>
              <w:rPr>
                <w:rFonts w:cs="Calibri"/>
                <w:szCs w:val="24"/>
              </w:rPr>
              <w:t xml:space="preserve">vehicle mass exceeds 4.5 </w:t>
            </w:r>
            <w:proofErr w:type="spellStart"/>
            <w:r>
              <w:rPr>
                <w:rFonts w:cs="Calibri"/>
                <w:szCs w:val="24"/>
              </w:rPr>
              <w:t>tonnes</w:t>
            </w:r>
            <w:proofErr w:type="spellEnd"/>
            <w:r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588.00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(3)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 motor omnibus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1 661.85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(4)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a tourist vehicle: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(a)</w:t>
            </w:r>
            <w:r w:rsidRPr="0018042E">
              <w:rPr>
                <w:rFonts w:cs="Calibri"/>
                <w:szCs w:val="24"/>
              </w:rPr>
              <w:tab/>
              <w:t>that is a motor vehicle in respect of which payment is received for the conveyance of passengers, where the vehicle has seating capacity for more than 9</w:t>
            </w:r>
            <w:r>
              <w:rPr>
                <w:rFonts w:cs="Calibri"/>
                <w:szCs w:val="24"/>
              </w:rPr>
              <w:t xml:space="preserve">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1 661.85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(b)</w:t>
            </w:r>
            <w:r>
              <w:rPr>
                <w:rFonts w:cs="Calibri"/>
                <w:szCs w:val="24"/>
              </w:rPr>
              <w:tab/>
              <w:t xml:space="preserve">that is </w:t>
            </w:r>
            <w:r w:rsidRPr="0018042E">
              <w:rPr>
                <w:rFonts w:cs="Calibri"/>
                <w:szCs w:val="24"/>
              </w:rPr>
              <w:t>a motor vehicle in respect of which payment is received for the conveyance of passengers, where the vehicle has seating capacity for less than 9</w:t>
            </w:r>
            <w:r>
              <w:rPr>
                <w:rFonts w:cs="Calibri"/>
                <w:szCs w:val="24"/>
              </w:rPr>
              <w:t xml:space="preserve"> persons (including the driver)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588.00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3262A7">
            <w:pPr>
              <w:pageBreakBefore/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459" w:hanging="459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(c)</w:t>
            </w:r>
            <w:r w:rsidRPr="0018042E">
              <w:rPr>
                <w:rFonts w:cs="Calibri"/>
                <w:szCs w:val="24"/>
              </w:rPr>
              <w:tab/>
              <w:t>that is a vehicle in respect of which payment is received for the conveyance of passengers, where the vehicle is a trailer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76.80</w:t>
            </w:r>
          </w:p>
        </w:tc>
      </w:tr>
      <w:tr w:rsidR="00473BEE" w:rsidRPr="0018042E" w:rsidTr="0098105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(5)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 xml:space="preserve">a trailer constructed primarily for the carriage of goods where the gross vehicle mass exceeds 4.5 </w:t>
            </w:r>
            <w:proofErr w:type="spellStart"/>
            <w:r w:rsidRPr="0018042E">
              <w:rPr>
                <w:rFonts w:cs="Calibri"/>
                <w:szCs w:val="24"/>
              </w:rPr>
              <w:t>tonnes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jc w:val="right"/>
              <w:rPr>
                <w:rFonts w:cs="Calibri"/>
                <w:szCs w:val="24"/>
              </w:rPr>
            </w:pPr>
            <w:r>
              <w:rPr>
                <w:rFonts w:cs="Calibri"/>
              </w:rPr>
              <w:t>71.40</w:t>
            </w:r>
          </w:p>
        </w:tc>
      </w:tr>
      <w:tr w:rsidR="00473BEE" w:rsidRPr="0018042E" w:rsidTr="00981054"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rPr>
                <w:rFonts w:cs="Calibri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BEE" w:rsidRPr="0018042E" w:rsidRDefault="00473BEE" w:rsidP="00981054">
            <w:pPr>
              <w:tabs>
                <w:tab w:val="center" w:pos="4801"/>
              </w:tabs>
              <w:jc w:val="right"/>
              <w:rPr>
                <w:rFonts w:cs="Calibri"/>
                <w:szCs w:val="24"/>
              </w:rPr>
            </w:pPr>
          </w:p>
        </w:tc>
      </w:tr>
      <w:tr w:rsidR="00473BEE" w:rsidRPr="0018042E" w:rsidTr="00981054">
        <w:tc>
          <w:tcPr>
            <w:tcW w:w="6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 w:after="120"/>
              <w:ind w:left="142" w:hanging="142"/>
              <w:rPr>
                <w:rFonts w:cs="Calibri"/>
                <w:szCs w:val="24"/>
              </w:rPr>
            </w:pPr>
            <w:r w:rsidRPr="0018042E">
              <w:rPr>
                <w:rFonts w:cs="Calibri"/>
                <w:szCs w:val="24"/>
              </w:rPr>
              <w:t>*</w:t>
            </w:r>
            <w:r w:rsidRPr="00D50A1B">
              <w:rPr>
                <w:rFonts w:cs="Calibri"/>
                <w:b/>
                <w:i/>
                <w:szCs w:val="24"/>
              </w:rPr>
              <w:t>Motor cycle</w:t>
            </w:r>
            <w:r w:rsidRPr="0018042E">
              <w:rPr>
                <w:rFonts w:cs="Calibri"/>
                <w:szCs w:val="24"/>
              </w:rPr>
              <w:t xml:space="preserve"> means a motor vehicle that has fewer than 4 wheels and is steered by means of a handlebar or tiller.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BEE" w:rsidRPr="0018042E" w:rsidRDefault="00473BEE" w:rsidP="00981054">
            <w:pPr>
              <w:tabs>
                <w:tab w:val="center" w:pos="4801"/>
              </w:tabs>
              <w:spacing w:before="120"/>
              <w:jc w:val="right"/>
              <w:rPr>
                <w:rFonts w:cs="Calibri"/>
                <w:szCs w:val="24"/>
              </w:rPr>
            </w:pPr>
          </w:p>
        </w:tc>
      </w:tr>
    </w:tbl>
    <w:p w:rsidR="00041556" w:rsidRPr="00FE1083" w:rsidRDefault="00041556" w:rsidP="00D20C00">
      <w:pPr>
        <w:tabs>
          <w:tab w:val="left" w:pos="8640"/>
        </w:tabs>
        <w:spacing w:before="0"/>
        <w:jc w:val="right"/>
        <w:rPr>
          <w:spacing w:val="-3"/>
        </w:rPr>
      </w:pPr>
    </w:p>
    <w:sectPr w:rsidR="00041556" w:rsidRPr="00FE1083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055C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3055C7">
      <w:t>44</w:t>
    </w:r>
    <w:r w:rsidRPr="00246A76">
      <w:t xml:space="preserve">, </w:t>
    </w:r>
    <w:r w:rsidR="00BA2373">
      <w:t>18</w:t>
    </w:r>
    <w:r w:rsidR="00B01B53">
      <w:t xml:space="preserve">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55C7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2A7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035A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3BEE"/>
    <w:rsid w:val="00474CC6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5716F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46D8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85590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4815"/>
    <w:rsid w:val="008364C8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440F"/>
    <w:rsid w:val="00AF7A46"/>
    <w:rsid w:val="00B008CE"/>
    <w:rsid w:val="00B01B53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5361A"/>
    <w:rsid w:val="00B768ED"/>
    <w:rsid w:val="00B77674"/>
    <w:rsid w:val="00B80314"/>
    <w:rsid w:val="00B9034A"/>
    <w:rsid w:val="00B90E1E"/>
    <w:rsid w:val="00B91DA2"/>
    <w:rsid w:val="00B92D53"/>
    <w:rsid w:val="00B966E0"/>
    <w:rsid w:val="00BA2373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5922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27CA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658D3"/>
    <w:rsid w:val="00F71605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92EE-D8F3-46D0-BA99-30A0A4D7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S42 2016</vt:lpstr>
    </vt:vector>
  </TitlesOfParts>
  <Company>NTG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S42 2016</dc:title>
  <dc:creator>Northern Territory Government</dc:creator>
  <cp:lastModifiedBy>mahec</cp:lastModifiedBy>
  <cp:revision>7</cp:revision>
  <cp:lastPrinted>2016-05-16T05:27:00Z</cp:lastPrinted>
  <dcterms:created xsi:type="dcterms:W3CDTF">2016-05-13T05:30:00Z</dcterms:created>
  <dcterms:modified xsi:type="dcterms:W3CDTF">2016-05-17T04:55:00Z</dcterms:modified>
</cp:coreProperties>
</file>