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CD" w:rsidRDefault="003358CD" w:rsidP="003358CD">
      <w:pPr>
        <w:pStyle w:val="Header"/>
        <w:widowControl/>
        <w:tabs>
          <w:tab w:val="clear" w:pos="4153"/>
          <w:tab w:val="clear" w:pos="8306"/>
        </w:tabs>
        <w:ind w:left="720" w:hanging="720"/>
        <w:jc w:val="center"/>
      </w:pPr>
      <w:bookmarkStart w:id="0" w:name="_GoBack"/>
      <w:bookmarkEnd w:id="0"/>
      <w:r>
        <w:t>SCHEDULE</w:t>
      </w:r>
    </w:p>
    <w:p w:rsidR="003358CD" w:rsidRDefault="003358CD" w:rsidP="003358CD">
      <w:pPr>
        <w:pStyle w:val="Header"/>
        <w:widowControl/>
        <w:tabs>
          <w:tab w:val="clear" w:pos="4153"/>
          <w:tab w:val="clear" w:pos="8306"/>
        </w:tabs>
        <w:jc w:val="center"/>
      </w:pPr>
    </w:p>
    <w:p w:rsidR="003358CD" w:rsidRDefault="003358CD" w:rsidP="003358CD">
      <w:pPr>
        <w:pStyle w:val="Header"/>
        <w:widowControl/>
        <w:tabs>
          <w:tab w:val="clear" w:pos="4153"/>
          <w:tab w:val="clear" w:pos="8306"/>
        </w:tabs>
        <w:jc w:val="center"/>
      </w:pPr>
      <w:r>
        <w:t>NORTHERN TERRITORY OF AUSTRALIA</w:t>
      </w:r>
    </w:p>
    <w:p w:rsidR="003358CD" w:rsidRDefault="003358CD" w:rsidP="003358CD">
      <w:pPr>
        <w:pStyle w:val="Header"/>
        <w:widowControl/>
        <w:tabs>
          <w:tab w:val="clear" w:pos="4153"/>
          <w:tab w:val="clear" w:pos="8306"/>
        </w:tabs>
        <w:jc w:val="center"/>
        <w:rPr>
          <w:i/>
        </w:rPr>
      </w:pPr>
      <w:r>
        <w:rPr>
          <w:i/>
        </w:rPr>
        <w:t>Law of Property Act</w:t>
      </w:r>
    </w:p>
    <w:p w:rsidR="003358CD" w:rsidRDefault="003358CD" w:rsidP="003358CD">
      <w:pPr>
        <w:pStyle w:val="Header"/>
        <w:widowControl/>
        <w:tabs>
          <w:tab w:val="clear" w:pos="4153"/>
          <w:tab w:val="clear" w:pos="8306"/>
        </w:tabs>
        <w:jc w:val="right"/>
      </w:pPr>
      <w:r>
        <w:t>Section 89(2)</w:t>
      </w:r>
    </w:p>
    <w:p w:rsidR="003358CD" w:rsidRDefault="003358CD" w:rsidP="003358CD">
      <w:pPr>
        <w:pStyle w:val="Header"/>
        <w:widowControl/>
        <w:tabs>
          <w:tab w:val="clear" w:pos="4153"/>
          <w:tab w:val="clear" w:pos="8306"/>
        </w:tabs>
        <w:jc w:val="center"/>
      </w:pPr>
      <w:r>
        <w:t>NOTICE OF EXERCISE OF POWER OF SALE</w:t>
      </w:r>
    </w:p>
    <w:p w:rsidR="003358CD" w:rsidRDefault="003358CD" w:rsidP="003358CD">
      <w:pPr>
        <w:pStyle w:val="Header"/>
        <w:widowControl/>
        <w:tabs>
          <w:tab w:val="clear" w:pos="4153"/>
          <w:tab w:val="clear" w:pos="8306"/>
        </w:tabs>
      </w:pPr>
    </w:p>
    <w:p w:rsidR="003358CD" w:rsidRDefault="003358CD" w:rsidP="003358CD">
      <w:pPr>
        <w:pStyle w:val="Header"/>
        <w:widowControl/>
        <w:tabs>
          <w:tab w:val="clear" w:pos="4153"/>
          <w:tab w:val="clear" w:pos="8306"/>
        </w:tabs>
      </w:pPr>
      <w:r>
        <w:t xml:space="preserve">TO:  </w:t>
      </w:r>
      <w:r>
        <w:rPr>
          <w:sz w:val="22"/>
        </w:rPr>
        <w:t>(</w:t>
      </w:r>
      <w:r>
        <w:rPr>
          <w:i/>
          <w:sz w:val="22"/>
        </w:rPr>
        <w:t>insert name and address of mortgagor</w:t>
      </w:r>
      <w:r>
        <w:rPr>
          <w:sz w:val="22"/>
        </w:rPr>
        <w:t>)</w:t>
      </w:r>
    </w:p>
    <w:p w:rsidR="003358CD" w:rsidRDefault="003358CD" w:rsidP="003358CD">
      <w:pPr>
        <w:pStyle w:val="Header"/>
        <w:widowControl/>
        <w:tabs>
          <w:tab w:val="clear" w:pos="4153"/>
          <w:tab w:val="clear" w:pos="8306"/>
        </w:tabs>
      </w:pPr>
    </w:p>
    <w:p w:rsidR="003358CD" w:rsidRDefault="003358CD" w:rsidP="003358CD">
      <w:pPr>
        <w:pStyle w:val="Header"/>
        <w:widowControl/>
        <w:tabs>
          <w:tab w:val="clear" w:pos="4153"/>
          <w:tab w:val="clear" w:pos="8306"/>
        </w:tabs>
        <w:spacing w:line="240" w:lineRule="auto"/>
      </w:pPr>
      <w:r>
        <w:t xml:space="preserve">TAKE NOTICE that default has been made under mortgage no  </w:t>
      </w:r>
      <w:r>
        <w:rPr>
          <w:sz w:val="22"/>
        </w:rPr>
        <w:t>(</w:t>
      </w:r>
      <w:r>
        <w:rPr>
          <w:i/>
          <w:sz w:val="22"/>
        </w:rPr>
        <w:t>insert mortgage number</w:t>
      </w:r>
      <w:r>
        <w:rPr>
          <w:sz w:val="22"/>
        </w:rPr>
        <w:t>)</w:t>
      </w:r>
      <w:r>
        <w:t xml:space="preserve">  in respect of land described as    </w:t>
      </w:r>
      <w:r>
        <w:rPr>
          <w:sz w:val="22"/>
        </w:rPr>
        <w:t>(</w:t>
      </w:r>
      <w:r>
        <w:rPr>
          <w:i/>
          <w:sz w:val="22"/>
        </w:rPr>
        <w:t>insert description of land</w:t>
      </w:r>
      <w:r>
        <w:rPr>
          <w:sz w:val="22"/>
        </w:rPr>
        <w:t>)</w:t>
      </w:r>
      <w:r>
        <w:t xml:space="preserve">    in that </w:t>
      </w:r>
      <w:r>
        <w:br/>
      </w:r>
      <w:r>
        <w:rPr>
          <w:sz w:val="22"/>
        </w:rPr>
        <w:t>(</w:t>
      </w:r>
      <w:r>
        <w:rPr>
          <w:i/>
          <w:sz w:val="22"/>
        </w:rPr>
        <w:t>specify default #</w:t>
      </w:r>
      <w:r>
        <w:rPr>
          <w:sz w:val="22"/>
        </w:rPr>
        <w:t>)</w:t>
      </w:r>
      <w:r>
        <w:t>;</w:t>
      </w:r>
    </w:p>
    <w:p w:rsidR="003358CD" w:rsidRDefault="003358CD" w:rsidP="003358CD">
      <w:pPr>
        <w:pStyle w:val="Header"/>
        <w:widowControl/>
        <w:tabs>
          <w:tab w:val="clear" w:pos="4153"/>
          <w:tab w:val="clear" w:pos="8306"/>
        </w:tabs>
        <w:spacing w:line="240" w:lineRule="auto"/>
      </w:pPr>
    </w:p>
    <w:p w:rsidR="003358CD" w:rsidRDefault="003358CD" w:rsidP="003358CD">
      <w:pPr>
        <w:pStyle w:val="Header"/>
        <w:widowControl/>
        <w:tabs>
          <w:tab w:val="clear" w:pos="4153"/>
          <w:tab w:val="clear" w:pos="8306"/>
        </w:tabs>
        <w:spacing w:line="240" w:lineRule="auto"/>
      </w:pPr>
      <w:r>
        <w:t>AND further take notice that, unless within *30 days/*</w:t>
      </w:r>
      <w:r>
        <w:rPr>
          <w:sz w:val="22"/>
        </w:rPr>
        <w:t>(</w:t>
      </w:r>
      <w:r>
        <w:rPr>
          <w:i/>
          <w:sz w:val="22"/>
        </w:rPr>
        <w:t>specify</w:t>
      </w:r>
      <w:r>
        <w:rPr>
          <w:sz w:val="22"/>
        </w:rPr>
        <w:t xml:space="preserve"> </w:t>
      </w:r>
      <w:r>
        <w:rPr>
          <w:i/>
          <w:sz w:val="22"/>
        </w:rPr>
        <w:t xml:space="preserve">other period as </w:t>
      </w:r>
      <w:proofErr w:type="gramStart"/>
      <w:r>
        <w:rPr>
          <w:i/>
          <w:sz w:val="22"/>
        </w:rPr>
        <w:t>agreed  in</w:t>
      </w:r>
      <w:proofErr w:type="gramEnd"/>
      <w:r>
        <w:rPr>
          <w:i/>
          <w:sz w:val="22"/>
        </w:rPr>
        <w:t xml:space="preserve"> accordance with section 89(1) of the Law of Property Act</w:t>
      </w:r>
      <w:r>
        <w:rPr>
          <w:sz w:val="22"/>
        </w:rPr>
        <w:t>)</w:t>
      </w:r>
      <w:r>
        <w:t xml:space="preserve">   after service of this notice on you the default is remedied by   </w:t>
      </w:r>
      <w:r>
        <w:rPr>
          <w:sz w:val="22"/>
        </w:rPr>
        <w:t>(</w:t>
      </w:r>
      <w:r>
        <w:rPr>
          <w:i/>
          <w:sz w:val="22"/>
        </w:rPr>
        <w:t>specify action mortgagor must take to remedy default</w:t>
      </w:r>
      <w:r>
        <w:rPr>
          <w:sz w:val="22"/>
        </w:rPr>
        <w:t>)</w:t>
      </w:r>
      <w:r>
        <w:t xml:space="preserve"> , the mortgagee may proceed to sell the land and exercise all or any of the other powers conferred by the mortgage and by the </w:t>
      </w:r>
      <w:r>
        <w:rPr>
          <w:i/>
        </w:rPr>
        <w:t>Law of Property Act</w:t>
      </w:r>
      <w:r>
        <w:t>.</w:t>
      </w:r>
    </w:p>
    <w:p w:rsidR="003358CD" w:rsidRDefault="003358CD" w:rsidP="003358CD">
      <w:pPr>
        <w:pStyle w:val="Header"/>
        <w:widowControl/>
        <w:tabs>
          <w:tab w:val="clear" w:pos="4153"/>
          <w:tab w:val="clear" w:pos="8306"/>
        </w:tabs>
        <w:spacing w:line="240" w:lineRule="auto"/>
      </w:pPr>
    </w:p>
    <w:p w:rsidR="003358CD" w:rsidRDefault="003358CD" w:rsidP="003358CD">
      <w:pPr>
        <w:pStyle w:val="Header"/>
        <w:widowControl/>
        <w:tabs>
          <w:tab w:val="clear" w:pos="4153"/>
          <w:tab w:val="clear" w:pos="8306"/>
        </w:tabs>
        <w:spacing w:line="240" w:lineRule="auto"/>
      </w:pPr>
      <w:r>
        <w:t>Dated:</w:t>
      </w:r>
    </w:p>
    <w:p w:rsidR="003358CD" w:rsidRDefault="003358CD" w:rsidP="003358CD">
      <w:pPr>
        <w:pStyle w:val="Header"/>
        <w:widowControl/>
        <w:tabs>
          <w:tab w:val="clear" w:pos="4153"/>
          <w:tab w:val="clear" w:pos="8306"/>
        </w:tabs>
        <w:spacing w:line="240" w:lineRule="auto"/>
      </w:pPr>
    </w:p>
    <w:p w:rsidR="003358CD" w:rsidRDefault="003358CD" w:rsidP="003358CD">
      <w:pPr>
        <w:pStyle w:val="Header"/>
        <w:widowControl/>
        <w:tabs>
          <w:tab w:val="clear" w:pos="4153"/>
          <w:tab w:val="clear" w:pos="8306"/>
        </w:tabs>
        <w:spacing w:line="240" w:lineRule="auto"/>
        <w:rPr>
          <w:sz w:val="22"/>
        </w:rPr>
      </w:pPr>
      <w:r>
        <w:t xml:space="preserve">Signed:    </w:t>
      </w:r>
      <w:r>
        <w:rPr>
          <w:sz w:val="22"/>
        </w:rPr>
        <w:t>(</w:t>
      </w:r>
      <w:r>
        <w:rPr>
          <w:i/>
          <w:sz w:val="22"/>
        </w:rPr>
        <w:t>to be signed by the mortgagee or mortgagee's agent</w:t>
      </w:r>
      <w:r>
        <w:rPr>
          <w:sz w:val="22"/>
        </w:rPr>
        <w:t>)</w:t>
      </w:r>
    </w:p>
    <w:p w:rsidR="003358CD" w:rsidRDefault="003358CD" w:rsidP="003358CD">
      <w:pPr>
        <w:pStyle w:val="Header"/>
        <w:widowControl/>
        <w:tabs>
          <w:tab w:val="clear" w:pos="4153"/>
          <w:tab w:val="clear" w:pos="8306"/>
        </w:tabs>
        <w:spacing w:line="240" w:lineRule="auto"/>
        <w:rPr>
          <w:sz w:val="22"/>
        </w:rPr>
      </w:pPr>
    </w:p>
    <w:p w:rsidR="003358CD" w:rsidRDefault="003358CD" w:rsidP="003358CD">
      <w:pPr>
        <w:pStyle w:val="Header"/>
        <w:widowControl/>
        <w:tabs>
          <w:tab w:val="clear" w:pos="4153"/>
          <w:tab w:val="clear" w:pos="8306"/>
          <w:tab w:val="left" w:pos="284"/>
        </w:tabs>
        <w:spacing w:line="240" w:lineRule="auto"/>
        <w:ind w:left="142" w:hanging="142"/>
        <w:rPr>
          <w:sz w:val="22"/>
        </w:rPr>
      </w:pPr>
      <w:r>
        <w:rPr>
          <w:sz w:val="22"/>
        </w:rPr>
        <w:t xml:space="preserve"># </w:t>
      </w:r>
      <w:r>
        <w:rPr>
          <w:i/>
          <w:sz w:val="22"/>
        </w:rPr>
        <w:t>In specifying the default include the details of the default such as (a) the amount due and owing and the date on which the amount was due to be paid; or (b) other action not taken as required under the mortgage or in compliance with a legislative provision and the date when the action should have been taken.</w:t>
      </w:r>
    </w:p>
    <w:p w:rsidR="003358CD" w:rsidRDefault="003358CD" w:rsidP="003358CD">
      <w:pPr>
        <w:pStyle w:val="Header"/>
        <w:widowControl/>
        <w:tabs>
          <w:tab w:val="clear" w:pos="4153"/>
          <w:tab w:val="clear" w:pos="8306"/>
        </w:tabs>
        <w:spacing w:line="240" w:lineRule="auto"/>
        <w:rPr>
          <w:sz w:val="22"/>
        </w:rPr>
      </w:pPr>
    </w:p>
    <w:p w:rsidR="003358CD" w:rsidRDefault="003358CD" w:rsidP="003358CD">
      <w:pPr>
        <w:pStyle w:val="Header"/>
        <w:widowControl/>
        <w:tabs>
          <w:tab w:val="clear" w:pos="4153"/>
          <w:tab w:val="clear" w:pos="8306"/>
        </w:tabs>
        <w:spacing w:line="240" w:lineRule="auto"/>
        <w:rPr>
          <w:sz w:val="22"/>
        </w:rPr>
      </w:pPr>
      <w:r>
        <w:rPr>
          <w:sz w:val="22"/>
        </w:rPr>
        <w:t xml:space="preserve">* </w:t>
      </w:r>
      <w:r>
        <w:rPr>
          <w:i/>
          <w:sz w:val="22"/>
        </w:rPr>
        <w:t>Delete which inapplicable</w:t>
      </w:r>
    </w:p>
    <w:p w:rsidR="003358CD" w:rsidRDefault="003358CD" w:rsidP="003358CD">
      <w:pPr>
        <w:pStyle w:val="Header"/>
        <w:widowControl/>
        <w:tabs>
          <w:tab w:val="clear" w:pos="4153"/>
          <w:tab w:val="clear" w:pos="8306"/>
        </w:tabs>
        <w:spacing w:line="240" w:lineRule="auto"/>
        <w:rPr>
          <w:sz w:val="22"/>
        </w:rPr>
      </w:pPr>
    </w:p>
    <w:p w:rsidR="003358CD" w:rsidRDefault="003358CD" w:rsidP="003358CD">
      <w:pPr>
        <w:pStyle w:val="Header"/>
        <w:widowControl/>
        <w:tabs>
          <w:tab w:val="clear" w:pos="4153"/>
          <w:tab w:val="clear" w:pos="8306"/>
        </w:tabs>
        <w:spacing w:line="240" w:lineRule="auto"/>
        <w:ind w:left="1440" w:hanging="1440"/>
        <w:rPr>
          <w:sz w:val="22"/>
        </w:rPr>
      </w:pPr>
      <w:r>
        <w:rPr>
          <w:sz w:val="22"/>
        </w:rPr>
        <w:t>[</w:t>
      </w:r>
      <w:r>
        <w:rPr>
          <w:sz w:val="22"/>
          <w:u w:val="single"/>
        </w:rPr>
        <w:t>NOTES</w:t>
      </w:r>
      <w:r>
        <w:rPr>
          <w:sz w:val="22"/>
        </w:rPr>
        <w:t>:  1.</w:t>
      </w:r>
      <w:r>
        <w:rPr>
          <w:sz w:val="22"/>
        </w:rPr>
        <w:tab/>
      </w:r>
      <w:r>
        <w:rPr>
          <w:i/>
          <w:sz w:val="22"/>
        </w:rPr>
        <w:t>In accordance with section 161 of the Consumer Credit (Northern Territory) Code, this notice may include the notice required to be given by a mortgagee under section 80 of the Consumer Credit (Northern Territory) Code</w:t>
      </w:r>
      <w:r>
        <w:rPr>
          <w:sz w:val="22"/>
        </w:rPr>
        <w:t>.</w:t>
      </w:r>
    </w:p>
    <w:p w:rsidR="003358CD" w:rsidRDefault="003358CD" w:rsidP="003358CD">
      <w:pPr>
        <w:pStyle w:val="Header"/>
        <w:widowControl/>
        <w:tabs>
          <w:tab w:val="clear" w:pos="4153"/>
          <w:tab w:val="clear" w:pos="8306"/>
        </w:tabs>
        <w:spacing w:line="240" w:lineRule="auto"/>
        <w:ind w:left="720" w:hanging="720"/>
        <w:rPr>
          <w:sz w:val="22"/>
        </w:rPr>
      </w:pPr>
    </w:p>
    <w:p w:rsidR="003358CD" w:rsidRDefault="003358CD" w:rsidP="003358CD">
      <w:pPr>
        <w:pStyle w:val="Header"/>
        <w:widowControl/>
        <w:numPr>
          <w:ilvl w:val="0"/>
          <w:numId w:val="1"/>
        </w:numPr>
        <w:tabs>
          <w:tab w:val="clear" w:pos="4153"/>
          <w:tab w:val="clear" w:pos="8306"/>
          <w:tab w:val="left" w:pos="993"/>
        </w:tabs>
        <w:spacing w:line="240" w:lineRule="auto"/>
        <w:rPr>
          <w:sz w:val="22"/>
        </w:rPr>
      </w:pPr>
      <w:r>
        <w:rPr>
          <w:i/>
          <w:sz w:val="22"/>
        </w:rPr>
        <w:t>This notice requires the mortgagor to remedy only the default specified in it</w:t>
      </w:r>
      <w:r>
        <w:rPr>
          <w:sz w:val="22"/>
        </w:rPr>
        <w:t xml:space="preserve"> </w:t>
      </w:r>
      <w:r>
        <w:rPr>
          <w:i/>
          <w:sz w:val="22"/>
        </w:rPr>
        <w:t>in order to avoid recovery action by the mortgagee in respect of that default.  The issue of this notice to the mortgagor does not limit the capacity of the mortgagee to take recovery action in respect of any other default by the mortgagor.</w:t>
      </w:r>
      <w:r>
        <w:rPr>
          <w:sz w:val="22"/>
        </w:rPr>
        <w:t>]</w:t>
      </w:r>
    </w:p>
    <w:p w:rsidR="003358CD" w:rsidRDefault="003358CD" w:rsidP="003358CD">
      <w:pPr>
        <w:pStyle w:val="Header"/>
        <w:widowControl/>
        <w:tabs>
          <w:tab w:val="clear" w:pos="4153"/>
          <w:tab w:val="clear" w:pos="8306"/>
          <w:tab w:val="left" w:pos="993"/>
        </w:tabs>
        <w:spacing w:line="240" w:lineRule="auto"/>
        <w:rPr>
          <w:i/>
          <w:sz w:val="22"/>
        </w:rPr>
      </w:pPr>
    </w:p>
    <w:p w:rsidR="003358CD" w:rsidRDefault="003358CD" w:rsidP="003358CD">
      <w:pPr>
        <w:pStyle w:val="Header"/>
        <w:widowControl/>
        <w:tabs>
          <w:tab w:val="clear" w:pos="4153"/>
          <w:tab w:val="clear" w:pos="8306"/>
          <w:tab w:val="left" w:pos="993"/>
        </w:tabs>
        <w:spacing w:line="240" w:lineRule="auto"/>
        <w:rPr>
          <w:sz w:val="22"/>
        </w:rPr>
      </w:pPr>
      <w:r>
        <w:t>Published: Northern Territory Government Gazette</w:t>
      </w:r>
      <w:proofErr w:type="gramStart"/>
      <w:r>
        <w:t>,G29</w:t>
      </w:r>
      <w:proofErr w:type="gramEnd"/>
      <w:r>
        <w:t>, 25 July 2001</w:t>
      </w:r>
    </w:p>
    <w:p w:rsidR="003358CD" w:rsidRDefault="003358CD" w:rsidP="003358CD">
      <w:pPr>
        <w:spacing w:line="240" w:lineRule="auto"/>
        <w:jc w:val="center"/>
      </w:pPr>
      <w:r>
        <w:t>____________________________</w:t>
      </w:r>
    </w:p>
    <w:p w:rsidR="00C52D56" w:rsidRPr="003358CD" w:rsidRDefault="003358CD" w:rsidP="003358CD">
      <w:pPr>
        <w:pStyle w:val="TOC1"/>
        <w:keepNext w:val="0"/>
        <w:keepLines w:val="0"/>
        <w:tabs>
          <w:tab w:val="clear" w:pos="688"/>
          <w:tab w:val="clear" w:pos="1668"/>
          <w:tab w:val="clear" w:pos="1948"/>
          <w:tab w:val="clear" w:pos="8267"/>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Times New Roman" w:hAnsi="Times New Roman"/>
        </w:rPr>
      </w:pPr>
      <w:r>
        <w:rPr>
          <w:rFonts w:ascii="Times New Roman" w:hAnsi="Times New Roman"/>
        </w:rPr>
        <w:t>__________________</w:t>
      </w:r>
    </w:p>
    <w:sectPr w:rsidR="00C52D56" w:rsidRPr="003358C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2C21"/>
    <w:multiLevelType w:val="singleLevel"/>
    <w:tmpl w:val="6218C55A"/>
    <w:lvl w:ilvl="0">
      <w:start w:val="2"/>
      <w:numFmt w:val="decimal"/>
      <w:lvlText w:val="%1."/>
      <w:lvlJc w:val="left"/>
      <w:pPr>
        <w:tabs>
          <w:tab w:val="num" w:pos="1443"/>
        </w:tabs>
        <w:ind w:left="1443"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CD"/>
    <w:rsid w:val="00252DEC"/>
    <w:rsid w:val="003358CD"/>
    <w:rsid w:val="008F5B68"/>
    <w:rsid w:val="00917DED"/>
    <w:rsid w:val="00C52D56"/>
    <w:rsid w:val="00CC1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eastAsia="Times New Roman"/>
      <w:sz w:val="26"/>
      <w:lang w:val="en-GB" w:eastAsia="en-AU"/>
    </w:rPr>
  </w:style>
  <w:style w:type="paragraph" w:styleId="Heading1">
    <w:name w:val="heading 1"/>
    <w:basedOn w:val="Normal"/>
    <w:next w:val="Normal"/>
    <w:link w:val="Heading1Char"/>
    <w:qFormat/>
    <w:rsid w:val="00CC1220"/>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CC1220"/>
    <w:pPr>
      <w:keepNext/>
      <w:spacing w:before="200" w:after="12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CC1220"/>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CC1220"/>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22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CC1220"/>
    <w:rPr>
      <w:rFonts w:ascii="Arial" w:eastAsiaTheme="majorEastAsia" w:hAnsi="Arial" w:cstheme="majorBidi"/>
      <w:b/>
      <w:bCs/>
      <w:iCs/>
      <w:color w:val="606060"/>
      <w:sz w:val="28"/>
      <w:szCs w:val="28"/>
      <w:lang w:eastAsia="en-AU"/>
    </w:rPr>
  </w:style>
  <w:style w:type="character" w:customStyle="1" w:styleId="Heading3Char">
    <w:name w:val="Heading 3 Char"/>
    <w:basedOn w:val="DefaultParagraphFont"/>
    <w:link w:val="Heading3"/>
    <w:rsid w:val="00CC1220"/>
    <w:rPr>
      <w:rFonts w:ascii="Arial" w:eastAsia="Times New Roman" w:hAnsi="Arial" w:cs="Arial"/>
      <w:b/>
      <w:bCs/>
      <w:sz w:val="24"/>
      <w:szCs w:val="26"/>
      <w:lang w:eastAsia="en-AU"/>
    </w:rPr>
  </w:style>
  <w:style w:type="character" w:customStyle="1" w:styleId="Heading4Char">
    <w:name w:val="Heading 4 Char"/>
    <w:basedOn w:val="DefaultParagraphFont"/>
    <w:link w:val="Heading4"/>
    <w:uiPriority w:val="9"/>
    <w:rsid w:val="00CC1220"/>
    <w:rPr>
      <w:rFonts w:ascii="Arial" w:eastAsiaTheme="majorEastAsia" w:hAnsi="Arial" w:cstheme="majorBidi"/>
      <w:b/>
      <w:bCs/>
      <w:iCs/>
      <w:color w:val="606060"/>
      <w:sz w:val="22"/>
      <w:lang w:eastAsia="en-AU"/>
    </w:rPr>
  </w:style>
  <w:style w:type="paragraph" w:styleId="Title">
    <w:name w:val="Title"/>
    <w:basedOn w:val="Normal"/>
    <w:next w:val="Normal"/>
    <w:link w:val="TitleChar"/>
    <w:uiPriority w:val="10"/>
    <w:qFormat/>
    <w:rsid w:val="00CC1220"/>
    <w:pPr>
      <w:spacing w:before="240" w:after="60"/>
      <w:jc w:val="center"/>
      <w:outlineLvl w:val="0"/>
    </w:pPr>
    <w:rPr>
      <w:rFonts w:eastAsiaTheme="majorEastAsia" w:cstheme="majorBidi"/>
      <w:b/>
      <w:bCs/>
      <w:kern w:val="28"/>
      <w:sz w:val="32"/>
      <w:szCs w:val="32"/>
      <w:lang w:eastAsia="en-US"/>
    </w:rPr>
  </w:style>
  <w:style w:type="character" w:customStyle="1" w:styleId="TitleChar">
    <w:name w:val="Title Char"/>
    <w:basedOn w:val="DefaultParagraphFont"/>
    <w:link w:val="Title"/>
    <w:uiPriority w:val="10"/>
    <w:rsid w:val="00CC1220"/>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CC1220"/>
    <w:pPr>
      <w:spacing w:after="60"/>
      <w:jc w:val="center"/>
      <w:outlineLvl w:val="1"/>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CC1220"/>
    <w:rPr>
      <w:rFonts w:ascii="Arial" w:eastAsiaTheme="majorEastAsia" w:hAnsi="Arial" w:cstheme="majorBidi"/>
      <w:sz w:val="24"/>
      <w:szCs w:val="24"/>
    </w:rPr>
  </w:style>
  <w:style w:type="paragraph" w:styleId="NoSpacing">
    <w:name w:val="No Spacing"/>
    <w:uiPriority w:val="1"/>
    <w:qFormat/>
    <w:rsid w:val="00CC1220"/>
    <w:rPr>
      <w:rFonts w:ascii="Arial" w:hAnsi="Arial"/>
      <w:sz w:val="22"/>
    </w:rPr>
  </w:style>
  <w:style w:type="paragraph" w:styleId="ListParagraph">
    <w:name w:val="List Paragraph"/>
    <w:basedOn w:val="Normal"/>
    <w:uiPriority w:val="34"/>
    <w:qFormat/>
    <w:rsid w:val="00CC1220"/>
    <w:pPr>
      <w:ind w:left="720"/>
      <w:contextualSpacing/>
    </w:pPr>
  </w:style>
  <w:style w:type="paragraph" w:styleId="TOC1">
    <w:name w:val="toc 1"/>
    <w:basedOn w:val="Normal"/>
    <w:next w:val="Normal"/>
    <w:semiHidden/>
    <w:rsid w:val="003358CD"/>
    <w:pPr>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88"/>
        <w:tab w:val="left" w:pos="1668"/>
        <w:tab w:val="left" w:pos="1948"/>
        <w:tab w:val="left" w:pos="8267"/>
      </w:tabs>
      <w:spacing w:before="240"/>
      <w:jc w:val="center"/>
    </w:pPr>
    <w:rPr>
      <w:rFonts w:ascii="Courier New" w:hAnsi="Courier New"/>
    </w:rPr>
  </w:style>
  <w:style w:type="paragraph" w:styleId="Header">
    <w:name w:val="header"/>
    <w:basedOn w:val="Normal"/>
    <w:link w:val="HeaderChar"/>
    <w:semiHidden/>
    <w:rsid w:val="003358CD"/>
    <w:pPr>
      <w:widowControl w:val="0"/>
      <w:tabs>
        <w:tab w:val="center" w:pos="4153"/>
        <w:tab w:val="right" w:pos="8306"/>
      </w:tabs>
    </w:pPr>
  </w:style>
  <w:style w:type="character" w:customStyle="1" w:styleId="HeaderChar">
    <w:name w:val="Header Char"/>
    <w:basedOn w:val="DefaultParagraphFont"/>
    <w:link w:val="Header"/>
    <w:semiHidden/>
    <w:rsid w:val="003358CD"/>
    <w:rPr>
      <w:rFonts w:eastAsia="Times New Roman"/>
      <w:sz w:val="2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eastAsia="Times New Roman"/>
      <w:sz w:val="26"/>
      <w:lang w:val="en-GB" w:eastAsia="en-AU"/>
    </w:rPr>
  </w:style>
  <w:style w:type="paragraph" w:styleId="Heading1">
    <w:name w:val="heading 1"/>
    <w:basedOn w:val="Normal"/>
    <w:next w:val="Normal"/>
    <w:link w:val="Heading1Char"/>
    <w:qFormat/>
    <w:rsid w:val="00CC1220"/>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CC1220"/>
    <w:pPr>
      <w:keepNext/>
      <w:spacing w:before="200" w:after="12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CC1220"/>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CC1220"/>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22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CC1220"/>
    <w:rPr>
      <w:rFonts w:ascii="Arial" w:eastAsiaTheme="majorEastAsia" w:hAnsi="Arial" w:cstheme="majorBidi"/>
      <w:b/>
      <w:bCs/>
      <w:iCs/>
      <w:color w:val="606060"/>
      <w:sz w:val="28"/>
      <w:szCs w:val="28"/>
      <w:lang w:eastAsia="en-AU"/>
    </w:rPr>
  </w:style>
  <w:style w:type="character" w:customStyle="1" w:styleId="Heading3Char">
    <w:name w:val="Heading 3 Char"/>
    <w:basedOn w:val="DefaultParagraphFont"/>
    <w:link w:val="Heading3"/>
    <w:rsid w:val="00CC1220"/>
    <w:rPr>
      <w:rFonts w:ascii="Arial" w:eastAsia="Times New Roman" w:hAnsi="Arial" w:cs="Arial"/>
      <w:b/>
      <w:bCs/>
      <w:sz w:val="24"/>
      <w:szCs w:val="26"/>
      <w:lang w:eastAsia="en-AU"/>
    </w:rPr>
  </w:style>
  <w:style w:type="character" w:customStyle="1" w:styleId="Heading4Char">
    <w:name w:val="Heading 4 Char"/>
    <w:basedOn w:val="DefaultParagraphFont"/>
    <w:link w:val="Heading4"/>
    <w:uiPriority w:val="9"/>
    <w:rsid w:val="00CC1220"/>
    <w:rPr>
      <w:rFonts w:ascii="Arial" w:eastAsiaTheme="majorEastAsia" w:hAnsi="Arial" w:cstheme="majorBidi"/>
      <w:b/>
      <w:bCs/>
      <w:iCs/>
      <w:color w:val="606060"/>
      <w:sz w:val="22"/>
      <w:lang w:eastAsia="en-AU"/>
    </w:rPr>
  </w:style>
  <w:style w:type="paragraph" w:styleId="Title">
    <w:name w:val="Title"/>
    <w:basedOn w:val="Normal"/>
    <w:next w:val="Normal"/>
    <w:link w:val="TitleChar"/>
    <w:uiPriority w:val="10"/>
    <w:qFormat/>
    <w:rsid w:val="00CC1220"/>
    <w:pPr>
      <w:spacing w:before="240" w:after="60"/>
      <w:jc w:val="center"/>
      <w:outlineLvl w:val="0"/>
    </w:pPr>
    <w:rPr>
      <w:rFonts w:eastAsiaTheme="majorEastAsia" w:cstheme="majorBidi"/>
      <w:b/>
      <w:bCs/>
      <w:kern w:val="28"/>
      <w:sz w:val="32"/>
      <w:szCs w:val="32"/>
      <w:lang w:eastAsia="en-US"/>
    </w:rPr>
  </w:style>
  <w:style w:type="character" w:customStyle="1" w:styleId="TitleChar">
    <w:name w:val="Title Char"/>
    <w:basedOn w:val="DefaultParagraphFont"/>
    <w:link w:val="Title"/>
    <w:uiPriority w:val="10"/>
    <w:rsid w:val="00CC1220"/>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CC1220"/>
    <w:pPr>
      <w:spacing w:after="60"/>
      <w:jc w:val="center"/>
      <w:outlineLvl w:val="1"/>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CC1220"/>
    <w:rPr>
      <w:rFonts w:ascii="Arial" w:eastAsiaTheme="majorEastAsia" w:hAnsi="Arial" w:cstheme="majorBidi"/>
      <w:sz w:val="24"/>
      <w:szCs w:val="24"/>
    </w:rPr>
  </w:style>
  <w:style w:type="paragraph" w:styleId="NoSpacing">
    <w:name w:val="No Spacing"/>
    <w:uiPriority w:val="1"/>
    <w:qFormat/>
    <w:rsid w:val="00CC1220"/>
    <w:rPr>
      <w:rFonts w:ascii="Arial" w:hAnsi="Arial"/>
      <w:sz w:val="22"/>
    </w:rPr>
  </w:style>
  <w:style w:type="paragraph" w:styleId="ListParagraph">
    <w:name w:val="List Paragraph"/>
    <w:basedOn w:val="Normal"/>
    <w:uiPriority w:val="34"/>
    <w:qFormat/>
    <w:rsid w:val="00CC1220"/>
    <w:pPr>
      <w:ind w:left="720"/>
      <w:contextualSpacing/>
    </w:pPr>
  </w:style>
  <w:style w:type="paragraph" w:styleId="TOC1">
    <w:name w:val="toc 1"/>
    <w:basedOn w:val="Normal"/>
    <w:next w:val="Normal"/>
    <w:semiHidden/>
    <w:rsid w:val="003358CD"/>
    <w:pPr>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88"/>
        <w:tab w:val="left" w:pos="1668"/>
        <w:tab w:val="left" w:pos="1948"/>
        <w:tab w:val="left" w:pos="8267"/>
      </w:tabs>
      <w:spacing w:before="240"/>
      <w:jc w:val="center"/>
    </w:pPr>
    <w:rPr>
      <w:rFonts w:ascii="Courier New" w:hAnsi="Courier New"/>
    </w:rPr>
  </w:style>
  <w:style w:type="paragraph" w:styleId="Header">
    <w:name w:val="header"/>
    <w:basedOn w:val="Normal"/>
    <w:link w:val="HeaderChar"/>
    <w:semiHidden/>
    <w:rsid w:val="003358CD"/>
    <w:pPr>
      <w:widowControl w:val="0"/>
      <w:tabs>
        <w:tab w:val="center" w:pos="4153"/>
        <w:tab w:val="right" w:pos="8306"/>
      </w:tabs>
    </w:pPr>
  </w:style>
  <w:style w:type="character" w:customStyle="1" w:styleId="HeaderChar">
    <w:name w:val="Header Char"/>
    <w:basedOn w:val="DefaultParagraphFont"/>
    <w:link w:val="Header"/>
    <w:semiHidden/>
    <w:rsid w:val="003358CD"/>
    <w:rPr>
      <w:rFonts w:eastAsia="Times New Roman"/>
      <w:sz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89(2) -  Notice of exercise of power of sale</vt:lpstr>
    </vt:vector>
  </TitlesOfParts>
  <Company>NTG</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89(2) -  Notice of exercise of power of sale - 25 July 2001</dc:title>
  <dc:creator>Northern Territory Government</dc:creator>
  <cp:lastModifiedBy>Aveen Ali</cp:lastModifiedBy>
  <cp:revision>3</cp:revision>
  <dcterms:created xsi:type="dcterms:W3CDTF">2016-05-13T03:24:00Z</dcterms:created>
  <dcterms:modified xsi:type="dcterms:W3CDTF">2016-08-25T05:47:00Z</dcterms:modified>
</cp:coreProperties>
</file>