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175B2D" w:rsidRDefault="00175B2D" w:rsidP="000E362A">
      <w:pPr>
        <w:pStyle w:val="Gazettenoanddate"/>
        <w:tabs>
          <w:tab w:val="left" w:pos="6747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3542B">
        <w:t>13</w:t>
      </w:r>
      <w:r w:rsidR="00D3542B">
        <w:tab/>
        <w:t>23</w:t>
      </w:r>
      <w:r>
        <w:t xml:space="preserve"> February 2016</w:t>
      </w:r>
    </w:p>
    <w:p w:rsidR="005D2EE4" w:rsidRPr="005D2EE4" w:rsidRDefault="00AC72AB" w:rsidP="00FD01F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0" w:after="0" w:line="360" w:lineRule="auto"/>
        <w:ind w:left="720" w:hanging="720"/>
        <w:jc w:val="center"/>
        <w:rPr>
          <w:rFonts w:eastAsia="Times New Roman" w:cs="Helvetica"/>
          <w:szCs w:val="24"/>
          <w:lang w:val="en-GB" w:eastAsia="en-AU"/>
        </w:rPr>
      </w:pPr>
      <w:r w:rsidRPr="00FD01F3">
        <w:rPr>
          <w:rFonts w:eastAsia="Times New Roman" w:cs="Helvetica"/>
          <w:szCs w:val="24"/>
          <w:lang w:val="en-GB" w:eastAsia="en-AU"/>
        </w:rPr>
        <w:t xml:space="preserve">Northern Territory </w:t>
      </w:r>
      <w:r w:rsidR="00FD01F3" w:rsidRPr="00FD01F3">
        <w:rPr>
          <w:rFonts w:eastAsia="Times New Roman" w:cs="Helvetica"/>
          <w:szCs w:val="24"/>
          <w:lang w:val="en-GB" w:eastAsia="en-AU"/>
        </w:rPr>
        <w:t>o</w:t>
      </w:r>
      <w:r w:rsidRPr="00FD01F3">
        <w:rPr>
          <w:rFonts w:eastAsia="Times New Roman" w:cs="Helvetica"/>
          <w:szCs w:val="24"/>
          <w:lang w:val="en-GB" w:eastAsia="en-AU"/>
        </w:rPr>
        <w:t>f Australia</w:t>
      </w:r>
    </w:p>
    <w:p w:rsidR="005D2EE4" w:rsidRPr="005D2EE4" w:rsidRDefault="005D2EE4" w:rsidP="005D2EE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 w:line="360" w:lineRule="auto"/>
        <w:ind w:left="720" w:hanging="720"/>
        <w:jc w:val="center"/>
        <w:rPr>
          <w:rFonts w:eastAsia="Times New Roman" w:cs="Helvetica"/>
          <w:i/>
          <w:szCs w:val="24"/>
          <w:lang w:val="en-GB" w:eastAsia="en-AU"/>
        </w:rPr>
      </w:pPr>
      <w:r w:rsidRPr="005D2EE4">
        <w:rPr>
          <w:rFonts w:eastAsia="Times New Roman" w:cs="Helvetica"/>
          <w:i/>
          <w:szCs w:val="24"/>
          <w:lang w:val="en-GB" w:eastAsia="en-AU"/>
        </w:rPr>
        <w:t>Medicines, Poisons and Therapeutic Goods Act</w:t>
      </w:r>
    </w:p>
    <w:p w:rsidR="005D2EE4" w:rsidRPr="005D2EE4" w:rsidRDefault="00AC72AB" w:rsidP="005D2EE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/>
        <w:ind w:left="720" w:hanging="720"/>
        <w:jc w:val="center"/>
        <w:rPr>
          <w:rFonts w:eastAsia="Times New Roman" w:cs="Helvetica"/>
          <w:szCs w:val="24"/>
          <w:lang w:val="en-GB" w:eastAsia="en-AU"/>
        </w:rPr>
      </w:pPr>
      <w:r w:rsidRPr="00AC72AB">
        <w:rPr>
          <w:rFonts w:eastAsia="Times New Roman" w:cs="Helvetica"/>
          <w:szCs w:val="24"/>
          <w:lang w:val="en-GB" w:eastAsia="en-AU"/>
        </w:rPr>
        <w:t xml:space="preserve">Prescribed Qualifications </w:t>
      </w:r>
      <w:r w:rsidR="00FD01F3" w:rsidRPr="00AC72AB">
        <w:rPr>
          <w:rFonts w:eastAsia="Times New Roman" w:cs="Helvetica"/>
          <w:szCs w:val="24"/>
          <w:lang w:val="en-GB" w:eastAsia="en-AU"/>
        </w:rPr>
        <w:t>t</w:t>
      </w:r>
      <w:r w:rsidRPr="00AC72AB">
        <w:rPr>
          <w:rFonts w:eastAsia="Times New Roman" w:cs="Helvetica"/>
          <w:szCs w:val="24"/>
          <w:lang w:val="en-GB" w:eastAsia="en-AU"/>
        </w:rPr>
        <w:t xml:space="preserve">o Supply </w:t>
      </w:r>
      <w:r w:rsidR="00FD01F3" w:rsidRPr="00AC72AB">
        <w:rPr>
          <w:rFonts w:eastAsia="Times New Roman" w:cs="Helvetica"/>
          <w:szCs w:val="24"/>
          <w:lang w:val="en-GB" w:eastAsia="en-AU"/>
        </w:rPr>
        <w:t>o</w:t>
      </w:r>
      <w:r w:rsidRPr="00AC72AB">
        <w:rPr>
          <w:rFonts w:eastAsia="Times New Roman" w:cs="Helvetica"/>
          <w:szCs w:val="24"/>
          <w:lang w:val="en-GB" w:eastAsia="en-AU"/>
        </w:rPr>
        <w:t xml:space="preserve">r Administer </w:t>
      </w:r>
      <w:r w:rsidR="00FD01F3" w:rsidRPr="00AC72AB">
        <w:rPr>
          <w:rFonts w:eastAsia="Times New Roman" w:cs="Helvetica"/>
          <w:szCs w:val="24"/>
          <w:lang w:val="en-GB" w:eastAsia="en-AU"/>
        </w:rPr>
        <w:t>o</w:t>
      </w:r>
      <w:r w:rsidRPr="00AC72AB">
        <w:rPr>
          <w:rFonts w:eastAsia="Times New Roman" w:cs="Helvetica"/>
          <w:szCs w:val="24"/>
          <w:lang w:val="en-GB" w:eastAsia="en-AU"/>
        </w:rPr>
        <w:t>r Possess Vaccinations</w:t>
      </w:r>
    </w:p>
    <w:p w:rsidR="005D2EE4" w:rsidRPr="005D2EE4" w:rsidRDefault="005D2EE4" w:rsidP="005D2EE4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hanging="720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I, Dinesh Arya Kumar, Chief Health Officer:</w:t>
      </w:r>
    </w:p>
    <w:p w:rsidR="005D2EE4" w:rsidRPr="005D2EE4" w:rsidRDefault="005D2EE4" w:rsidP="005D2EE4">
      <w:pPr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418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under sections 63(2) and 65(1A) of the </w:t>
      </w:r>
      <w:r w:rsidRPr="005D2EE4">
        <w:rPr>
          <w:rFonts w:eastAsia="Times New Roman" w:cs="Helvetica"/>
          <w:i/>
          <w:szCs w:val="24"/>
          <w:lang w:val="en-GB" w:eastAsia="en-AU"/>
        </w:rPr>
        <w:t>Medicines, Poisons and Therapeutic Goods Act</w:t>
      </w:r>
      <w:r w:rsidRPr="005D2EE4">
        <w:rPr>
          <w:rFonts w:eastAsia="Times New Roman" w:cs="Helvetica"/>
          <w:szCs w:val="24"/>
          <w:lang w:val="en-GB" w:eastAsia="en-AU"/>
        </w:rPr>
        <w:t xml:space="preserve"> (</w:t>
      </w:r>
      <w:r w:rsidRPr="005D2EE4">
        <w:rPr>
          <w:rFonts w:eastAsia="Times New Roman" w:cs="Helvetica"/>
          <w:b/>
          <w:szCs w:val="24"/>
          <w:lang w:val="en-GB" w:eastAsia="en-AU"/>
        </w:rPr>
        <w:t>Act</w:t>
      </w:r>
      <w:r w:rsidRPr="005D2EE4">
        <w:rPr>
          <w:rFonts w:eastAsia="Times New Roman" w:cs="Helvetica"/>
          <w:szCs w:val="24"/>
          <w:lang w:val="en-GB" w:eastAsia="en-AU"/>
        </w:rPr>
        <w:t xml:space="preserve">) with reference to section 43 of the </w:t>
      </w:r>
      <w:r w:rsidRPr="005D2EE4">
        <w:rPr>
          <w:rFonts w:eastAsia="Times New Roman" w:cs="Helvetica"/>
          <w:i/>
          <w:szCs w:val="24"/>
          <w:lang w:val="en-GB" w:eastAsia="en-AU"/>
        </w:rPr>
        <w:t>Interpretation Act</w:t>
      </w:r>
      <w:r w:rsidRPr="005D2EE4">
        <w:rPr>
          <w:rFonts w:eastAsia="Times New Roman" w:cs="Helvetica"/>
          <w:szCs w:val="24"/>
          <w:lang w:val="en-GB" w:eastAsia="en-AU"/>
        </w:rPr>
        <w:t>, revoke the notice entitled ‘Prescribed</w:t>
      </w:r>
      <w:r w:rsidR="00FD01F3">
        <w:rPr>
          <w:rFonts w:eastAsia="Times New Roman" w:cs="Helvetica"/>
          <w:szCs w:val="24"/>
          <w:lang w:val="en-GB" w:eastAsia="en-AU"/>
        </w:rPr>
        <w:t> </w:t>
      </w:r>
      <w:r w:rsidRPr="005D2EE4">
        <w:rPr>
          <w:rFonts w:eastAsia="Times New Roman" w:cs="Helvetica"/>
          <w:szCs w:val="24"/>
          <w:lang w:val="en-GB" w:eastAsia="en-AU"/>
        </w:rPr>
        <w:t>Qualifications to Supply or Administer or Possess</w:t>
      </w:r>
      <w:r w:rsidR="00FD01F3">
        <w:rPr>
          <w:rFonts w:eastAsia="Times New Roman" w:cs="Helvetica"/>
          <w:szCs w:val="24"/>
          <w:lang w:val="en-GB" w:eastAsia="en-AU"/>
        </w:rPr>
        <w:t> </w:t>
      </w:r>
      <w:r w:rsidRPr="005D2EE4">
        <w:rPr>
          <w:rFonts w:eastAsia="Times New Roman" w:cs="Helvetica"/>
          <w:szCs w:val="24"/>
          <w:lang w:val="en-GB" w:eastAsia="en-AU"/>
        </w:rPr>
        <w:t xml:space="preserve">Vaccinations’ dated 24 April 2014 and published in </w:t>
      </w:r>
      <w:r w:rsidRPr="0019747B">
        <w:rPr>
          <w:rFonts w:eastAsia="Times New Roman" w:cs="Helvetica"/>
          <w:i/>
          <w:szCs w:val="24"/>
          <w:lang w:val="en-GB" w:eastAsia="en-AU"/>
        </w:rPr>
        <w:t>Gazette</w:t>
      </w:r>
      <w:r w:rsidRPr="005D2EE4">
        <w:rPr>
          <w:rFonts w:eastAsia="Times New Roman" w:cs="Helvetica"/>
          <w:szCs w:val="24"/>
          <w:lang w:val="en-GB" w:eastAsia="en-AU"/>
        </w:rPr>
        <w:t xml:space="preserve"> S22 of 30 April 2014; and</w:t>
      </w:r>
    </w:p>
    <w:p w:rsidR="005D2EE4" w:rsidRPr="005D2EE4" w:rsidRDefault="005D2EE4" w:rsidP="005D2EE4">
      <w:pPr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418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under section 63(2) of the Act, prescribe any one of the qualifications in Schedule 1 and any one of the </w:t>
      </w:r>
      <w:bookmarkStart w:id="4" w:name="_GoBack"/>
      <w:bookmarkEnd w:id="4"/>
      <w:r w:rsidRPr="005D2EE4">
        <w:rPr>
          <w:rFonts w:eastAsia="Times New Roman" w:cs="Helvetica"/>
          <w:szCs w:val="24"/>
          <w:lang w:val="en-GB" w:eastAsia="en-AU"/>
        </w:rPr>
        <w:t>qualifications in Schedule 2 as the qualifications required by an Aboriginal and Torres Strait Islander health practitioner (</w:t>
      </w:r>
      <w:r w:rsidRPr="005D2EE4">
        <w:rPr>
          <w:rFonts w:eastAsia="Times New Roman" w:cs="Helvetica"/>
          <w:b/>
          <w:szCs w:val="24"/>
          <w:lang w:val="en-GB" w:eastAsia="en-AU"/>
        </w:rPr>
        <w:t>health</w:t>
      </w:r>
      <w:r w:rsidRPr="005D2EE4">
        <w:rPr>
          <w:rFonts w:eastAsia="Times New Roman" w:cs="Helvetica"/>
          <w:szCs w:val="24"/>
          <w:lang w:val="en-GB" w:eastAsia="en-AU"/>
        </w:rPr>
        <w:t xml:space="preserve"> </w:t>
      </w:r>
      <w:r w:rsidRPr="005D2EE4">
        <w:rPr>
          <w:rFonts w:eastAsia="Times New Roman" w:cs="Helvetica"/>
          <w:b/>
          <w:szCs w:val="24"/>
          <w:lang w:val="en-GB" w:eastAsia="en-AU"/>
        </w:rPr>
        <w:t>practitioner</w:t>
      </w:r>
      <w:r w:rsidRPr="005D2EE4">
        <w:rPr>
          <w:rFonts w:eastAsia="Times New Roman" w:cs="Helvetica"/>
          <w:szCs w:val="24"/>
          <w:lang w:val="en-GB" w:eastAsia="en-AU"/>
        </w:rPr>
        <w:t>), in</w:t>
      </w:r>
      <w:r w:rsidR="00FD01F3">
        <w:rPr>
          <w:rFonts w:eastAsia="Times New Roman" w:cs="Helvetica"/>
          <w:szCs w:val="24"/>
          <w:lang w:val="en-GB" w:eastAsia="en-AU"/>
        </w:rPr>
        <w:t> </w:t>
      </w:r>
      <w:r w:rsidRPr="005D2EE4">
        <w:rPr>
          <w:rFonts w:eastAsia="Times New Roman" w:cs="Helvetica"/>
          <w:szCs w:val="24"/>
          <w:lang w:val="en-GB" w:eastAsia="en-AU"/>
        </w:rPr>
        <w:t>the course of practising in the Aboriginal and Torres Strait Islander health practice profession, to:</w:t>
      </w:r>
    </w:p>
    <w:p w:rsidR="005D2EE4" w:rsidRPr="005D2EE4" w:rsidRDefault="005D2EE4" w:rsidP="005D2EE4">
      <w:pPr>
        <w:widowControl/>
        <w:numPr>
          <w:ilvl w:val="0"/>
          <w:numId w:val="32"/>
        </w:num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2127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supply or administer a Schedule 4 substance that is a vaccine to a person; and </w:t>
      </w:r>
    </w:p>
    <w:p w:rsidR="005D2EE4" w:rsidRPr="005D2EE4" w:rsidRDefault="005D2EE4" w:rsidP="005D2EE4">
      <w:pPr>
        <w:widowControl/>
        <w:numPr>
          <w:ilvl w:val="0"/>
          <w:numId w:val="32"/>
        </w:num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240" w:line="360" w:lineRule="auto"/>
        <w:ind w:left="2127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possess that substance for those purposes; and </w:t>
      </w:r>
    </w:p>
    <w:p w:rsidR="005D2EE4" w:rsidRPr="005D2EE4" w:rsidRDefault="005D2EE4" w:rsidP="005D2EE4">
      <w:pPr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418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lastRenderedPageBreak/>
        <w:t>under section 65(1A) of the Act, prescribe any one of the qualifications in the Schedule 1 and any one of the qualifications in Schedule 2 as the qualifications required by a nurse or midwife (</w:t>
      </w:r>
      <w:r w:rsidRPr="005D2EE4">
        <w:rPr>
          <w:rFonts w:eastAsia="Times New Roman" w:cs="Helvetica"/>
          <w:b/>
          <w:szCs w:val="24"/>
          <w:lang w:val="en-GB" w:eastAsia="en-AU"/>
        </w:rPr>
        <w:t>health</w:t>
      </w:r>
      <w:r w:rsidRPr="005D2EE4">
        <w:rPr>
          <w:rFonts w:eastAsia="Times New Roman" w:cs="Helvetica"/>
          <w:szCs w:val="24"/>
          <w:lang w:val="en-GB" w:eastAsia="en-AU"/>
        </w:rPr>
        <w:t xml:space="preserve"> </w:t>
      </w:r>
      <w:r w:rsidRPr="005D2EE4">
        <w:rPr>
          <w:rFonts w:eastAsia="Times New Roman" w:cs="Helvetica"/>
          <w:b/>
          <w:szCs w:val="24"/>
          <w:lang w:val="en-GB" w:eastAsia="en-AU"/>
        </w:rPr>
        <w:t>practitioner</w:t>
      </w:r>
      <w:r w:rsidRPr="005D2EE4">
        <w:rPr>
          <w:rFonts w:eastAsia="Times New Roman" w:cs="Helvetica"/>
          <w:szCs w:val="24"/>
          <w:lang w:val="en-GB" w:eastAsia="en-AU"/>
        </w:rPr>
        <w:t>), in the course of practising in the nursing or midwifery profession as a nurse or midwife, to:</w:t>
      </w:r>
    </w:p>
    <w:p w:rsidR="005D2EE4" w:rsidRPr="005D2EE4" w:rsidRDefault="005D2EE4" w:rsidP="005D2EE4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2127" w:hanging="687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supply or administer a Schedule 4 substance that is a vaccine to a person; and </w:t>
      </w:r>
    </w:p>
    <w:p w:rsidR="005D2EE4" w:rsidRPr="005D2EE4" w:rsidRDefault="005D2EE4" w:rsidP="005D2EE4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240" w:line="360" w:lineRule="auto"/>
        <w:ind w:left="2126" w:hanging="686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possess that substance for those purposes; and</w:t>
      </w:r>
    </w:p>
    <w:p w:rsidR="005D2EE4" w:rsidRPr="005D2EE4" w:rsidRDefault="005D2EE4" w:rsidP="005D2EE4">
      <w:pPr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418" w:hanging="709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 xml:space="preserve">with reference to section 42(1)(b) of the </w:t>
      </w:r>
      <w:r w:rsidRPr="005D2EE4">
        <w:rPr>
          <w:rFonts w:eastAsia="Times New Roman" w:cs="Helvetica"/>
          <w:i/>
          <w:szCs w:val="24"/>
          <w:lang w:val="en-GB" w:eastAsia="en-AU"/>
        </w:rPr>
        <w:t>Interpretation Act</w:t>
      </w:r>
      <w:r w:rsidRPr="005D2EE4">
        <w:rPr>
          <w:rFonts w:eastAsia="Times New Roman" w:cs="Helvetica"/>
          <w:szCs w:val="24"/>
          <w:lang w:val="en-GB" w:eastAsia="en-AU"/>
        </w:rPr>
        <w:t>, prescribe the qualifications mentioned in subparagraphs (a)(</w:t>
      </w:r>
      <w:proofErr w:type="spellStart"/>
      <w:r w:rsidRPr="005D2EE4">
        <w:rPr>
          <w:rFonts w:eastAsia="Times New Roman" w:cs="Helvetica"/>
          <w:szCs w:val="24"/>
          <w:lang w:val="en-GB" w:eastAsia="en-AU"/>
        </w:rPr>
        <w:t>i</w:t>
      </w:r>
      <w:proofErr w:type="spellEnd"/>
      <w:r w:rsidRPr="005D2EE4">
        <w:rPr>
          <w:rFonts w:eastAsia="Times New Roman" w:cs="Helvetica"/>
          <w:szCs w:val="24"/>
          <w:lang w:val="en-GB" w:eastAsia="en-AU"/>
        </w:rPr>
        <w:t>) and (a)(ii) of this instrument, subject to the conditions specified in Schedule 3.</w:t>
      </w:r>
    </w:p>
    <w:p w:rsidR="005D2EE4" w:rsidRPr="005D2EE4" w:rsidRDefault="005D2EE4" w:rsidP="005D2EE4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hanging="720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In this instrument:</w:t>
      </w:r>
    </w:p>
    <w:p w:rsidR="005D2EE4" w:rsidRPr="005D2EE4" w:rsidRDefault="005D2EE4" w:rsidP="005D2EE4">
      <w:pPr>
        <w:widowControl/>
        <w:tabs>
          <w:tab w:val="left" w:pos="0"/>
        </w:tabs>
        <w:suppressAutoHyphens/>
        <w:spacing w:before="120" w:after="120" w:line="360" w:lineRule="auto"/>
        <w:ind w:left="720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b/>
          <w:i/>
          <w:szCs w:val="24"/>
          <w:lang w:val="en-GB" w:eastAsia="en-AU"/>
        </w:rPr>
        <w:t>Schedule 4 substance</w:t>
      </w:r>
      <w:r w:rsidRPr="005D2EE4">
        <w:rPr>
          <w:rFonts w:eastAsia="Times New Roman" w:cs="Helvetica"/>
          <w:szCs w:val="24"/>
          <w:lang w:val="en-GB" w:eastAsia="en-AU"/>
        </w:rPr>
        <w:t>,</w:t>
      </w:r>
      <w:r w:rsidRPr="005D2EE4">
        <w:rPr>
          <w:rFonts w:eastAsia="Times New Roman" w:cs="Helvetica"/>
          <w:b/>
          <w:i/>
          <w:szCs w:val="24"/>
          <w:lang w:val="en-GB" w:eastAsia="en-AU"/>
        </w:rPr>
        <w:t xml:space="preserve"> </w:t>
      </w:r>
      <w:r w:rsidRPr="005D2EE4">
        <w:rPr>
          <w:rFonts w:eastAsia="Times New Roman" w:cs="Helvetica"/>
          <w:szCs w:val="24"/>
          <w:lang w:val="en-GB" w:eastAsia="en-AU"/>
        </w:rPr>
        <w:t>see section 7(2) of the Act.</w:t>
      </w:r>
    </w:p>
    <w:p w:rsidR="005D2EE4" w:rsidRPr="005D2EE4" w:rsidRDefault="005D2EE4" w:rsidP="005D2EE4">
      <w:pPr>
        <w:widowControl/>
        <w:tabs>
          <w:tab w:val="left" w:pos="0"/>
        </w:tabs>
        <w:suppressAutoHyphens/>
        <w:spacing w:before="120" w:after="120" w:line="360" w:lineRule="auto"/>
        <w:ind w:left="720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b/>
          <w:i/>
          <w:szCs w:val="24"/>
          <w:lang w:val="en-GB" w:eastAsia="en-AU"/>
        </w:rPr>
        <w:t>Scheduled substance treatment protocol</w:t>
      </w:r>
      <w:r w:rsidRPr="005D2EE4">
        <w:rPr>
          <w:rFonts w:eastAsia="Times New Roman" w:cs="Helvetica"/>
          <w:i/>
          <w:szCs w:val="24"/>
          <w:lang w:val="en-GB" w:eastAsia="en-AU"/>
        </w:rPr>
        <w:t xml:space="preserve">, </w:t>
      </w:r>
      <w:r w:rsidRPr="005D2EE4">
        <w:rPr>
          <w:rFonts w:eastAsia="Times New Roman" w:cs="Helvetica"/>
          <w:szCs w:val="24"/>
          <w:lang w:val="en-GB" w:eastAsia="en-AU"/>
        </w:rPr>
        <w:t>see section 5 of the Act.</w:t>
      </w:r>
    </w:p>
    <w:p w:rsidR="005D2EE4" w:rsidRPr="005D2EE4" w:rsidRDefault="005D2EE4" w:rsidP="00FD01F3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after="240" w:line="360" w:lineRule="auto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Dated</w:t>
      </w:r>
      <w:r w:rsidR="00FD01F3">
        <w:rPr>
          <w:rFonts w:eastAsia="Times New Roman" w:cs="Helvetica"/>
          <w:szCs w:val="24"/>
          <w:lang w:val="en-GB" w:eastAsia="en-AU"/>
        </w:rPr>
        <w:t xml:space="preserve"> 19 February 2016</w:t>
      </w:r>
    </w:p>
    <w:p w:rsidR="005D2EE4" w:rsidRPr="005D2EE4" w:rsidRDefault="008903F5" w:rsidP="00FD01F3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after="0"/>
        <w:jc w:val="right"/>
        <w:rPr>
          <w:rFonts w:eastAsia="Times New Roman" w:cs="Helvetica"/>
          <w:szCs w:val="24"/>
          <w:lang w:val="en-GB" w:eastAsia="en-AU"/>
        </w:rPr>
      </w:pPr>
      <w:r>
        <w:rPr>
          <w:rFonts w:eastAsia="Times New Roman" w:cs="Helvetica"/>
          <w:szCs w:val="24"/>
          <w:lang w:val="en-GB" w:eastAsia="en-AU"/>
        </w:rPr>
        <w:t>D. A. Kumar</w:t>
      </w:r>
    </w:p>
    <w:p w:rsidR="005D2EE4" w:rsidRPr="005D2EE4" w:rsidRDefault="005D2EE4" w:rsidP="005D2EE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 w:line="360" w:lineRule="auto"/>
        <w:jc w:val="right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Chief Health Officer</w:t>
      </w:r>
    </w:p>
    <w:p w:rsidR="005D2EE4" w:rsidRPr="005D2EE4" w:rsidRDefault="008903F5" w:rsidP="008903F5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360" w:lineRule="auto"/>
        <w:jc w:val="center"/>
        <w:rPr>
          <w:rFonts w:eastAsia="Times New Roman" w:cs="Helvetica"/>
          <w:b/>
          <w:szCs w:val="24"/>
          <w:lang w:val="en-GB" w:eastAsia="en-AU"/>
        </w:rPr>
      </w:pPr>
      <w:r w:rsidRPr="005D2EE4">
        <w:rPr>
          <w:rFonts w:eastAsia="Times New Roman" w:cs="Helvetica"/>
          <w:b/>
          <w:szCs w:val="24"/>
          <w:lang w:val="en-GB" w:eastAsia="en-AU"/>
        </w:rPr>
        <w:lastRenderedPageBreak/>
        <w:t>Schedule 1</w:t>
      </w:r>
    </w:p>
    <w:tbl>
      <w:tblPr>
        <w:tblW w:w="0" w:type="auto"/>
        <w:tblInd w:w="108" w:type="dxa"/>
        <w:tblLook w:val="04A0" w:firstRow="1" w:lastRow="0" w:firstColumn="1" w:lastColumn="0" w:noHBand="0" w:noVBand="1"/>
        <w:tblCaption w:val="Schedule 1"/>
      </w:tblPr>
      <w:tblGrid>
        <w:gridCol w:w="2268"/>
        <w:gridCol w:w="2694"/>
        <w:gridCol w:w="3685"/>
      </w:tblGrid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jc w:val="center"/>
              <w:rPr>
                <w:rFonts w:eastAsia="Times New Roman" w:cs="Helvetica"/>
                <w:b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b/>
                <w:szCs w:val="24"/>
                <w:lang w:val="en-GB" w:eastAsia="en-AU"/>
              </w:rPr>
              <w:t>State/Territory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9837D8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jc w:val="center"/>
              <w:rPr>
                <w:rFonts w:eastAsia="Times New Roman" w:cs="Helvetica"/>
                <w:b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b/>
                <w:szCs w:val="24"/>
                <w:lang w:val="en-GB" w:eastAsia="en-AU"/>
              </w:rPr>
              <w:t>Provider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jc w:val="center"/>
              <w:rPr>
                <w:rFonts w:eastAsia="Times New Roman" w:cs="Helvetica"/>
                <w:b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b/>
                <w:szCs w:val="24"/>
                <w:lang w:val="en-GB" w:eastAsia="en-AU"/>
              </w:rPr>
              <w:t>Qualification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New South Wales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The Australian College of Nursing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Immunisation Course for Registered Nurses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Northern Territory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Centre for Disease Control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About Giving Vaccines Course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South Australia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Department of Health and Aging (SA)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South Australian Two Day Immunisation Education Workshop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South Australia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Department of Health and Aging (SA)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Immunise the Basics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South Australia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 xml:space="preserve">Department of Health and Aging (SA) 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 Short Course on Immunology and Immunisation for Nurses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 w:line="360" w:lineRule="auto"/>
              <w:jc w:val="both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South Australia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 xml:space="preserve">Department of Health and Aging (SA) 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276" w:lineRule="auto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 xml:space="preserve">Understanding vaccines and the immunisation program 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Queensland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Australian Catholic University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Certificate of Immunisation Course of The Program for Nurse Immunisers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Queensland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Central Queensland Health Service District Education and Research Unit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Advanced Nursing Practice: Immunisation Course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Queensland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Cunningham Centre –Toowoomba and Cairns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Immunisation Program – Registered Nurse Health (Drugs and Poisons) Regulation 1996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Queensland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University of Southern Queensland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ANP5004 Immunisation Nursing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Queensland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proofErr w:type="spellStart"/>
            <w:r w:rsidRPr="005D2EE4">
              <w:rPr>
                <w:rFonts w:eastAsia="Times New Roman" w:cs="Helvetica"/>
                <w:szCs w:val="24"/>
                <w:lang w:val="en-GB" w:eastAsia="en-AU"/>
              </w:rPr>
              <w:t>Yangulla</w:t>
            </w:r>
            <w:proofErr w:type="spellEnd"/>
            <w:r w:rsidRPr="005D2EE4">
              <w:rPr>
                <w:rFonts w:eastAsia="Times New Roman" w:cs="Helvetica"/>
                <w:szCs w:val="24"/>
                <w:lang w:val="en-GB" w:eastAsia="en-AU"/>
              </w:rPr>
              <w:t xml:space="preserve"> Centre Rural Health Training Unit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Advanced Nursing Practice: Immunisation Course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Tasmania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University of Tasmania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Immunisation Education for Registered Nurses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Victoria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La Trobe University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Nurse Immuniser Program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Victoria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University of Melbourne General Practice and Primary Health Care Academic Centre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Immunisation and travel Health</w:t>
            </w:r>
          </w:p>
        </w:tc>
      </w:tr>
      <w:tr w:rsidR="005D2EE4" w:rsidRPr="005D2EE4" w:rsidTr="009837D8">
        <w:tc>
          <w:tcPr>
            <w:tcW w:w="2268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Western Australia</w:t>
            </w:r>
          </w:p>
        </w:tc>
        <w:tc>
          <w:tcPr>
            <w:tcW w:w="2694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WA Health</w:t>
            </w:r>
          </w:p>
        </w:tc>
        <w:tc>
          <w:tcPr>
            <w:tcW w:w="3685" w:type="dxa"/>
            <w:shd w:val="clear" w:color="auto" w:fill="auto"/>
          </w:tcPr>
          <w:p w:rsidR="005D2EE4" w:rsidRPr="005D2EE4" w:rsidRDefault="005D2EE4" w:rsidP="005D2EE4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eastAsia="Times New Roman" w:cs="Helvetica"/>
                <w:szCs w:val="24"/>
                <w:lang w:val="en-GB" w:eastAsia="en-AU"/>
              </w:rPr>
            </w:pPr>
            <w:r w:rsidRPr="005D2EE4">
              <w:rPr>
                <w:rFonts w:eastAsia="Times New Roman" w:cs="Helvetica"/>
                <w:szCs w:val="24"/>
                <w:lang w:val="en-GB" w:eastAsia="en-AU"/>
              </w:rPr>
              <w:t>Immunisation Certification</w:t>
            </w:r>
          </w:p>
        </w:tc>
      </w:tr>
    </w:tbl>
    <w:p w:rsidR="005D2EE4" w:rsidRPr="005D2EE4" w:rsidRDefault="008903F5" w:rsidP="00D3542B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 w:after="0" w:line="360" w:lineRule="auto"/>
        <w:jc w:val="center"/>
        <w:rPr>
          <w:rFonts w:eastAsia="Times New Roman" w:cs="Helvetica"/>
          <w:b/>
          <w:szCs w:val="24"/>
          <w:lang w:val="en-GB" w:eastAsia="en-AU"/>
        </w:rPr>
      </w:pPr>
      <w:r w:rsidRPr="005D2EE4">
        <w:rPr>
          <w:rFonts w:eastAsia="Times New Roman" w:cs="Helvetica"/>
          <w:b/>
          <w:szCs w:val="24"/>
          <w:lang w:val="en-GB" w:eastAsia="en-AU"/>
        </w:rPr>
        <w:lastRenderedPageBreak/>
        <w:t>Schedule 2</w:t>
      </w:r>
    </w:p>
    <w:p w:rsidR="005D2EE4" w:rsidRPr="005D2EE4" w:rsidRDefault="005D2EE4" w:rsidP="005D2EE4">
      <w:pPr>
        <w:widowControl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 w:line="360" w:lineRule="auto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1</w:t>
      </w:r>
      <w:r w:rsidRPr="005D2EE4">
        <w:rPr>
          <w:rFonts w:eastAsia="Times New Roman" w:cs="Helvetica"/>
          <w:szCs w:val="24"/>
          <w:lang w:val="en-GB" w:eastAsia="en-AU"/>
        </w:rPr>
        <w:tab/>
        <w:t>Basic Life Support Certificate or Apply First Aid Certificate</w:t>
      </w:r>
    </w:p>
    <w:p w:rsidR="005D2EE4" w:rsidRPr="005D2EE4" w:rsidRDefault="008903F5" w:rsidP="00D3542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480" w:after="0" w:line="360" w:lineRule="auto"/>
        <w:jc w:val="center"/>
        <w:rPr>
          <w:rFonts w:eastAsia="Times New Roman" w:cs="Helvetica"/>
          <w:b/>
          <w:szCs w:val="24"/>
          <w:lang w:val="en-GB" w:eastAsia="en-AU"/>
        </w:rPr>
      </w:pPr>
      <w:r w:rsidRPr="005D2EE4">
        <w:rPr>
          <w:rFonts w:eastAsia="Times New Roman" w:cs="Helvetica"/>
          <w:b/>
          <w:szCs w:val="24"/>
          <w:lang w:val="en-GB" w:eastAsia="en-AU"/>
        </w:rPr>
        <w:t>Schedule 3</w:t>
      </w:r>
    </w:p>
    <w:p w:rsidR="005D2EE4" w:rsidRPr="005D2EE4" w:rsidRDefault="005D2EE4" w:rsidP="009837D8">
      <w:pPr>
        <w:widowControl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health practitioner must be registered with the Australian Health Practitioner Regulation Agency without conditions.</w:t>
      </w:r>
    </w:p>
    <w:p w:rsidR="005D2EE4" w:rsidRPr="005D2EE4" w:rsidRDefault="005D2EE4" w:rsidP="005D2EE4">
      <w:pPr>
        <w:widowControl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health practitioner must adhere to the Scheduled substance treatment protocol which has been approved by the Chief Health Officer.</w:t>
      </w:r>
    </w:p>
    <w:p w:rsidR="005D2EE4" w:rsidRPr="005D2EE4" w:rsidRDefault="005D2EE4" w:rsidP="005D2EE4">
      <w:pPr>
        <w:widowControl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health practitioner’s qualifications specified in Schedule 2 must be current and the health practitioner must provide documentary evidence of the qualifications.</w:t>
      </w:r>
    </w:p>
    <w:p w:rsidR="005D2EE4" w:rsidRPr="005D2EE4" w:rsidRDefault="005D2EE4" w:rsidP="005D2EE4">
      <w:pPr>
        <w:widowControl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health practitioner must provide documentary evidence of the qualification specified in Schedule 1 from the provider including the date on which the qualification was obtained.</w:t>
      </w:r>
    </w:p>
    <w:p w:rsidR="005D2EE4" w:rsidRPr="005D2EE4" w:rsidRDefault="005D2EE4" w:rsidP="005D2EE4">
      <w:pPr>
        <w:widowControl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A health practitioner who completed a qualification specified in Schedule 1 from an interstate provider is only authorised under subparagraphs (a)(ii)</w:t>
      </w:r>
      <w:r w:rsidR="008903F5">
        <w:rPr>
          <w:rFonts w:eastAsia="Times New Roman" w:cs="Helvetica"/>
          <w:szCs w:val="24"/>
          <w:lang w:val="en-GB" w:eastAsia="en-AU"/>
        </w:rPr>
        <w:t> </w:t>
      </w:r>
      <w:r w:rsidRPr="005D2EE4">
        <w:rPr>
          <w:rFonts w:eastAsia="Times New Roman" w:cs="Helvetica"/>
          <w:szCs w:val="24"/>
          <w:lang w:val="en-GB" w:eastAsia="en-AU"/>
        </w:rPr>
        <w:t>and (a)(iii) of this instrument if:</w:t>
      </w:r>
    </w:p>
    <w:p w:rsidR="005D2EE4" w:rsidRPr="005D2EE4" w:rsidRDefault="005D2EE4" w:rsidP="005D2EE4">
      <w:pPr>
        <w:widowControl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qualification was obtained within the last 5 years or the health practitioner has completed, within the last 5 years, an up-skill course for the health practitioner’s Schedule 1 qualification as approved by the provider from which the health practitioner completed the qualification; and</w:t>
      </w:r>
    </w:p>
    <w:p w:rsidR="005D2EE4" w:rsidRPr="005D2EE4" w:rsidRDefault="005D2EE4" w:rsidP="005D2EE4">
      <w:pPr>
        <w:widowControl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the health practitioner completes the About Giving Vaccines Up</w:t>
      </w:r>
      <w:r w:rsidR="007F2BFD">
        <w:rPr>
          <w:rFonts w:eastAsia="Times New Roman" w:cs="Helvetica"/>
          <w:szCs w:val="24"/>
          <w:lang w:val="en-GB" w:eastAsia="en-AU"/>
        </w:rPr>
        <w:noBreakHyphen/>
      </w:r>
      <w:r w:rsidRPr="005D2EE4">
        <w:rPr>
          <w:rFonts w:eastAsia="Times New Roman" w:cs="Helvetica"/>
          <w:szCs w:val="24"/>
          <w:lang w:val="en-GB" w:eastAsia="en-AU"/>
        </w:rPr>
        <w:t>Skill course provided by the Centre for Disease Control in the Northern Territory within 6 months from the date the health</w:t>
      </w:r>
      <w:r w:rsidR="003F6B10">
        <w:rPr>
          <w:rFonts w:eastAsia="Times New Roman" w:cs="Helvetica"/>
          <w:szCs w:val="24"/>
          <w:lang w:val="en-GB" w:eastAsia="en-AU"/>
        </w:rPr>
        <w:t> </w:t>
      </w:r>
      <w:r w:rsidRPr="005D2EE4">
        <w:rPr>
          <w:rFonts w:eastAsia="Times New Roman" w:cs="Helvetica"/>
          <w:szCs w:val="24"/>
          <w:lang w:val="en-GB" w:eastAsia="en-AU"/>
        </w:rPr>
        <w:t>practitioner starts practising in the Northern Territory.</w:t>
      </w:r>
    </w:p>
    <w:p w:rsidR="005D2EE4" w:rsidRPr="005D2EE4" w:rsidRDefault="005D2EE4" w:rsidP="003F6B10">
      <w:pPr>
        <w:pageBreakBefore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714" w:hanging="357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lastRenderedPageBreak/>
        <w:t xml:space="preserve">The health practitioner must continue to complete regular up skill courses. If the period since the date the health practitioner completed the qualification specified in Schedule 1 or the date the health practitioner completed the most recent up skill course, is more than 3 years but less than 5 years, then the health practitioner must complete either the About Giving Vaccines Up-Skill Course provided by the Centre for Disease Control in the Northern Territory, or an up-skill course for the health practitioner’s Schedule 1 qualification as approved by the provider or a full course from Schedule 1. </w:t>
      </w:r>
    </w:p>
    <w:p w:rsidR="005D2EE4" w:rsidRPr="005D2EE4" w:rsidRDefault="005D2EE4" w:rsidP="005D2EE4">
      <w:pPr>
        <w:widowControl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eastAsia="Times New Roman" w:cs="Helvetica"/>
          <w:szCs w:val="24"/>
          <w:lang w:val="en-GB" w:eastAsia="en-AU"/>
        </w:rPr>
      </w:pPr>
      <w:r w:rsidRPr="005D2EE4">
        <w:rPr>
          <w:rFonts w:eastAsia="Times New Roman" w:cs="Helvetica"/>
          <w:szCs w:val="24"/>
          <w:lang w:val="en-GB" w:eastAsia="en-AU"/>
        </w:rPr>
        <w:t>If 5 years or more have elapsed since the health practitioner completed the most recent up-skill course or qualification the health practitioner must successfully complete a full course qualification specified in Schedule 1.</w:t>
      </w:r>
    </w:p>
    <w:p w:rsidR="000E362A" w:rsidRPr="00AC72AB" w:rsidRDefault="000E362A" w:rsidP="005D2EE4">
      <w:pPr>
        <w:widowControl/>
        <w:spacing w:before="480" w:after="0" w:line="360" w:lineRule="auto"/>
        <w:jc w:val="center"/>
        <w:rPr>
          <w:rFonts w:eastAsia="Times New Roman" w:cs="Helvetica"/>
          <w:color w:val="000000"/>
          <w:szCs w:val="24"/>
          <w:lang w:val="en-GB" w:eastAsia="en-AU"/>
        </w:rPr>
      </w:pPr>
    </w:p>
    <w:sectPr w:rsidR="000E362A" w:rsidRPr="00AC72AB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9747B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3F6B10">
      <w:t>S13</w:t>
    </w:r>
    <w:r w:rsidRPr="00246A76">
      <w:t xml:space="preserve">, </w:t>
    </w:r>
    <w:r w:rsidR="00672D3A">
      <w:t>23</w:t>
    </w:r>
    <w:r w:rsidR="008101B6">
      <w:t xml:space="preserve">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C13702"/>
    <w:multiLevelType w:val="hybridMultilevel"/>
    <w:tmpl w:val="22D25388"/>
    <w:lvl w:ilvl="0" w:tplc="5590F2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B34F3F"/>
    <w:multiLevelType w:val="hybridMultilevel"/>
    <w:tmpl w:val="0714CF7A"/>
    <w:lvl w:ilvl="0" w:tplc="5E5A216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1506E4"/>
    <w:multiLevelType w:val="hybridMultilevel"/>
    <w:tmpl w:val="3C528CCA"/>
    <w:lvl w:ilvl="0" w:tplc="C2920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4CBF"/>
    <w:multiLevelType w:val="hybridMultilevel"/>
    <w:tmpl w:val="00F86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C29205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827604"/>
    <w:multiLevelType w:val="hybridMultilevel"/>
    <w:tmpl w:val="818E8ACE"/>
    <w:lvl w:ilvl="0" w:tplc="6C08D2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31"/>
  </w:num>
  <w:num w:numId="9">
    <w:abstractNumId w:val="24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33"/>
  </w:num>
  <w:num w:numId="18">
    <w:abstractNumId w:val="25"/>
  </w:num>
  <w:num w:numId="19">
    <w:abstractNumId w:val="11"/>
  </w:num>
  <w:num w:numId="20">
    <w:abstractNumId w:val="19"/>
  </w:num>
  <w:num w:numId="21">
    <w:abstractNumId w:val="28"/>
  </w:num>
  <w:num w:numId="22">
    <w:abstractNumId w:val="30"/>
  </w:num>
  <w:num w:numId="23">
    <w:abstractNumId w:val="26"/>
  </w:num>
  <w:num w:numId="24">
    <w:abstractNumId w:val="5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21"/>
  </w:num>
  <w:num w:numId="31">
    <w:abstractNumId w:val="32"/>
  </w:num>
  <w:num w:numId="32">
    <w:abstractNumId w:val="13"/>
  </w:num>
  <w:num w:numId="33">
    <w:abstractNumId w:val="4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5B2D"/>
    <w:rsid w:val="0018366C"/>
    <w:rsid w:val="001866A6"/>
    <w:rsid w:val="0019747B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6B10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D2EE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2D3A"/>
    <w:rsid w:val="00677C27"/>
    <w:rsid w:val="00687690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7F2BF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437A3"/>
    <w:rsid w:val="008537DF"/>
    <w:rsid w:val="00853D97"/>
    <w:rsid w:val="008565BE"/>
    <w:rsid w:val="0085757B"/>
    <w:rsid w:val="00862A2D"/>
    <w:rsid w:val="00862B3D"/>
    <w:rsid w:val="0086750F"/>
    <w:rsid w:val="008772FB"/>
    <w:rsid w:val="00877D0D"/>
    <w:rsid w:val="008903F5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37D8"/>
    <w:rsid w:val="009840D3"/>
    <w:rsid w:val="009843B1"/>
    <w:rsid w:val="0099322F"/>
    <w:rsid w:val="00995E2A"/>
    <w:rsid w:val="00996C6F"/>
    <w:rsid w:val="009A2BA3"/>
    <w:rsid w:val="009A2C2B"/>
    <w:rsid w:val="009B1404"/>
    <w:rsid w:val="009B19BA"/>
    <w:rsid w:val="009B6212"/>
    <w:rsid w:val="009D0C32"/>
    <w:rsid w:val="009D1453"/>
    <w:rsid w:val="009E45A0"/>
    <w:rsid w:val="009E47D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C72AB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5E3"/>
    <w:rsid w:val="00BB65E7"/>
    <w:rsid w:val="00BB73CF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3542B"/>
    <w:rsid w:val="00D40DD4"/>
    <w:rsid w:val="00D500A0"/>
    <w:rsid w:val="00D5288D"/>
    <w:rsid w:val="00D5478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737C"/>
    <w:rsid w:val="00FD01F3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BFB-EBE1-4642-B0CC-943859A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S13 2016</vt:lpstr>
    </vt:vector>
  </TitlesOfParts>
  <Company>NTG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S13 2016</dc:title>
  <dc:creator>Northern Territory Government</dc:creator>
  <cp:lastModifiedBy>mahec</cp:lastModifiedBy>
  <cp:revision>4</cp:revision>
  <cp:lastPrinted>2016-02-22T04:25:00Z</cp:lastPrinted>
  <dcterms:created xsi:type="dcterms:W3CDTF">2016-02-22T02:26:00Z</dcterms:created>
  <dcterms:modified xsi:type="dcterms:W3CDTF">2016-02-22T06:50:00Z</dcterms:modified>
</cp:coreProperties>
</file>