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w:t>
      </w:r>
      <w:r w:rsidR="001A71E6">
        <w:t>3X</w:t>
      </w:r>
    </w:p>
    <w:p w:rsidR="0050155E" w:rsidRDefault="00E53DB1" w:rsidP="0037434E">
      <w:pPr>
        <w:pStyle w:val="Gazettenoanddate"/>
        <w:tabs>
          <w:tab w:val="left" w:pos="7797"/>
        </w:tabs>
      </w:pPr>
      <w:r>
        <w:t>No.</w:t>
      </w:r>
      <w:r w:rsidR="00282700">
        <w:t xml:space="preserve"> </w:t>
      </w:r>
      <w:r w:rsidR="00200AB1">
        <w:t>S</w:t>
      </w:r>
      <w:r w:rsidR="003D358B">
        <w:t>4</w:t>
      </w:r>
      <w:r w:rsidR="002A790F">
        <w:tab/>
      </w:r>
      <w:r w:rsidR="00AD297E">
        <w:t>3 February</w:t>
      </w:r>
      <w:r w:rsidR="0017241D">
        <w:t xml:space="preserve"> 2016</w:t>
      </w:r>
    </w:p>
    <w:p w:rsidR="00DA5CDF" w:rsidRPr="005374B3" w:rsidRDefault="00393EF3" w:rsidP="005374B3">
      <w:pPr>
        <w:pStyle w:val="TOC1"/>
      </w:pPr>
      <w:bookmarkStart w:id="0" w:name="SenderStreetAddress"/>
      <w:bookmarkStart w:id="1" w:name="SenderStreetAddress1"/>
      <w:bookmarkStart w:id="2" w:name="RecipientName"/>
      <w:bookmarkStart w:id="3" w:name="Date"/>
      <w:bookmarkEnd w:id="0"/>
      <w:bookmarkEnd w:id="1"/>
      <w:bookmarkEnd w:id="2"/>
      <w:bookmarkEnd w:id="3"/>
      <w:r w:rsidRPr="005374B3">
        <w:t>Northern Territory of Australia</w:t>
      </w:r>
    </w:p>
    <w:p w:rsidR="00DA5CDF" w:rsidRPr="005374B3" w:rsidRDefault="00DA5CDF" w:rsidP="00393EF3">
      <w:pPr>
        <w:pStyle w:val="TOC2"/>
        <w:tabs>
          <w:tab w:val="clear" w:pos="8267"/>
        </w:tabs>
        <w:spacing w:before="0" w:after="0"/>
        <w:rPr>
          <w:rFonts w:ascii="Helvetica" w:hAnsi="Helvetica" w:cs="Helvetica"/>
        </w:rPr>
      </w:pPr>
      <w:r w:rsidRPr="005374B3">
        <w:rPr>
          <w:rFonts w:ascii="Helvetica" w:hAnsi="Helvetica" w:cs="Helvetica"/>
        </w:rPr>
        <w:t>Medicines, Poisons and Therapeutic Goods Act</w:t>
      </w:r>
    </w:p>
    <w:p w:rsidR="00DA5CDF" w:rsidRPr="005374B3" w:rsidRDefault="00393EF3" w:rsidP="00393EF3">
      <w:pPr>
        <w:spacing w:before="0" w:after="0"/>
        <w:ind w:left="720" w:hanging="720"/>
        <w:jc w:val="center"/>
        <w:rPr>
          <w:rFonts w:cs="Helvetica"/>
          <w:szCs w:val="24"/>
        </w:rPr>
      </w:pPr>
      <w:r w:rsidRPr="005374B3">
        <w:rPr>
          <w:rFonts w:cs="Helvetica"/>
          <w:szCs w:val="24"/>
        </w:rPr>
        <w:t xml:space="preserve">Approval </w:t>
      </w:r>
      <w:r w:rsidR="00C36BEA" w:rsidRPr="005374B3">
        <w:rPr>
          <w:rFonts w:cs="Helvetica"/>
          <w:szCs w:val="24"/>
        </w:rPr>
        <w:t>o</w:t>
      </w:r>
      <w:r w:rsidRPr="005374B3">
        <w:rPr>
          <w:rFonts w:cs="Helvetica"/>
          <w:szCs w:val="24"/>
        </w:rPr>
        <w:t xml:space="preserve">f Scheduled Substance Treatment Protocol </w:t>
      </w:r>
      <w:r w:rsidR="00C36BEA" w:rsidRPr="005374B3">
        <w:rPr>
          <w:rFonts w:cs="Helvetica"/>
          <w:szCs w:val="24"/>
        </w:rPr>
        <w:t>f</w:t>
      </w:r>
      <w:r w:rsidRPr="005374B3">
        <w:rPr>
          <w:rFonts w:cs="Helvetica"/>
          <w:szCs w:val="24"/>
        </w:rPr>
        <w:t xml:space="preserve">or Pharmacist-Led </w:t>
      </w:r>
      <w:proofErr w:type="spellStart"/>
      <w:r w:rsidRPr="005374B3">
        <w:rPr>
          <w:rFonts w:cs="Helvetica"/>
          <w:szCs w:val="24"/>
        </w:rPr>
        <w:t>Immunisation</w:t>
      </w:r>
      <w:proofErr w:type="spellEnd"/>
      <w:r w:rsidRPr="005374B3">
        <w:rPr>
          <w:rFonts w:cs="Helvetica"/>
          <w:szCs w:val="24"/>
        </w:rPr>
        <w:t xml:space="preserve"> </w:t>
      </w:r>
      <w:r w:rsidR="00C36BEA" w:rsidRPr="005374B3">
        <w:rPr>
          <w:rFonts w:cs="Helvetica"/>
          <w:szCs w:val="24"/>
        </w:rPr>
        <w:t>i</w:t>
      </w:r>
      <w:r w:rsidRPr="005374B3">
        <w:rPr>
          <w:rFonts w:cs="Helvetica"/>
          <w:szCs w:val="24"/>
        </w:rPr>
        <w:t xml:space="preserve">n Pharmacy Businesses </w:t>
      </w:r>
      <w:r w:rsidR="00C36BEA" w:rsidRPr="005374B3">
        <w:rPr>
          <w:rFonts w:cs="Helvetica"/>
          <w:szCs w:val="24"/>
        </w:rPr>
        <w:t>a</w:t>
      </w:r>
      <w:r w:rsidRPr="005374B3">
        <w:rPr>
          <w:rFonts w:cs="Helvetica"/>
          <w:szCs w:val="24"/>
        </w:rPr>
        <w:t>nd Pharmacy Departments</w:t>
      </w:r>
    </w:p>
    <w:p w:rsidR="00DA5CDF" w:rsidRPr="005374B3" w:rsidRDefault="00DA5CDF" w:rsidP="005374B3">
      <w:pPr>
        <w:tabs>
          <w:tab w:val="left" w:pos="0"/>
        </w:tabs>
        <w:spacing w:before="120" w:after="120"/>
        <w:rPr>
          <w:rFonts w:cs="Helvetica"/>
          <w:szCs w:val="24"/>
        </w:rPr>
      </w:pPr>
      <w:r w:rsidRPr="005374B3">
        <w:rPr>
          <w:rFonts w:cs="Helvetica"/>
          <w:szCs w:val="24"/>
        </w:rPr>
        <w:t>I, Dinesh Kumar Arya, Chief Health Officer:</w:t>
      </w:r>
    </w:p>
    <w:p w:rsidR="00DA5CDF" w:rsidRPr="005374B3" w:rsidRDefault="00DA5CDF" w:rsidP="005374B3">
      <w:pPr>
        <w:tabs>
          <w:tab w:val="left" w:pos="0"/>
        </w:tabs>
        <w:spacing w:before="120" w:after="120"/>
        <w:jc w:val="both"/>
        <w:rPr>
          <w:rFonts w:cs="Helvetica"/>
          <w:szCs w:val="24"/>
        </w:rPr>
      </w:pPr>
      <w:r w:rsidRPr="005374B3">
        <w:rPr>
          <w:rFonts w:cs="Helvetica"/>
          <w:szCs w:val="24"/>
        </w:rPr>
        <w:t>(</w:t>
      </w:r>
      <w:proofErr w:type="spellStart"/>
      <w:r w:rsidRPr="005374B3">
        <w:rPr>
          <w:rFonts w:cs="Helvetica"/>
          <w:szCs w:val="24"/>
        </w:rPr>
        <w:t>i</w:t>
      </w:r>
      <w:proofErr w:type="spellEnd"/>
      <w:r w:rsidRPr="005374B3">
        <w:rPr>
          <w:rFonts w:cs="Helvetica"/>
          <w:szCs w:val="24"/>
        </w:rPr>
        <w:t xml:space="preserve">) under section 254(1)(f) of the </w:t>
      </w:r>
      <w:r w:rsidRPr="005374B3">
        <w:rPr>
          <w:rFonts w:cs="Helvetica"/>
          <w:i/>
          <w:szCs w:val="24"/>
        </w:rPr>
        <w:t>Medicines, Poisons and Therapeutic Goods</w:t>
      </w:r>
      <w:r w:rsidRPr="005374B3">
        <w:rPr>
          <w:rFonts w:cs="Helvetica"/>
          <w:szCs w:val="24"/>
        </w:rPr>
        <w:t xml:space="preserve"> </w:t>
      </w:r>
      <w:r w:rsidRPr="005374B3">
        <w:rPr>
          <w:rFonts w:cs="Helvetica"/>
          <w:i/>
          <w:szCs w:val="24"/>
        </w:rPr>
        <w:t>Act</w:t>
      </w:r>
      <w:r w:rsidRPr="005374B3">
        <w:rPr>
          <w:rFonts w:cs="Helvetica"/>
          <w:szCs w:val="24"/>
        </w:rPr>
        <w:t xml:space="preserve">, and with reference to section 43 of the </w:t>
      </w:r>
      <w:r w:rsidRPr="005374B3">
        <w:rPr>
          <w:rFonts w:cs="Helvetica"/>
          <w:i/>
          <w:szCs w:val="24"/>
        </w:rPr>
        <w:t>Interpretation Act</w:t>
      </w:r>
      <w:r w:rsidRPr="005374B3">
        <w:rPr>
          <w:rFonts w:cs="Helvetica"/>
          <w:szCs w:val="24"/>
        </w:rPr>
        <w:t>, revoke the notice titled ‘Approval of Scheduled Substance Treatment Protocol for Pharmacist</w:t>
      </w:r>
      <w:r w:rsidR="00C36BEA" w:rsidRPr="005374B3">
        <w:rPr>
          <w:rFonts w:cs="Helvetica"/>
          <w:szCs w:val="24"/>
        </w:rPr>
        <w:noBreakHyphen/>
      </w:r>
      <w:r w:rsidRPr="005374B3">
        <w:rPr>
          <w:rFonts w:cs="Helvetica"/>
          <w:szCs w:val="24"/>
        </w:rPr>
        <w:t>Led</w:t>
      </w:r>
      <w:r w:rsidR="00C36BEA" w:rsidRPr="005374B3">
        <w:rPr>
          <w:rFonts w:cs="Helvetica"/>
          <w:szCs w:val="24"/>
        </w:rPr>
        <w:t> </w:t>
      </w:r>
      <w:proofErr w:type="spellStart"/>
      <w:r w:rsidRPr="005374B3">
        <w:rPr>
          <w:rFonts w:cs="Helvetica"/>
          <w:szCs w:val="24"/>
        </w:rPr>
        <w:t>Immunisation</w:t>
      </w:r>
      <w:proofErr w:type="spellEnd"/>
      <w:r w:rsidRPr="005374B3">
        <w:rPr>
          <w:rFonts w:cs="Helvetica"/>
          <w:szCs w:val="24"/>
        </w:rPr>
        <w:t xml:space="preserve"> in Pharmacy Businesses and Pharmacy Departments’ dated 14 April 2015 and published on pages 4 to 8 of </w:t>
      </w:r>
      <w:r w:rsidRPr="00231583">
        <w:rPr>
          <w:rFonts w:cs="Helvetica"/>
          <w:i/>
          <w:szCs w:val="24"/>
        </w:rPr>
        <w:t>Gazette</w:t>
      </w:r>
      <w:r w:rsidR="00DF00D4">
        <w:rPr>
          <w:rFonts w:cs="Helvetica"/>
          <w:szCs w:val="24"/>
        </w:rPr>
        <w:t> </w:t>
      </w:r>
      <w:r w:rsidRPr="005374B3">
        <w:rPr>
          <w:rFonts w:cs="Helvetica"/>
          <w:szCs w:val="24"/>
        </w:rPr>
        <w:t>No.</w:t>
      </w:r>
      <w:r w:rsidR="00DF00D4">
        <w:rPr>
          <w:rFonts w:cs="Helvetica"/>
          <w:szCs w:val="24"/>
        </w:rPr>
        <w:t> </w:t>
      </w:r>
      <w:r w:rsidRPr="005374B3">
        <w:rPr>
          <w:rFonts w:cs="Helvetica"/>
          <w:szCs w:val="24"/>
        </w:rPr>
        <w:t xml:space="preserve">S35, 21 April 2015; and </w:t>
      </w:r>
    </w:p>
    <w:p w:rsidR="00DA5CDF" w:rsidRPr="005374B3" w:rsidRDefault="00DA5CDF" w:rsidP="005374B3">
      <w:pPr>
        <w:tabs>
          <w:tab w:val="left" w:pos="0"/>
        </w:tabs>
        <w:spacing w:before="120" w:after="120"/>
        <w:jc w:val="both"/>
        <w:rPr>
          <w:rFonts w:cs="Helvetica"/>
          <w:szCs w:val="24"/>
        </w:rPr>
      </w:pPr>
      <w:r w:rsidRPr="005374B3">
        <w:rPr>
          <w:rFonts w:cs="Helvetica"/>
          <w:szCs w:val="24"/>
        </w:rPr>
        <w:t xml:space="preserve">(ii) under section 254(1)(f) of the </w:t>
      </w:r>
      <w:r w:rsidRPr="005374B3">
        <w:rPr>
          <w:rFonts w:cs="Helvetica"/>
          <w:i/>
          <w:szCs w:val="24"/>
        </w:rPr>
        <w:t>Medicines, Poisons and Therapeutic Goods Act</w:t>
      </w:r>
      <w:r w:rsidRPr="005374B3">
        <w:rPr>
          <w:rFonts w:cs="Helvetica"/>
          <w:szCs w:val="24"/>
        </w:rPr>
        <w:t>,</w:t>
      </w:r>
      <w:r w:rsidRPr="005374B3">
        <w:rPr>
          <w:rFonts w:cs="Helvetica"/>
          <w:i/>
          <w:szCs w:val="24"/>
        </w:rPr>
        <w:t xml:space="preserve"> </w:t>
      </w:r>
      <w:r w:rsidRPr="005374B3">
        <w:rPr>
          <w:rFonts w:cs="Helvetica"/>
          <w:szCs w:val="24"/>
        </w:rPr>
        <w:t xml:space="preserve">and with reference to section 42 of the </w:t>
      </w:r>
      <w:r w:rsidRPr="005374B3">
        <w:rPr>
          <w:rFonts w:cs="Helvetica"/>
          <w:i/>
          <w:szCs w:val="24"/>
        </w:rPr>
        <w:t>Interpretation Act</w:t>
      </w:r>
      <w:r w:rsidRPr="005374B3">
        <w:rPr>
          <w:rFonts w:cs="Helvetica"/>
          <w:szCs w:val="24"/>
        </w:rPr>
        <w:t>, approve the protocol specified in Schedule A for possessing, supplying or administering a Schedule</w:t>
      </w:r>
      <w:r w:rsidR="00DF00D4">
        <w:rPr>
          <w:rFonts w:cs="Helvetica"/>
          <w:szCs w:val="24"/>
        </w:rPr>
        <w:t> </w:t>
      </w:r>
      <w:r w:rsidRPr="005374B3">
        <w:rPr>
          <w:rFonts w:cs="Helvetica"/>
          <w:szCs w:val="24"/>
        </w:rPr>
        <w:t>4</w:t>
      </w:r>
      <w:r w:rsidR="00DF00D4">
        <w:rPr>
          <w:rFonts w:cs="Helvetica"/>
          <w:szCs w:val="24"/>
        </w:rPr>
        <w:t> </w:t>
      </w:r>
      <w:r w:rsidRPr="005374B3">
        <w:rPr>
          <w:rFonts w:cs="Helvetica"/>
          <w:szCs w:val="24"/>
        </w:rPr>
        <w:t>substance that is a vaccine at a pharmacy (</w:t>
      </w:r>
      <w:r w:rsidRPr="005374B3">
        <w:rPr>
          <w:rFonts w:cs="Helvetica"/>
          <w:b/>
          <w:i/>
          <w:szCs w:val="24"/>
        </w:rPr>
        <w:t>Scheduled substance treatment protocol</w:t>
      </w:r>
      <w:r w:rsidRPr="005374B3">
        <w:rPr>
          <w:rFonts w:cs="Helvetica"/>
          <w:szCs w:val="24"/>
        </w:rPr>
        <w:t>); and</w:t>
      </w:r>
    </w:p>
    <w:p w:rsidR="00DA5CDF" w:rsidRPr="005374B3" w:rsidRDefault="00DA5CDF" w:rsidP="00393EF3">
      <w:pPr>
        <w:tabs>
          <w:tab w:val="left" w:pos="0"/>
        </w:tabs>
        <w:spacing w:before="120"/>
        <w:jc w:val="both"/>
        <w:rPr>
          <w:rFonts w:cs="Helvetica"/>
          <w:szCs w:val="24"/>
        </w:rPr>
      </w:pPr>
      <w:r w:rsidRPr="005374B3">
        <w:rPr>
          <w:rFonts w:cs="Helvetica"/>
          <w:szCs w:val="24"/>
        </w:rPr>
        <w:t>In this instrument:</w:t>
      </w:r>
    </w:p>
    <w:p w:rsidR="00DA5CDF" w:rsidRPr="005374B3" w:rsidRDefault="00DA5CDF" w:rsidP="00393EF3">
      <w:pPr>
        <w:tabs>
          <w:tab w:val="left" w:pos="0"/>
        </w:tabs>
        <w:spacing w:before="120"/>
        <w:jc w:val="both"/>
        <w:rPr>
          <w:rFonts w:cs="Helvetica"/>
          <w:szCs w:val="24"/>
        </w:rPr>
      </w:pPr>
      <w:r w:rsidRPr="005374B3">
        <w:rPr>
          <w:rFonts w:cs="Helvetica"/>
          <w:b/>
          <w:i/>
          <w:szCs w:val="24"/>
        </w:rPr>
        <w:t>Schedule 4 substance</w:t>
      </w:r>
      <w:r w:rsidRPr="005374B3">
        <w:rPr>
          <w:rFonts w:cs="Helvetica"/>
          <w:szCs w:val="24"/>
        </w:rPr>
        <w:t xml:space="preserve">, see section 7(2) of the </w:t>
      </w:r>
      <w:r w:rsidRPr="005374B3">
        <w:rPr>
          <w:rFonts w:cs="Helvetica"/>
          <w:i/>
          <w:szCs w:val="24"/>
        </w:rPr>
        <w:t>Medicines, Poisons and Therapeutic Goods Act</w:t>
      </w:r>
      <w:r w:rsidRPr="005374B3">
        <w:rPr>
          <w:rFonts w:cs="Helvetica"/>
          <w:szCs w:val="24"/>
        </w:rPr>
        <w:t>.</w:t>
      </w:r>
    </w:p>
    <w:p w:rsidR="00DA5CDF" w:rsidRPr="005374B3" w:rsidRDefault="00DA5CDF" w:rsidP="00393EF3">
      <w:pPr>
        <w:tabs>
          <w:tab w:val="left" w:pos="0"/>
        </w:tabs>
        <w:spacing w:before="120"/>
        <w:jc w:val="both"/>
        <w:rPr>
          <w:rFonts w:cs="Helvetica"/>
          <w:szCs w:val="24"/>
        </w:rPr>
      </w:pPr>
      <w:r w:rsidRPr="005374B3">
        <w:rPr>
          <w:rFonts w:cs="Helvetica"/>
          <w:b/>
          <w:i/>
          <w:szCs w:val="24"/>
        </w:rPr>
        <w:t>Scheduled substance treatment protocol</w:t>
      </w:r>
      <w:r w:rsidRPr="005374B3">
        <w:rPr>
          <w:rFonts w:cs="Helvetica"/>
          <w:szCs w:val="24"/>
        </w:rPr>
        <w:t xml:space="preserve">, see section 5 of the </w:t>
      </w:r>
      <w:r w:rsidRPr="005374B3">
        <w:rPr>
          <w:rFonts w:cs="Helvetica"/>
          <w:i/>
          <w:szCs w:val="24"/>
        </w:rPr>
        <w:t>Medicines,</w:t>
      </w:r>
      <w:r w:rsidR="00DF00D4">
        <w:rPr>
          <w:rFonts w:cs="Helvetica"/>
          <w:i/>
          <w:szCs w:val="24"/>
        </w:rPr>
        <w:t> </w:t>
      </w:r>
      <w:r w:rsidRPr="005374B3">
        <w:rPr>
          <w:rFonts w:cs="Helvetica"/>
          <w:i/>
          <w:szCs w:val="24"/>
        </w:rPr>
        <w:t>Poisons and Therapeutic Goods Act</w:t>
      </w:r>
      <w:r w:rsidRPr="005374B3">
        <w:rPr>
          <w:rFonts w:cs="Helvetica"/>
          <w:szCs w:val="24"/>
        </w:rPr>
        <w:t xml:space="preserve">.  </w:t>
      </w:r>
    </w:p>
    <w:p w:rsidR="00DA5CDF" w:rsidRPr="005374B3" w:rsidRDefault="00DA5CDF" w:rsidP="00393EF3">
      <w:pPr>
        <w:tabs>
          <w:tab w:val="left" w:pos="0"/>
        </w:tabs>
        <w:jc w:val="both"/>
        <w:rPr>
          <w:rFonts w:cs="Helvetica"/>
          <w:szCs w:val="24"/>
        </w:rPr>
      </w:pPr>
      <w:r w:rsidRPr="005374B3">
        <w:rPr>
          <w:rFonts w:cs="Helvetica"/>
          <w:szCs w:val="24"/>
        </w:rPr>
        <w:t xml:space="preserve">Dated </w:t>
      </w:r>
      <w:r w:rsidR="00393EF3" w:rsidRPr="005374B3">
        <w:rPr>
          <w:rFonts w:cs="Helvetica"/>
          <w:szCs w:val="24"/>
        </w:rPr>
        <w:t>25 January 2016</w:t>
      </w:r>
    </w:p>
    <w:p w:rsidR="00DA5CDF" w:rsidRPr="005374B3" w:rsidRDefault="00393EF3" w:rsidP="00393EF3">
      <w:pPr>
        <w:tabs>
          <w:tab w:val="left" w:pos="0"/>
        </w:tabs>
        <w:spacing w:before="240" w:after="0"/>
        <w:jc w:val="right"/>
        <w:rPr>
          <w:rFonts w:cs="Helvetica"/>
          <w:szCs w:val="24"/>
        </w:rPr>
      </w:pPr>
      <w:r w:rsidRPr="005374B3">
        <w:rPr>
          <w:rFonts w:cs="Helvetica"/>
          <w:szCs w:val="24"/>
        </w:rPr>
        <w:t>D. K. Arya</w:t>
      </w:r>
    </w:p>
    <w:p w:rsidR="00DA5CDF" w:rsidRPr="005374B3" w:rsidRDefault="00DA5CDF" w:rsidP="00393EF3">
      <w:pPr>
        <w:tabs>
          <w:tab w:val="left" w:pos="0"/>
        </w:tabs>
        <w:spacing w:before="0" w:after="0"/>
        <w:jc w:val="right"/>
        <w:rPr>
          <w:rFonts w:cs="Helvetica"/>
          <w:szCs w:val="24"/>
        </w:rPr>
      </w:pPr>
      <w:r w:rsidRPr="005374B3">
        <w:rPr>
          <w:rFonts w:cs="Helvetica"/>
          <w:szCs w:val="24"/>
        </w:rPr>
        <w:t>Chief Health Officer</w:t>
      </w:r>
    </w:p>
    <w:p w:rsidR="00DA5CDF" w:rsidRPr="005374B3" w:rsidRDefault="00DA5CDF" w:rsidP="005374B3">
      <w:pPr>
        <w:tabs>
          <w:tab w:val="left" w:pos="0"/>
        </w:tabs>
        <w:spacing w:before="120" w:after="120"/>
        <w:jc w:val="center"/>
        <w:rPr>
          <w:rFonts w:cs="Helvetica"/>
          <w:szCs w:val="24"/>
        </w:rPr>
      </w:pPr>
      <w:r w:rsidRPr="005374B3">
        <w:rPr>
          <w:rFonts w:cs="Helvetica"/>
          <w:szCs w:val="24"/>
        </w:rPr>
        <w:t>S</w:t>
      </w:r>
      <w:r w:rsidR="00393EF3" w:rsidRPr="005374B3">
        <w:rPr>
          <w:rFonts w:cs="Helvetica"/>
          <w:szCs w:val="24"/>
        </w:rPr>
        <w:t>chedule</w:t>
      </w:r>
      <w:r w:rsidRPr="005374B3">
        <w:rPr>
          <w:rFonts w:cs="Helvetica"/>
          <w:szCs w:val="24"/>
        </w:rPr>
        <w:t xml:space="preserve"> A</w:t>
      </w:r>
    </w:p>
    <w:p w:rsidR="00DA5CDF" w:rsidRPr="005374B3" w:rsidRDefault="00DA5CDF" w:rsidP="00DA5CDF">
      <w:pPr>
        <w:tabs>
          <w:tab w:val="left" w:pos="851"/>
        </w:tabs>
        <w:spacing w:before="120"/>
        <w:ind w:left="709"/>
        <w:jc w:val="center"/>
        <w:rPr>
          <w:rFonts w:cs="Helvetica"/>
          <w:szCs w:val="24"/>
        </w:rPr>
      </w:pPr>
      <w:r w:rsidRPr="005374B3">
        <w:rPr>
          <w:rFonts w:cs="Helvetica"/>
          <w:szCs w:val="24"/>
        </w:rPr>
        <w:t>Protocol for Pharmacist-Led administration of vaccines to adults at pharmacy premises in the Northern Territory - January 2016</w:t>
      </w:r>
    </w:p>
    <w:p w:rsidR="00ED635E" w:rsidRPr="00ED635E" w:rsidRDefault="006965F5" w:rsidP="00DC3053">
      <w:pPr>
        <w:keepNext/>
        <w:widowControl/>
        <w:shd w:val="pct12" w:color="auto" w:fill="FFFFFF"/>
        <w:spacing w:before="0" w:after="60"/>
        <w:ind w:left="-993" w:right="-23" w:firstLine="993"/>
        <w:jc w:val="center"/>
        <w:outlineLvl w:val="1"/>
        <w:rPr>
          <w:rFonts w:eastAsia="Times New Roman" w:cs="Helvetica"/>
          <w:b/>
          <w:szCs w:val="24"/>
          <w:lang w:val="en-AU"/>
        </w:rPr>
      </w:pPr>
      <w:r w:rsidRPr="00ED635E">
        <w:rPr>
          <w:rFonts w:eastAsia="Times New Roman" w:cs="Helvetica"/>
          <w:b/>
          <w:szCs w:val="24"/>
          <w:lang w:val="en-AU"/>
        </w:rPr>
        <w:lastRenderedPageBreak/>
        <w:t xml:space="preserve">Schedule Substance Treatment Protocol </w:t>
      </w:r>
      <w:r w:rsidR="00ED635E" w:rsidRPr="00ED635E">
        <w:rPr>
          <w:rFonts w:eastAsia="Times New Roman" w:cs="Helvetica"/>
          <w:b/>
          <w:szCs w:val="24"/>
          <w:lang w:val="en-AU"/>
        </w:rPr>
        <w:t>(SSTP)</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Substance Treatment Protocol (SSTP)"/>
      </w:tblPr>
      <w:tblGrid>
        <w:gridCol w:w="2269"/>
        <w:gridCol w:w="3119"/>
        <w:gridCol w:w="3260"/>
        <w:gridCol w:w="2126"/>
      </w:tblGrid>
      <w:tr w:rsidR="00ED635E" w:rsidRPr="00ED635E" w:rsidTr="0037434E">
        <w:trPr>
          <w:trHeight w:val="455"/>
        </w:trPr>
        <w:tc>
          <w:tcPr>
            <w:tcW w:w="2269" w:type="dxa"/>
            <w:shd w:val="clear" w:color="auto" w:fill="auto"/>
            <w:vAlign w:val="center"/>
          </w:tcPr>
          <w:p w:rsidR="00ED635E" w:rsidRPr="00ED635E" w:rsidRDefault="006965F5" w:rsidP="00ED635E">
            <w:pPr>
              <w:widowControl/>
              <w:spacing w:before="120" w:after="120"/>
              <w:rPr>
                <w:rFonts w:eastAsia="Times New Roman" w:cs="Helvetica"/>
                <w:b/>
                <w:szCs w:val="24"/>
                <w:lang w:val="en-AU"/>
              </w:rPr>
            </w:pPr>
            <w:r w:rsidRPr="00ED635E">
              <w:rPr>
                <w:rFonts w:eastAsia="Times New Roman" w:cs="Helvetica"/>
                <w:b/>
                <w:szCs w:val="24"/>
                <w:lang w:val="en-AU"/>
              </w:rPr>
              <w:t>Title</w:t>
            </w:r>
          </w:p>
        </w:tc>
        <w:tc>
          <w:tcPr>
            <w:tcW w:w="8505" w:type="dxa"/>
            <w:gridSpan w:val="3"/>
            <w:shd w:val="clear" w:color="auto" w:fill="auto"/>
            <w:vAlign w:val="center"/>
          </w:tcPr>
          <w:p w:rsidR="00ED635E" w:rsidRPr="00ED635E" w:rsidRDefault="006965F5" w:rsidP="00ED635E">
            <w:pPr>
              <w:widowControl/>
              <w:spacing w:before="0" w:after="0"/>
              <w:rPr>
                <w:rFonts w:eastAsia="Times New Roman" w:cs="Helvetica"/>
                <w:szCs w:val="24"/>
                <w:lang w:val="en-AU"/>
              </w:rPr>
            </w:pPr>
            <w:r w:rsidRPr="00ED635E">
              <w:rPr>
                <w:rFonts w:eastAsia="Times New Roman" w:cs="Helvetica"/>
                <w:szCs w:val="24"/>
                <w:lang w:val="en-AU"/>
              </w:rPr>
              <w:t>Pharmacist-Led Administration of Vaccines to Adults at Pharmacy Premises in the Northern Territory</w:t>
            </w:r>
            <w:r w:rsidR="00ED635E" w:rsidRPr="00ED635E">
              <w:rPr>
                <w:rFonts w:eastAsia="Times New Roman" w:cs="Helvetica"/>
                <w:szCs w:val="24"/>
                <w:lang w:val="en-AU"/>
              </w:rPr>
              <w:t>(NT)</w:t>
            </w:r>
          </w:p>
          <w:p w:rsidR="00ED635E" w:rsidRPr="00ED635E" w:rsidRDefault="00ED635E" w:rsidP="00ED635E">
            <w:pPr>
              <w:widowControl/>
              <w:spacing w:before="0" w:after="0"/>
              <w:rPr>
                <w:rFonts w:eastAsia="Times New Roman" w:cs="Helvetica"/>
                <w:szCs w:val="24"/>
                <w:lang w:val="en-AU"/>
              </w:rPr>
            </w:pPr>
          </w:p>
        </w:tc>
      </w:tr>
      <w:tr w:rsidR="00ED635E" w:rsidRPr="00ED635E" w:rsidTr="0037434E">
        <w:trPr>
          <w:trHeight w:val="449"/>
        </w:trPr>
        <w:tc>
          <w:tcPr>
            <w:tcW w:w="2269" w:type="dxa"/>
            <w:tcBorders>
              <w:bottom w:val="single" w:sz="4" w:space="0" w:color="auto"/>
            </w:tcBorders>
            <w:shd w:val="clear" w:color="auto" w:fill="auto"/>
            <w:vAlign w:val="center"/>
          </w:tcPr>
          <w:p w:rsidR="00ED635E" w:rsidRPr="00ED635E" w:rsidRDefault="00ED635E" w:rsidP="00ED635E">
            <w:pPr>
              <w:widowControl/>
              <w:spacing w:before="120" w:after="120"/>
              <w:rPr>
                <w:rFonts w:eastAsia="Times New Roman" w:cs="Helvetica"/>
                <w:b/>
                <w:szCs w:val="24"/>
                <w:lang w:val="en-AU"/>
              </w:rPr>
            </w:pPr>
            <w:r w:rsidRPr="00ED635E">
              <w:rPr>
                <w:rFonts w:eastAsia="Times New Roman" w:cs="Helvetica"/>
                <w:b/>
                <w:szCs w:val="24"/>
                <w:lang w:val="en-AU"/>
              </w:rPr>
              <w:t>Areas Applicable</w:t>
            </w:r>
          </w:p>
        </w:tc>
        <w:tc>
          <w:tcPr>
            <w:tcW w:w="8505" w:type="dxa"/>
            <w:gridSpan w:val="3"/>
            <w:tcBorders>
              <w:bottom w:val="single" w:sz="4" w:space="0" w:color="auto"/>
            </w:tcBorders>
            <w:shd w:val="clear" w:color="auto" w:fill="auto"/>
            <w:vAlign w:val="center"/>
          </w:tcPr>
          <w:p w:rsidR="00ED635E" w:rsidRPr="00ED635E" w:rsidRDefault="00ED635E" w:rsidP="00ED635E">
            <w:pPr>
              <w:widowControl/>
              <w:tabs>
                <w:tab w:val="left" w:pos="4166"/>
              </w:tabs>
              <w:spacing w:before="0" w:after="0"/>
              <w:rPr>
                <w:rFonts w:eastAsia="Times New Roman" w:cs="Helvetica"/>
                <w:szCs w:val="24"/>
                <w:lang w:val="en-AU"/>
              </w:rPr>
            </w:pPr>
            <w:r w:rsidRPr="00ED635E">
              <w:rPr>
                <w:rFonts w:eastAsia="Times New Roman" w:cs="Helvetica"/>
                <w:szCs w:val="24"/>
                <w:lang w:val="en-AU"/>
              </w:rPr>
              <w:t>Pharmacists administering vaccinations at pharmacy premises</w:t>
            </w:r>
          </w:p>
          <w:p w:rsidR="00ED635E" w:rsidRPr="00ED635E" w:rsidRDefault="00ED635E" w:rsidP="00ED635E">
            <w:pPr>
              <w:widowControl/>
              <w:tabs>
                <w:tab w:val="left" w:pos="4166"/>
              </w:tabs>
              <w:spacing w:before="0" w:after="0"/>
              <w:rPr>
                <w:rFonts w:eastAsia="Times New Roman" w:cs="Helvetica"/>
                <w:szCs w:val="24"/>
                <w:lang w:val="en-AU"/>
              </w:rPr>
            </w:pPr>
          </w:p>
        </w:tc>
      </w:tr>
      <w:tr w:rsidR="00ED635E" w:rsidRPr="00ED635E" w:rsidTr="0037434E">
        <w:trPr>
          <w:trHeight w:val="1029"/>
        </w:trPr>
        <w:tc>
          <w:tcPr>
            <w:tcW w:w="2269" w:type="dxa"/>
            <w:shd w:val="clear" w:color="auto" w:fill="D9D9D9"/>
            <w:vAlign w:val="center"/>
          </w:tcPr>
          <w:p w:rsidR="00ED635E" w:rsidRPr="00ED635E" w:rsidRDefault="00ED635E" w:rsidP="00ED635E">
            <w:pPr>
              <w:widowControl/>
              <w:spacing w:before="120" w:after="120"/>
              <w:rPr>
                <w:rFonts w:eastAsia="Times New Roman" w:cs="Helvetica"/>
                <w:b/>
                <w:szCs w:val="24"/>
                <w:lang w:val="en-AU"/>
              </w:rPr>
            </w:pPr>
            <w:r w:rsidRPr="00ED635E">
              <w:rPr>
                <w:rFonts w:eastAsia="Times New Roman" w:cs="Helvetica"/>
                <w:b/>
                <w:szCs w:val="24"/>
                <w:lang w:val="en-AU"/>
              </w:rPr>
              <w:t>Drug</w:t>
            </w:r>
          </w:p>
        </w:tc>
        <w:tc>
          <w:tcPr>
            <w:tcW w:w="8505" w:type="dxa"/>
            <w:gridSpan w:val="3"/>
            <w:shd w:val="clear" w:color="auto" w:fill="D9D9D9"/>
            <w:vAlign w:val="center"/>
          </w:tcPr>
          <w:p w:rsidR="00ED635E" w:rsidRPr="00ED635E" w:rsidRDefault="00ED635E" w:rsidP="00ED635E">
            <w:pPr>
              <w:widowControl/>
              <w:spacing w:before="0" w:after="0"/>
              <w:rPr>
                <w:rFonts w:eastAsia="Times New Roman" w:cs="Helvetica"/>
                <w:szCs w:val="24"/>
                <w:lang w:val="en-AU"/>
              </w:rPr>
            </w:pPr>
            <w:r w:rsidRPr="00ED635E">
              <w:rPr>
                <w:rFonts w:eastAsia="Times New Roman" w:cs="Helvetica"/>
                <w:szCs w:val="24"/>
                <w:lang w:val="en-AU"/>
              </w:rPr>
              <w:t>Influenza Vaccine</w:t>
            </w:r>
          </w:p>
          <w:p w:rsidR="00ED635E" w:rsidRPr="00ED635E" w:rsidRDefault="00ED635E" w:rsidP="00ED635E">
            <w:pPr>
              <w:widowControl/>
              <w:spacing w:before="0" w:after="0"/>
              <w:rPr>
                <w:rFonts w:eastAsia="Times New Roman" w:cs="Helvetica"/>
                <w:szCs w:val="24"/>
                <w:lang w:val="en-AU"/>
              </w:rPr>
            </w:pPr>
            <w:r w:rsidRPr="00ED635E">
              <w:rPr>
                <w:rFonts w:eastAsia="Times New Roman" w:cs="Helvetica"/>
                <w:szCs w:val="24"/>
                <w:lang w:val="en-AU"/>
              </w:rPr>
              <w:t>Measles/Mumps/Rubella (MMR) Vaccine</w:t>
            </w:r>
          </w:p>
          <w:p w:rsidR="00ED635E" w:rsidRPr="00ED635E" w:rsidRDefault="00ED635E" w:rsidP="00ED635E">
            <w:pPr>
              <w:widowControl/>
              <w:spacing w:before="0" w:after="0"/>
              <w:rPr>
                <w:rFonts w:eastAsia="Times New Roman" w:cs="Helvetica"/>
                <w:szCs w:val="24"/>
                <w:lang w:val="en-AU"/>
              </w:rPr>
            </w:pPr>
            <w:r w:rsidRPr="00ED635E">
              <w:rPr>
                <w:rFonts w:eastAsia="Times New Roman" w:cs="Helvetica"/>
                <w:szCs w:val="24"/>
                <w:lang w:val="en-AU"/>
              </w:rPr>
              <w:t>Diphtheria/Tetanus/Pertussis Vaccine</w:t>
            </w:r>
          </w:p>
          <w:p w:rsidR="00ED635E" w:rsidRPr="00ED635E" w:rsidRDefault="00ED635E" w:rsidP="00ED635E">
            <w:pPr>
              <w:widowControl/>
              <w:spacing w:before="0" w:after="0"/>
              <w:rPr>
                <w:rFonts w:eastAsia="Times New Roman" w:cs="Helvetica"/>
                <w:szCs w:val="24"/>
              </w:rPr>
            </w:pPr>
            <w:r w:rsidRPr="00ED635E">
              <w:rPr>
                <w:rFonts w:eastAsia="Times New Roman" w:cs="Helvetica"/>
                <w:szCs w:val="24"/>
              </w:rPr>
              <w:t xml:space="preserve">Adrenaline Injection </w:t>
            </w:r>
          </w:p>
          <w:p w:rsidR="00ED635E" w:rsidRPr="00ED635E" w:rsidRDefault="00ED635E" w:rsidP="00ED635E">
            <w:pPr>
              <w:widowControl/>
              <w:spacing w:before="0" w:after="0"/>
              <w:rPr>
                <w:rFonts w:eastAsia="Times New Roman" w:cs="Helvetica"/>
                <w:szCs w:val="24"/>
                <w:lang w:val="en-AU"/>
              </w:rPr>
            </w:pPr>
          </w:p>
        </w:tc>
      </w:tr>
      <w:tr w:rsidR="00ED635E" w:rsidRPr="00ED635E" w:rsidTr="0037434E">
        <w:trPr>
          <w:trHeight w:val="449"/>
        </w:trPr>
        <w:tc>
          <w:tcPr>
            <w:tcW w:w="2269" w:type="dxa"/>
            <w:shd w:val="clear" w:color="auto" w:fill="auto"/>
            <w:vAlign w:val="center"/>
          </w:tcPr>
          <w:p w:rsidR="00ED635E" w:rsidRPr="00ED635E" w:rsidRDefault="00ED635E" w:rsidP="00ED635E">
            <w:pPr>
              <w:widowControl/>
              <w:spacing w:before="120" w:after="120"/>
              <w:rPr>
                <w:rFonts w:eastAsia="Times New Roman" w:cs="Helvetica"/>
                <w:b/>
                <w:szCs w:val="24"/>
                <w:lang w:val="en-AU"/>
              </w:rPr>
            </w:pPr>
            <w:r w:rsidRPr="00ED635E">
              <w:rPr>
                <w:rFonts w:eastAsia="Times New Roman" w:cs="Helvetica"/>
                <w:b/>
                <w:szCs w:val="24"/>
                <w:lang w:val="en-AU"/>
              </w:rPr>
              <w:t>Indication</w:t>
            </w:r>
          </w:p>
        </w:tc>
        <w:tc>
          <w:tcPr>
            <w:tcW w:w="8505" w:type="dxa"/>
            <w:gridSpan w:val="3"/>
            <w:shd w:val="clear" w:color="auto" w:fill="auto"/>
            <w:vAlign w:val="center"/>
          </w:tcPr>
          <w:p w:rsidR="00ED635E" w:rsidRPr="00ED635E" w:rsidRDefault="00ED635E" w:rsidP="00ED635E">
            <w:pPr>
              <w:widowControl/>
              <w:spacing w:before="0" w:after="0"/>
              <w:rPr>
                <w:rFonts w:eastAsia="Times New Roman" w:cs="Helvetica"/>
                <w:szCs w:val="24"/>
                <w:lang w:val="en-AU"/>
              </w:rPr>
            </w:pPr>
            <w:r w:rsidRPr="00ED635E">
              <w:rPr>
                <w:rFonts w:eastAsia="Times New Roman" w:cs="Helvetica"/>
                <w:szCs w:val="24"/>
                <w:lang w:val="en-AU"/>
              </w:rPr>
              <w:t>Public health vaccination according to the ‘Australian Immunisation Handbook’ (electronic version)</w:t>
            </w:r>
          </w:p>
          <w:p w:rsidR="00ED635E" w:rsidRPr="00ED635E" w:rsidRDefault="00ED635E" w:rsidP="00ED635E">
            <w:pPr>
              <w:widowControl/>
              <w:spacing w:before="0" w:after="0"/>
              <w:rPr>
                <w:rFonts w:eastAsia="Times New Roman" w:cs="Helvetica"/>
                <w:szCs w:val="24"/>
                <w:lang w:val="en-AU"/>
              </w:rPr>
            </w:pPr>
          </w:p>
        </w:tc>
      </w:tr>
      <w:tr w:rsidR="00ED635E" w:rsidRPr="00ED635E" w:rsidTr="0037434E">
        <w:trPr>
          <w:trHeight w:val="2065"/>
        </w:trPr>
        <w:tc>
          <w:tcPr>
            <w:tcW w:w="2269" w:type="dxa"/>
            <w:shd w:val="clear" w:color="auto" w:fill="auto"/>
            <w:vAlign w:val="center"/>
          </w:tcPr>
          <w:p w:rsidR="00ED635E" w:rsidRPr="00ED635E" w:rsidRDefault="00ED635E" w:rsidP="00ED635E">
            <w:pPr>
              <w:widowControl/>
              <w:spacing w:before="120" w:after="120"/>
              <w:rPr>
                <w:rFonts w:eastAsia="Times New Roman" w:cs="Helvetica"/>
                <w:b/>
                <w:szCs w:val="24"/>
                <w:lang w:val="en-AU"/>
              </w:rPr>
            </w:pPr>
            <w:r w:rsidRPr="00ED635E">
              <w:rPr>
                <w:rFonts w:eastAsia="Times New Roman" w:cs="Helvetica"/>
                <w:b/>
                <w:szCs w:val="24"/>
                <w:lang w:val="en-AU"/>
              </w:rPr>
              <w:t>Contraindications</w:t>
            </w:r>
          </w:p>
          <w:p w:rsidR="00ED635E" w:rsidRPr="00ED635E" w:rsidRDefault="00ED635E" w:rsidP="00ED635E">
            <w:pPr>
              <w:widowControl/>
              <w:spacing w:before="120" w:after="120"/>
              <w:rPr>
                <w:rFonts w:eastAsia="Times New Roman" w:cs="Helvetica"/>
                <w:b/>
                <w:szCs w:val="24"/>
                <w:vertAlign w:val="superscript"/>
                <w:lang w:val="en-AU"/>
              </w:rPr>
            </w:pPr>
            <w:r w:rsidRPr="00ED635E">
              <w:rPr>
                <w:rFonts w:eastAsia="Times New Roman" w:cs="Helvetica"/>
                <w:b/>
                <w:szCs w:val="24"/>
                <w:lang w:val="en-AU"/>
              </w:rPr>
              <w:t>and/or Exclusions</w:t>
            </w:r>
            <w:r w:rsidRPr="00ED635E">
              <w:rPr>
                <w:rFonts w:eastAsia="Times New Roman" w:cs="Helvetica"/>
                <w:b/>
                <w:szCs w:val="24"/>
                <w:vertAlign w:val="superscript"/>
                <w:lang w:val="en-AU"/>
              </w:rPr>
              <w:t>*</w:t>
            </w:r>
          </w:p>
          <w:p w:rsidR="00ED635E" w:rsidRPr="00ED635E" w:rsidRDefault="00ED635E" w:rsidP="00ED635E">
            <w:pPr>
              <w:widowControl/>
              <w:spacing w:before="120" w:after="120"/>
              <w:rPr>
                <w:rFonts w:eastAsia="Times New Roman" w:cs="Helvetica"/>
                <w:b/>
                <w:szCs w:val="24"/>
                <w:lang w:val="en-AU"/>
              </w:rPr>
            </w:pPr>
          </w:p>
        </w:tc>
        <w:tc>
          <w:tcPr>
            <w:tcW w:w="8505" w:type="dxa"/>
            <w:gridSpan w:val="3"/>
            <w:shd w:val="clear" w:color="auto" w:fill="auto"/>
          </w:tcPr>
          <w:p w:rsidR="00ED635E" w:rsidRPr="00ED635E" w:rsidRDefault="00ED635E" w:rsidP="00ED635E">
            <w:pPr>
              <w:widowControl/>
              <w:spacing w:before="0" w:after="0"/>
              <w:rPr>
                <w:rFonts w:eastAsia="Times New Roman" w:cs="Helvetica"/>
                <w:szCs w:val="24"/>
                <w:lang w:val="en-AU"/>
              </w:rPr>
            </w:pPr>
            <w:r w:rsidRPr="00ED635E">
              <w:rPr>
                <w:rFonts w:eastAsia="Times New Roman" w:cs="Helvetica"/>
                <w:szCs w:val="24"/>
                <w:lang w:val="en-AU"/>
              </w:rPr>
              <w:t>The following persons who have a reason for exclusion after completing the pre-vaccination must be referred to their general medical practitioner or primary health care provider:</w:t>
            </w:r>
          </w:p>
          <w:p w:rsidR="00ED635E" w:rsidRPr="00ED635E" w:rsidRDefault="00ED635E" w:rsidP="00ED635E">
            <w:pPr>
              <w:widowControl/>
              <w:numPr>
                <w:ilvl w:val="0"/>
                <w:numId w:val="14"/>
              </w:numPr>
              <w:spacing w:before="0" w:after="0"/>
              <w:rPr>
                <w:rFonts w:eastAsia="Times New Roman" w:cs="Helvetica"/>
                <w:szCs w:val="24"/>
                <w:lang w:val="en-AU"/>
              </w:rPr>
            </w:pPr>
            <w:r w:rsidRPr="00ED635E">
              <w:rPr>
                <w:rFonts w:eastAsia="Times New Roman" w:cs="Helvetica"/>
                <w:szCs w:val="24"/>
                <w:lang w:val="en-AU"/>
              </w:rPr>
              <w:t>Pregnant women or women suspected of being pregnant;</w:t>
            </w:r>
          </w:p>
          <w:p w:rsidR="00ED635E" w:rsidRPr="00ED635E" w:rsidRDefault="00ED635E" w:rsidP="00ED635E">
            <w:pPr>
              <w:widowControl/>
              <w:numPr>
                <w:ilvl w:val="0"/>
                <w:numId w:val="14"/>
              </w:numPr>
              <w:spacing w:before="0" w:after="0"/>
              <w:rPr>
                <w:rFonts w:eastAsia="Times New Roman" w:cs="Helvetica"/>
                <w:szCs w:val="24"/>
                <w:lang w:val="en-AU"/>
              </w:rPr>
            </w:pPr>
            <w:r w:rsidRPr="00ED635E">
              <w:rPr>
                <w:rFonts w:eastAsia="Times New Roman" w:cs="Helvetica"/>
                <w:szCs w:val="24"/>
                <w:lang w:val="en-AU"/>
              </w:rPr>
              <w:t>Persons under 16 years of age;</w:t>
            </w:r>
          </w:p>
          <w:p w:rsidR="00ED635E" w:rsidRPr="00ED635E" w:rsidRDefault="00ED635E" w:rsidP="00ED635E">
            <w:pPr>
              <w:widowControl/>
              <w:numPr>
                <w:ilvl w:val="0"/>
                <w:numId w:val="14"/>
              </w:numPr>
              <w:spacing w:before="0" w:after="0"/>
              <w:rPr>
                <w:rFonts w:eastAsia="Times New Roman" w:cs="Helvetica"/>
                <w:szCs w:val="24"/>
                <w:lang w:val="en-AU"/>
              </w:rPr>
            </w:pPr>
            <w:r w:rsidRPr="00ED635E">
              <w:rPr>
                <w:rFonts w:eastAsia="Times New Roman" w:cs="Helvetica"/>
                <w:szCs w:val="24"/>
                <w:lang w:val="en-AU"/>
              </w:rPr>
              <w:t>Persons with immunosuppression conditions or on immunosuppressant medication;</w:t>
            </w:r>
          </w:p>
          <w:p w:rsidR="00ED635E" w:rsidRPr="00ED635E" w:rsidRDefault="00ED635E" w:rsidP="00ED635E">
            <w:pPr>
              <w:widowControl/>
              <w:numPr>
                <w:ilvl w:val="0"/>
                <w:numId w:val="14"/>
              </w:numPr>
              <w:spacing w:before="0" w:after="0"/>
              <w:rPr>
                <w:rFonts w:eastAsia="Times New Roman" w:cs="Helvetica"/>
                <w:szCs w:val="24"/>
                <w:lang w:val="en-AU"/>
              </w:rPr>
            </w:pPr>
            <w:r w:rsidRPr="00ED635E">
              <w:rPr>
                <w:rFonts w:eastAsia="Times New Roman" w:cs="Helvetica"/>
                <w:szCs w:val="24"/>
                <w:lang w:val="en-AU"/>
              </w:rPr>
              <w:t>Persons with allergies or anaphylaxis to previous vaccines or any vaccine components; and</w:t>
            </w:r>
          </w:p>
          <w:p w:rsidR="00ED635E" w:rsidRPr="00ED635E" w:rsidRDefault="00ED635E" w:rsidP="00ED635E">
            <w:pPr>
              <w:widowControl/>
              <w:numPr>
                <w:ilvl w:val="0"/>
                <w:numId w:val="14"/>
              </w:numPr>
              <w:spacing w:before="0" w:after="0"/>
              <w:rPr>
                <w:rFonts w:eastAsia="Times New Roman" w:cs="Helvetica"/>
                <w:szCs w:val="24"/>
                <w:lang w:val="en-AU"/>
              </w:rPr>
            </w:pPr>
            <w:r w:rsidRPr="00ED635E">
              <w:rPr>
                <w:rFonts w:eastAsia="Times New Roman" w:cs="Helvetica"/>
                <w:szCs w:val="24"/>
                <w:lang w:val="en-AU"/>
              </w:rPr>
              <w:t xml:space="preserve">Persons with a previous history of </w:t>
            </w:r>
            <w:proofErr w:type="spellStart"/>
            <w:r w:rsidRPr="00ED635E">
              <w:rPr>
                <w:rFonts w:eastAsia="Times New Roman" w:cs="Helvetica"/>
                <w:bCs/>
                <w:szCs w:val="24"/>
                <w:lang w:val="en"/>
              </w:rPr>
              <w:t>Guillain</w:t>
            </w:r>
            <w:proofErr w:type="spellEnd"/>
            <w:r w:rsidRPr="00ED635E">
              <w:rPr>
                <w:rFonts w:eastAsia="Times New Roman" w:cs="Helvetica"/>
                <w:bCs/>
                <w:szCs w:val="24"/>
                <w:lang w:val="en"/>
              </w:rPr>
              <w:t>–</w:t>
            </w:r>
            <w:proofErr w:type="spellStart"/>
            <w:r w:rsidRPr="00ED635E">
              <w:rPr>
                <w:rFonts w:eastAsia="Times New Roman" w:cs="Helvetica"/>
                <w:bCs/>
                <w:szCs w:val="24"/>
                <w:lang w:val="en"/>
              </w:rPr>
              <w:t>Barré</w:t>
            </w:r>
            <w:proofErr w:type="spellEnd"/>
            <w:r w:rsidRPr="00ED635E">
              <w:rPr>
                <w:rFonts w:eastAsia="Times New Roman" w:cs="Helvetica"/>
                <w:bCs/>
                <w:szCs w:val="24"/>
                <w:lang w:val="en"/>
              </w:rPr>
              <w:t xml:space="preserve"> syndrome</w:t>
            </w:r>
            <w:r w:rsidRPr="00ED635E">
              <w:rPr>
                <w:rFonts w:eastAsia="Times New Roman" w:cs="Helvetica"/>
                <w:szCs w:val="24"/>
                <w:lang w:val="en-AU"/>
              </w:rPr>
              <w:t>.</w:t>
            </w:r>
          </w:p>
          <w:p w:rsidR="00ED635E" w:rsidRPr="00ED635E" w:rsidRDefault="00ED635E" w:rsidP="00ED635E">
            <w:pPr>
              <w:widowControl/>
              <w:spacing w:before="120" w:after="120"/>
              <w:rPr>
                <w:rFonts w:eastAsia="Times New Roman" w:cs="Helvetica"/>
                <w:b/>
                <w:color w:val="000000" w:themeColor="text1"/>
                <w:szCs w:val="24"/>
                <w:lang w:val="en-AU"/>
              </w:rPr>
            </w:pPr>
            <w:r w:rsidRPr="00ED635E">
              <w:rPr>
                <w:rFonts w:eastAsia="Times New Roman" w:cs="Helvetica"/>
                <w:b/>
                <w:color w:val="000000" w:themeColor="text1"/>
                <w:szCs w:val="24"/>
                <w:lang w:val="en-AU"/>
              </w:rPr>
              <w:t>For all vaccines:</w:t>
            </w:r>
          </w:p>
          <w:p w:rsidR="00ED635E" w:rsidRPr="00ED635E" w:rsidRDefault="00ED635E" w:rsidP="00ED635E">
            <w:pPr>
              <w:widowControl/>
              <w:spacing w:before="0" w:after="0"/>
              <w:rPr>
                <w:rFonts w:eastAsia="Times New Roman" w:cs="Helvetica"/>
                <w:color w:val="000000" w:themeColor="text1"/>
                <w:szCs w:val="24"/>
                <w:lang w:val="en-AU"/>
              </w:rPr>
            </w:pPr>
            <w:r w:rsidRPr="00ED635E">
              <w:rPr>
                <w:rFonts w:eastAsia="Times New Roman" w:cs="Helvetica"/>
                <w:color w:val="000000" w:themeColor="text1"/>
                <w:szCs w:val="24"/>
                <w:lang w:val="en-AU"/>
              </w:rPr>
              <w:t>Please follow any additional vaccine specific contraindications described in the relevant chapters in the ‘Australian Immunisation Handbook’ (electronic version).</w:t>
            </w:r>
          </w:p>
          <w:p w:rsidR="00ED635E" w:rsidRPr="00ED635E" w:rsidRDefault="00ED635E" w:rsidP="00ED635E">
            <w:pPr>
              <w:widowControl/>
              <w:spacing w:before="0" w:after="0"/>
              <w:rPr>
                <w:rFonts w:eastAsia="Times New Roman" w:cs="Helvetica"/>
                <w:color w:val="FF0000"/>
                <w:szCs w:val="24"/>
                <w:lang w:val="en-AU"/>
              </w:rPr>
            </w:pPr>
          </w:p>
        </w:tc>
      </w:tr>
      <w:tr w:rsidR="00ED635E" w:rsidRPr="00ED635E" w:rsidTr="0037434E">
        <w:trPr>
          <w:trHeight w:val="449"/>
        </w:trPr>
        <w:tc>
          <w:tcPr>
            <w:tcW w:w="2269" w:type="dxa"/>
            <w:shd w:val="clear" w:color="auto" w:fill="auto"/>
            <w:vAlign w:val="center"/>
          </w:tcPr>
          <w:p w:rsidR="00ED635E" w:rsidRPr="00ED635E" w:rsidRDefault="00ED635E" w:rsidP="00ED635E">
            <w:pPr>
              <w:widowControl/>
              <w:spacing w:before="120" w:after="120"/>
              <w:rPr>
                <w:rFonts w:eastAsia="Times New Roman" w:cs="Helvetica"/>
                <w:b/>
                <w:szCs w:val="24"/>
                <w:lang w:val="en-AU"/>
              </w:rPr>
            </w:pPr>
            <w:r w:rsidRPr="00ED635E">
              <w:rPr>
                <w:rFonts w:eastAsia="Times New Roman" w:cs="Helvetica"/>
                <w:b/>
                <w:szCs w:val="24"/>
                <w:lang w:val="en-AU"/>
              </w:rPr>
              <w:t>Dose &amp; Route</w:t>
            </w:r>
            <w:r w:rsidRPr="00ED635E">
              <w:rPr>
                <w:rFonts w:eastAsia="Times New Roman" w:cs="Helvetica"/>
                <w:b/>
                <w:szCs w:val="24"/>
                <w:vertAlign w:val="superscript"/>
                <w:lang w:val="en-AU"/>
              </w:rPr>
              <w:t>*</w:t>
            </w:r>
          </w:p>
        </w:tc>
        <w:tc>
          <w:tcPr>
            <w:tcW w:w="8505" w:type="dxa"/>
            <w:gridSpan w:val="3"/>
            <w:shd w:val="clear" w:color="auto" w:fill="auto"/>
            <w:vAlign w:val="center"/>
          </w:tcPr>
          <w:p w:rsidR="00ED635E" w:rsidRPr="00ED635E" w:rsidRDefault="00ED635E" w:rsidP="00ED635E">
            <w:pPr>
              <w:widowControl/>
              <w:spacing w:before="0" w:after="0"/>
              <w:rPr>
                <w:rFonts w:eastAsia="Times New Roman" w:cs="Helvetica"/>
                <w:szCs w:val="24"/>
                <w:lang w:val="en-AU"/>
              </w:rPr>
            </w:pPr>
            <w:r w:rsidRPr="00ED635E">
              <w:rPr>
                <w:rFonts w:eastAsia="Times New Roman" w:cs="Helvetica"/>
                <w:szCs w:val="24"/>
                <w:lang w:val="en-AU"/>
              </w:rPr>
              <w:t xml:space="preserve">As per the ‘Australian Immunisation Handbook’ (electronic version) both Intramuscular or subcutaneous administration, but </w:t>
            </w:r>
            <w:r w:rsidRPr="00ED635E">
              <w:rPr>
                <w:rFonts w:eastAsia="Times New Roman" w:cs="Helvetica"/>
                <w:szCs w:val="24"/>
                <w:u w:val="single"/>
                <w:lang w:val="en-AU"/>
              </w:rPr>
              <w:t>not</w:t>
            </w:r>
            <w:r w:rsidRPr="00ED635E">
              <w:rPr>
                <w:rFonts w:eastAsia="Times New Roman" w:cs="Helvetica"/>
                <w:szCs w:val="24"/>
                <w:lang w:val="en-AU"/>
              </w:rPr>
              <w:t xml:space="preserve"> for intradermal administration of influenza vaccine.</w:t>
            </w:r>
          </w:p>
          <w:p w:rsidR="00ED635E" w:rsidRPr="00ED635E" w:rsidRDefault="00ED635E" w:rsidP="00ED635E">
            <w:pPr>
              <w:widowControl/>
              <w:spacing w:before="0" w:after="0"/>
              <w:rPr>
                <w:rFonts w:eastAsia="Times New Roman" w:cs="Helvetica"/>
                <w:szCs w:val="24"/>
                <w:lang w:val="en-AU"/>
              </w:rPr>
            </w:pPr>
          </w:p>
        </w:tc>
      </w:tr>
      <w:tr w:rsidR="00ED635E" w:rsidRPr="00ED635E" w:rsidTr="0037434E">
        <w:trPr>
          <w:trHeight w:val="449"/>
        </w:trPr>
        <w:tc>
          <w:tcPr>
            <w:tcW w:w="2269" w:type="dxa"/>
            <w:shd w:val="clear" w:color="auto" w:fill="auto"/>
            <w:vAlign w:val="center"/>
          </w:tcPr>
          <w:p w:rsidR="00ED635E" w:rsidRPr="00ED635E" w:rsidRDefault="00ED635E" w:rsidP="00ED635E">
            <w:pPr>
              <w:widowControl/>
              <w:spacing w:before="120" w:after="120"/>
              <w:rPr>
                <w:rFonts w:eastAsia="Times New Roman" w:cs="Helvetica"/>
                <w:b/>
                <w:szCs w:val="24"/>
                <w:lang w:val="en-AU"/>
              </w:rPr>
            </w:pPr>
            <w:r w:rsidRPr="00ED635E">
              <w:rPr>
                <w:rFonts w:eastAsia="Times New Roman" w:cs="Helvetica"/>
                <w:b/>
                <w:szCs w:val="24"/>
                <w:lang w:val="en-AU"/>
              </w:rPr>
              <w:t>Dose frequency</w:t>
            </w:r>
            <w:r w:rsidRPr="00ED635E">
              <w:rPr>
                <w:rFonts w:eastAsia="Times New Roman" w:cs="Helvetica"/>
                <w:b/>
                <w:szCs w:val="24"/>
                <w:vertAlign w:val="superscript"/>
                <w:lang w:val="en-AU"/>
              </w:rPr>
              <w:t>*</w:t>
            </w:r>
          </w:p>
        </w:tc>
        <w:tc>
          <w:tcPr>
            <w:tcW w:w="8505" w:type="dxa"/>
            <w:gridSpan w:val="3"/>
            <w:shd w:val="clear" w:color="auto" w:fill="auto"/>
            <w:vAlign w:val="center"/>
          </w:tcPr>
          <w:p w:rsidR="00ED635E" w:rsidRPr="00ED635E" w:rsidRDefault="00ED635E" w:rsidP="00ED635E">
            <w:pPr>
              <w:widowControl/>
              <w:spacing w:before="0" w:after="0"/>
              <w:rPr>
                <w:rFonts w:eastAsia="Times New Roman" w:cs="Helvetica"/>
                <w:szCs w:val="24"/>
                <w:lang w:val="en-AU"/>
              </w:rPr>
            </w:pPr>
            <w:r w:rsidRPr="00ED635E">
              <w:rPr>
                <w:rFonts w:eastAsia="Times New Roman" w:cs="Helvetica"/>
                <w:szCs w:val="24"/>
                <w:lang w:val="en-AU"/>
              </w:rPr>
              <w:t>As per ‘Australian Immunisation Handbook’ (electronic version)</w:t>
            </w:r>
          </w:p>
        </w:tc>
      </w:tr>
      <w:tr w:rsidR="00ED635E" w:rsidRPr="00ED635E" w:rsidTr="0037434E">
        <w:trPr>
          <w:trHeight w:val="449"/>
        </w:trPr>
        <w:tc>
          <w:tcPr>
            <w:tcW w:w="2269" w:type="dxa"/>
            <w:shd w:val="clear" w:color="auto" w:fill="auto"/>
            <w:vAlign w:val="center"/>
          </w:tcPr>
          <w:p w:rsidR="00ED635E" w:rsidRPr="00ED635E" w:rsidRDefault="00ED635E" w:rsidP="00ED635E">
            <w:pPr>
              <w:widowControl/>
              <w:spacing w:before="120" w:after="120"/>
              <w:rPr>
                <w:rFonts w:eastAsia="Times New Roman" w:cs="Helvetica"/>
                <w:b/>
                <w:szCs w:val="24"/>
                <w:vertAlign w:val="superscript"/>
                <w:lang w:val="en-AU"/>
              </w:rPr>
            </w:pPr>
            <w:r w:rsidRPr="00ED635E">
              <w:rPr>
                <w:rFonts w:eastAsia="Times New Roman" w:cs="Helvetica"/>
                <w:b/>
                <w:szCs w:val="24"/>
                <w:lang w:val="en-AU"/>
              </w:rPr>
              <w:t>Administration</w:t>
            </w:r>
            <w:r w:rsidRPr="00ED635E">
              <w:rPr>
                <w:rFonts w:eastAsia="Times New Roman" w:cs="Helvetica"/>
                <w:b/>
                <w:szCs w:val="24"/>
                <w:vertAlign w:val="superscript"/>
                <w:lang w:val="en-AU"/>
              </w:rPr>
              <w:t>*</w:t>
            </w:r>
          </w:p>
        </w:tc>
        <w:tc>
          <w:tcPr>
            <w:tcW w:w="8505" w:type="dxa"/>
            <w:gridSpan w:val="3"/>
            <w:shd w:val="clear" w:color="auto" w:fill="auto"/>
            <w:vAlign w:val="center"/>
          </w:tcPr>
          <w:p w:rsidR="00ED635E" w:rsidRPr="00ED635E" w:rsidRDefault="00ED635E" w:rsidP="00ED635E">
            <w:pPr>
              <w:widowControl/>
              <w:spacing w:before="0" w:after="0"/>
              <w:rPr>
                <w:rFonts w:eastAsia="Times New Roman" w:cs="Helvetica"/>
                <w:szCs w:val="24"/>
                <w:lang w:val="en-AU"/>
              </w:rPr>
            </w:pPr>
            <w:r w:rsidRPr="00ED635E">
              <w:rPr>
                <w:rFonts w:eastAsia="Times New Roman" w:cs="Helvetica"/>
                <w:szCs w:val="24"/>
                <w:lang w:val="en-AU"/>
              </w:rPr>
              <w:t>As per Australian Immunisation Handbook (electronic version)</w:t>
            </w:r>
          </w:p>
        </w:tc>
      </w:tr>
      <w:tr w:rsidR="00ED635E" w:rsidRPr="00ED635E" w:rsidTr="0037434E">
        <w:trPr>
          <w:trHeight w:val="449"/>
        </w:trPr>
        <w:tc>
          <w:tcPr>
            <w:tcW w:w="2269" w:type="dxa"/>
            <w:shd w:val="clear" w:color="auto" w:fill="auto"/>
            <w:vAlign w:val="center"/>
          </w:tcPr>
          <w:p w:rsidR="00ED635E" w:rsidRPr="00ED635E" w:rsidRDefault="00ED635E" w:rsidP="00ED635E">
            <w:pPr>
              <w:widowControl/>
              <w:spacing w:before="120" w:after="120"/>
              <w:rPr>
                <w:rFonts w:eastAsia="Times New Roman" w:cs="Helvetica"/>
                <w:b/>
                <w:szCs w:val="24"/>
                <w:lang w:val="en-AU"/>
              </w:rPr>
            </w:pPr>
            <w:r w:rsidRPr="00ED635E">
              <w:rPr>
                <w:rFonts w:eastAsia="Times New Roman" w:cs="Helvetica"/>
                <w:b/>
                <w:szCs w:val="24"/>
                <w:lang w:val="en-AU"/>
              </w:rPr>
              <w:t>Drug Interactions</w:t>
            </w:r>
            <w:r w:rsidRPr="00ED635E">
              <w:rPr>
                <w:rFonts w:eastAsia="Times New Roman" w:cs="Helvetica"/>
                <w:b/>
                <w:szCs w:val="24"/>
                <w:vertAlign w:val="superscript"/>
                <w:lang w:val="en-AU"/>
              </w:rPr>
              <w:t>*</w:t>
            </w:r>
          </w:p>
        </w:tc>
        <w:tc>
          <w:tcPr>
            <w:tcW w:w="8505" w:type="dxa"/>
            <w:gridSpan w:val="3"/>
            <w:shd w:val="clear" w:color="auto" w:fill="auto"/>
            <w:vAlign w:val="center"/>
          </w:tcPr>
          <w:p w:rsidR="00ED635E" w:rsidRPr="00ED635E" w:rsidRDefault="00ED635E" w:rsidP="00ED635E">
            <w:pPr>
              <w:widowControl/>
              <w:spacing w:before="0" w:after="0"/>
              <w:rPr>
                <w:rFonts w:eastAsia="Times New Roman" w:cs="Helvetica"/>
                <w:color w:val="000000" w:themeColor="text1"/>
                <w:szCs w:val="24"/>
                <w:lang w:val="en-AU"/>
              </w:rPr>
            </w:pPr>
            <w:r w:rsidRPr="00ED635E">
              <w:rPr>
                <w:rFonts w:eastAsia="Times New Roman" w:cs="Helvetica"/>
                <w:color w:val="000000" w:themeColor="text1"/>
                <w:szCs w:val="24"/>
                <w:lang w:val="en-AU"/>
              </w:rPr>
              <w:t>As per the ‘Australian Immunisation Handbook’ (electronic version)</w:t>
            </w:r>
          </w:p>
          <w:p w:rsidR="00ED635E" w:rsidRPr="00ED635E" w:rsidRDefault="00ED635E" w:rsidP="00ED635E">
            <w:pPr>
              <w:widowControl/>
              <w:numPr>
                <w:ilvl w:val="0"/>
                <w:numId w:val="17"/>
              </w:numPr>
              <w:spacing w:before="120" w:after="120"/>
              <w:rPr>
                <w:rFonts w:eastAsia="Times New Roman" w:cs="Helvetica"/>
                <w:color w:val="000000" w:themeColor="text1"/>
                <w:szCs w:val="24"/>
                <w:lang w:val="en-AU"/>
              </w:rPr>
            </w:pPr>
            <w:r w:rsidRPr="00ED635E">
              <w:rPr>
                <w:rFonts w:eastAsia="Times New Roman" w:cs="Helvetica"/>
                <w:color w:val="000000" w:themeColor="text1"/>
                <w:szCs w:val="24"/>
                <w:lang w:val="en-AU"/>
              </w:rPr>
              <w:t>Refer to the ‘Australian Immunisation Handbook’ for specific vaccines and their interactions with immunoglobulins.</w:t>
            </w:r>
          </w:p>
          <w:p w:rsidR="00ED635E" w:rsidRPr="00ED635E" w:rsidRDefault="00ED635E" w:rsidP="00ED635E">
            <w:pPr>
              <w:widowControl/>
              <w:numPr>
                <w:ilvl w:val="0"/>
                <w:numId w:val="17"/>
              </w:numPr>
              <w:spacing w:before="120" w:after="120"/>
              <w:rPr>
                <w:rFonts w:eastAsia="Times New Roman" w:cs="Helvetica"/>
                <w:color w:val="000000" w:themeColor="text1"/>
                <w:szCs w:val="24"/>
                <w:lang w:val="en-AU"/>
              </w:rPr>
            </w:pPr>
            <w:r w:rsidRPr="00ED635E">
              <w:rPr>
                <w:rFonts w:eastAsia="Times New Roman" w:cs="Helvetica"/>
                <w:color w:val="000000" w:themeColor="text1"/>
                <w:szCs w:val="24"/>
                <w:lang w:val="en-AU"/>
              </w:rPr>
              <w:t>MMR vaccine must be given at the same time as other live vaccines or at least 4 weeks after another live vaccine such as yellow fever, varicella vaccine.</w:t>
            </w:r>
          </w:p>
          <w:p w:rsidR="00ED635E" w:rsidRPr="00ED635E" w:rsidRDefault="00ED635E" w:rsidP="00ED635E">
            <w:pPr>
              <w:widowControl/>
              <w:numPr>
                <w:ilvl w:val="0"/>
                <w:numId w:val="17"/>
              </w:numPr>
              <w:spacing w:before="120" w:after="120"/>
              <w:rPr>
                <w:rFonts w:eastAsia="Times New Roman" w:cs="Helvetica"/>
                <w:color w:val="000000" w:themeColor="text1"/>
                <w:szCs w:val="24"/>
                <w:lang w:val="en-AU"/>
              </w:rPr>
            </w:pPr>
            <w:proofErr w:type="spellStart"/>
            <w:r w:rsidRPr="00ED635E">
              <w:rPr>
                <w:rFonts w:eastAsia="Times New Roman" w:cs="Helvetica"/>
                <w:color w:val="000000" w:themeColor="text1"/>
                <w:szCs w:val="24"/>
                <w:lang w:val="en-AU"/>
              </w:rPr>
              <w:t>Mantoux</w:t>
            </w:r>
            <w:proofErr w:type="spellEnd"/>
            <w:r w:rsidRPr="00ED635E">
              <w:rPr>
                <w:rFonts w:eastAsia="Times New Roman" w:cs="Helvetica"/>
                <w:color w:val="000000" w:themeColor="text1"/>
                <w:szCs w:val="24"/>
                <w:lang w:val="en-AU"/>
              </w:rPr>
              <w:t xml:space="preserve"> testing should not be done until 4 weeks after the administration of measles containing vaccines.</w:t>
            </w:r>
          </w:p>
          <w:p w:rsidR="00ED635E" w:rsidRPr="00ED635E" w:rsidRDefault="00ED635E" w:rsidP="00002099">
            <w:pPr>
              <w:widowControl/>
              <w:numPr>
                <w:ilvl w:val="0"/>
                <w:numId w:val="17"/>
              </w:numPr>
              <w:spacing w:before="120" w:after="120"/>
              <w:rPr>
                <w:rFonts w:eastAsia="Times New Roman" w:cs="Helvetica"/>
                <w:color w:val="000000" w:themeColor="text1"/>
                <w:szCs w:val="24"/>
                <w:lang w:val="en-AU"/>
              </w:rPr>
            </w:pPr>
            <w:r w:rsidRPr="00ED635E">
              <w:rPr>
                <w:rFonts w:eastAsia="Times New Roman" w:cs="Helvetica"/>
                <w:color w:val="000000" w:themeColor="text1"/>
                <w:szCs w:val="24"/>
                <w:lang w:val="en-AU"/>
              </w:rPr>
              <w:lastRenderedPageBreak/>
              <w:t>Refer to vaccine specific chapters in the ‘Australian Immunisation Handbook’ for specific drug interactions with each vaccine.</w:t>
            </w:r>
          </w:p>
        </w:tc>
      </w:tr>
      <w:tr w:rsidR="00ED635E" w:rsidRPr="00ED635E" w:rsidTr="0037434E">
        <w:trPr>
          <w:trHeight w:val="682"/>
        </w:trPr>
        <w:tc>
          <w:tcPr>
            <w:tcW w:w="2269" w:type="dxa"/>
            <w:shd w:val="clear" w:color="auto" w:fill="auto"/>
            <w:vAlign w:val="center"/>
          </w:tcPr>
          <w:p w:rsidR="00ED635E" w:rsidRPr="00ED635E" w:rsidRDefault="00ED635E" w:rsidP="00ED635E">
            <w:pPr>
              <w:widowControl/>
              <w:spacing w:before="120" w:after="120"/>
              <w:rPr>
                <w:rFonts w:eastAsia="Times New Roman" w:cs="Helvetica"/>
                <w:b/>
                <w:szCs w:val="24"/>
                <w:vertAlign w:val="superscript"/>
                <w:lang w:val="en-AU"/>
              </w:rPr>
            </w:pPr>
            <w:r w:rsidRPr="00ED635E">
              <w:rPr>
                <w:rFonts w:eastAsia="Times New Roman" w:cs="Helvetica"/>
                <w:b/>
                <w:szCs w:val="24"/>
                <w:lang w:val="en-AU"/>
              </w:rPr>
              <w:lastRenderedPageBreak/>
              <w:t>Monitoring requirements</w:t>
            </w:r>
            <w:r w:rsidRPr="00ED635E">
              <w:rPr>
                <w:rFonts w:eastAsia="Times New Roman" w:cs="Helvetica"/>
                <w:b/>
                <w:szCs w:val="24"/>
                <w:vertAlign w:val="superscript"/>
                <w:lang w:val="en-AU"/>
              </w:rPr>
              <w:t>*</w:t>
            </w:r>
          </w:p>
        </w:tc>
        <w:tc>
          <w:tcPr>
            <w:tcW w:w="8505" w:type="dxa"/>
            <w:gridSpan w:val="3"/>
            <w:shd w:val="clear" w:color="auto" w:fill="auto"/>
            <w:vAlign w:val="center"/>
          </w:tcPr>
          <w:p w:rsidR="00ED635E" w:rsidRPr="00ED635E" w:rsidRDefault="00ED635E" w:rsidP="00ED635E">
            <w:pPr>
              <w:widowControl/>
              <w:numPr>
                <w:ilvl w:val="0"/>
                <w:numId w:val="15"/>
              </w:numPr>
              <w:spacing w:before="0" w:after="0"/>
              <w:rPr>
                <w:rFonts w:eastAsia="Times New Roman" w:cs="Helvetica"/>
                <w:bCs/>
                <w:szCs w:val="24"/>
                <w:lang w:val="en-AU"/>
              </w:rPr>
            </w:pPr>
            <w:r w:rsidRPr="00ED635E">
              <w:rPr>
                <w:rFonts w:eastAsia="Times New Roman" w:cs="Helvetica"/>
                <w:bCs/>
                <w:szCs w:val="24"/>
                <w:lang w:val="en-AU"/>
              </w:rPr>
              <w:t>Ensure correct storage and handling of vaccines according to the ‘National Storage Guidelines - Strive for 5’;</w:t>
            </w:r>
          </w:p>
          <w:p w:rsidR="00ED635E" w:rsidRPr="00ED635E" w:rsidRDefault="00ED635E" w:rsidP="00ED635E">
            <w:pPr>
              <w:widowControl/>
              <w:numPr>
                <w:ilvl w:val="0"/>
                <w:numId w:val="15"/>
              </w:numPr>
              <w:spacing w:before="0" w:after="0"/>
              <w:rPr>
                <w:rFonts w:eastAsia="Times New Roman" w:cs="Helvetica"/>
                <w:bCs/>
                <w:szCs w:val="24"/>
                <w:lang w:val="en-AU"/>
              </w:rPr>
            </w:pPr>
            <w:r w:rsidRPr="00ED635E">
              <w:rPr>
                <w:rFonts w:eastAsia="Times New Roman" w:cs="Helvetica"/>
                <w:bCs/>
                <w:szCs w:val="24"/>
                <w:lang w:val="en-AU"/>
              </w:rPr>
              <w:t>Ensure only a pharmacist with current training in immunisation according to this SSTP administers vaccines;</w:t>
            </w:r>
          </w:p>
          <w:p w:rsidR="00ED635E" w:rsidRPr="00ED635E" w:rsidRDefault="00ED635E" w:rsidP="00ED635E">
            <w:pPr>
              <w:widowControl/>
              <w:numPr>
                <w:ilvl w:val="0"/>
                <w:numId w:val="15"/>
              </w:numPr>
              <w:spacing w:before="0" w:after="0"/>
              <w:rPr>
                <w:rFonts w:eastAsia="Times New Roman" w:cs="Helvetica"/>
                <w:bCs/>
                <w:szCs w:val="24"/>
                <w:lang w:val="en-AU"/>
              </w:rPr>
            </w:pPr>
            <w:r w:rsidRPr="00ED635E">
              <w:rPr>
                <w:rFonts w:eastAsia="Times New Roman" w:cs="Helvetica"/>
                <w:bCs/>
                <w:szCs w:val="24"/>
                <w:lang w:val="en-AU"/>
              </w:rPr>
              <w:t>Assess patient suitability for vaccination at the pharmacy with pre</w:t>
            </w:r>
            <w:r w:rsidR="00231583">
              <w:rPr>
                <w:rFonts w:eastAsia="Times New Roman" w:cs="Helvetica"/>
                <w:bCs/>
                <w:szCs w:val="24"/>
                <w:lang w:val="en-AU"/>
              </w:rPr>
              <w:noBreakHyphen/>
            </w:r>
            <w:r w:rsidRPr="00ED635E">
              <w:rPr>
                <w:rFonts w:eastAsia="Times New Roman" w:cs="Helvetica"/>
                <w:bCs/>
                <w:szCs w:val="24"/>
                <w:lang w:val="en-AU"/>
              </w:rPr>
              <w:t>vaccination screening questionnaire;</w:t>
            </w:r>
          </w:p>
          <w:p w:rsidR="00ED635E" w:rsidRPr="00ED635E" w:rsidRDefault="00ED635E" w:rsidP="00ED635E">
            <w:pPr>
              <w:widowControl/>
              <w:numPr>
                <w:ilvl w:val="0"/>
                <w:numId w:val="15"/>
              </w:numPr>
              <w:spacing w:before="0" w:after="0"/>
              <w:rPr>
                <w:rFonts w:eastAsia="Times New Roman" w:cs="Helvetica"/>
                <w:bCs/>
                <w:szCs w:val="24"/>
                <w:lang w:val="en-AU"/>
              </w:rPr>
            </w:pPr>
            <w:r w:rsidRPr="00ED635E">
              <w:rPr>
                <w:rFonts w:eastAsia="Times New Roman" w:cs="Helvetica"/>
                <w:bCs/>
                <w:szCs w:val="24"/>
                <w:lang w:val="en-AU"/>
              </w:rPr>
              <w:t>Contact NT Immunisation Register (NTIR) - Phone: 8922 8315 -  for immunisation status if required;</w:t>
            </w:r>
          </w:p>
          <w:p w:rsidR="00ED635E" w:rsidRPr="00ED635E" w:rsidRDefault="00ED635E" w:rsidP="00ED635E">
            <w:pPr>
              <w:widowControl/>
              <w:numPr>
                <w:ilvl w:val="0"/>
                <w:numId w:val="16"/>
              </w:numPr>
              <w:spacing w:before="0" w:after="0"/>
              <w:rPr>
                <w:rFonts w:eastAsia="Times New Roman" w:cs="Helvetica"/>
                <w:bCs/>
                <w:szCs w:val="24"/>
                <w:lang w:val="en-AU"/>
              </w:rPr>
            </w:pPr>
            <w:r w:rsidRPr="00ED635E">
              <w:rPr>
                <w:rFonts w:eastAsia="Times New Roman" w:cs="Helvetica"/>
                <w:bCs/>
                <w:szCs w:val="24"/>
                <w:lang w:val="en-AU"/>
              </w:rPr>
              <w:t>Obtain patient consent to be vaccinated and for vaccination information to be sent to NTIR;</w:t>
            </w:r>
          </w:p>
          <w:p w:rsidR="00ED635E" w:rsidRPr="00ED635E" w:rsidRDefault="00ED635E" w:rsidP="00ED635E">
            <w:pPr>
              <w:widowControl/>
              <w:numPr>
                <w:ilvl w:val="0"/>
                <w:numId w:val="16"/>
              </w:numPr>
              <w:spacing w:before="0" w:after="0"/>
              <w:ind w:right="176"/>
              <w:rPr>
                <w:rFonts w:eastAsia="Times New Roman" w:cs="Helvetica"/>
                <w:szCs w:val="24"/>
                <w:lang w:val="en-AU"/>
              </w:rPr>
            </w:pPr>
            <w:r w:rsidRPr="00ED635E">
              <w:rPr>
                <w:rFonts w:eastAsia="Times New Roman" w:cs="Helvetica"/>
                <w:szCs w:val="24"/>
                <w:lang w:val="en-AU"/>
              </w:rPr>
              <w:t>Provide advice to the patient on action to take if adverse reaction detected once leaving the pharmacy;</w:t>
            </w:r>
          </w:p>
          <w:p w:rsidR="00ED635E" w:rsidRPr="00ED635E" w:rsidRDefault="00ED635E" w:rsidP="00ED635E">
            <w:pPr>
              <w:widowControl/>
              <w:numPr>
                <w:ilvl w:val="0"/>
                <w:numId w:val="16"/>
              </w:numPr>
              <w:spacing w:before="0" w:after="0"/>
              <w:rPr>
                <w:rFonts w:eastAsia="Times New Roman" w:cs="Helvetica"/>
                <w:szCs w:val="24"/>
                <w:lang w:val="en-AU"/>
              </w:rPr>
            </w:pPr>
            <w:r w:rsidRPr="00ED635E">
              <w:rPr>
                <w:rFonts w:eastAsia="Times New Roman" w:cs="Helvetica"/>
                <w:szCs w:val="24"/>
                <w:lang w:val="en-AU"/>
              </w:rPr>
              <w:t xml:space="preserve">Request patient to complete a participant satisfaction/evaluation questionnaire, </w:t>
            </w:r>
          </w:p>
          <w:p w:rsidR="00ED635E" w:rsidRPr="00ED635E" w:rsidRDefault="00ED635E" w:rsidP="00ED635E">
            <w:pPr>
              <w:widowControl/>
              <w:numPr>
                <w:ilvl w:val="0"/>
                <w:numId w:val="16"/>
              </w:numPr>
              <w:tabs>
                <w:tab w:val="left" w:pos="8437"/>
              </w:tabs>
              <w:spacing w:before="0" w:after="0"/>
              <w:ind w:right="176"/>
              <w:rPr>
                <w:rFonts w:eastAsia="Times New Roman" w:cs="Helvetica"/>
                <w:szCs w:val="24"/>
                <w:lang w:val="en-AU"/>
              </w:rPr>
            </w:pPr>
            <w:r w:rsidRPr="00ED635E">
              <w:rPr>
                <w:rFonts w:eastAsia="Times New Roman" w:cs="Helvetica"/>
                <w:szCs w:val="24"/>
                <w:lang w:val="en-AU"/>
              </w:rPr>
              <w:t xml:space="preserve">Observe the patient post administration for 15 minutes for adverse reaction; and </w:t>
            </w:r>
          </w:p>
          <w:p w:rsidR="00ED635E" w:rsidRDefault="00ED635E" w:rsidP="00ED635E">
            <w:pPr>
              <w:widowControl/>
              <w:numPr>
                <w:ilvl w:val="0"/>
                <w:numId w:val="16"/>
              </w:numPr>
              <w:spacing w:before="0" w:after="0"/>
              <w:rPr>
                <w:rFonts w:eastAsia="Times New Roman" w:cs="Helvetica"/>
                <w:szCs w:val="24"/>
                <w:lang w:val="en-AU"/>
              </w:rPr>
            </w:pPr>
            <w:r w:rsidRPr="00ED635E">
              <w:rPr>
                <w:rFonts w:eastAsia="Times New Roman" w:cs="Helvetica"/>
                <w:szCs w:val="24"/>
                <w:lang w:val="en-AU"/>
              </w:rPr>
              <w:t>If an adverse event occurs, an ‘Adverse event following vaccination’ form must be completed and sent to the Centre for Disease Control (CDC).</w:t>
            </w:r>
          </w:p>
          <w:p w:rsidR="00650DE1" w:rsidRPr="00ED635E" w:rsidRDefault="00650DE1" w:rsidP="00650DE1">
            <w:pPr>
              <w:widowControl/>
              <w:spacing w:before="0" w:after="0"/>
              <w:ind w:left="720"/>
              <w:rPr>
                <w:rFonts w:eastAsia="Times New Roman" w:cs="Helvetica"/>
                <w:szCs w:val="24"/>
                <w:lang w:val="en-AU"/>
              </w:rPr>
            </w:pPr>
          </w:p>
        </w:tc>
      </w:tr>
      <w:tr w:rsidR="00DF6801" w:rsidRPr="00DF6801" w:rsidTr="0037434E">
        <w:trPr>
          <w:trHeight w:val="850"/>
        </w:trPr>
        <w:tc>
          <w:tcPr>
            <w:tcW w:w="2269" w:type="dxa"/>
            <w:shd w:val="clear" w:color="auto" w:fill="auto"/>
            <w:vAlign w:val="center"/>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Pharmacist Accreditation Requirements</w:t>
            </w:r>
          </w:p>
        </w:tc>
        <w:tc>
          <w:tcPr>
            <w:tcW w:w="8505" w:type="dxa"/>
            <w:gridSpan w:val="3"/>
            <w:shd w:val="clear" w:color="auto" w:fill="auto"/>
          </w:tcPr>
          <w:p w:rsidR="00DF6801" w:rsidRPr="00DF6801" w:rsidRDefault="00DF6801" w:rsidP="00DF6801">
            <w:pPr>
              <w:widowControl/>
              <w:numPr>
                <w:ilvl w:val="0"/>
                <w:numId w:val="20"/>
              </w:numPr>
              <w:spacing w:before="0" w:after="0"/>
              <w:contextualSpacing/>
              <w:rPr>
                <w:rFonts w:eastAsia="Times New Roman" w:cs="Helvetica"/>
                <w:szCs w:val="24"/>
                <w:lang w:val="en-AU"/>
              </w:rPr>
            </w:pPr>
            <w:r w:rsidRPr="00DF6801">
              <w:rPr>
                <w:rFonts w:eastAsia="Times New Roman" w:cs="Helvetica"/>
                <w:szCs w:val="24"/>
                <w:lang w:val="en-AU"/>
              </w:rPr>
              <w:t>General registration with the Pharmacy Board of Australia with no conditions;</w:t>
            </w:r>
          </w:p>
          <w:p w:rsidR="00DF6801" w:rsidRPr="00DF6801" w:rsidRDefault="00DF6801" w:rsidP="00DF6801">
            <w:pPr>
              <w:widowControl/>
              <w:numPr>
                <w:ilvl w:val="0"/>
                <w:numId w:val="20"/>
              </w:numPr>
              <w:spacing w:before="0" w:after="0"/>
              <w:contextualSpacing/>
              <w:rPr>
                <w:rFonts w:eastAsia="Times New Roman" w:cs="Helvetica"/>
                <w:szCs w:val="24"/>
                <w:lang w:val="en-AU"/>
              </w:rPr>
            </w:pPr>
            <w:r w:rsidRPr="00DF6801">
              <w:rPr>
                <w:rFonts w:eastAsia="Times New Roman" w:cs="Helvetica"/>
                <w:szCs w:val="24"/>
                <w:lang w:val="en-AU"/>
              </w:rPr>
              <w:t xml:space="preserve">Completed immunisation training with NT modifications and maintain 3 yearly updates: </w:t>
            </w:r>
          </w:p>
          <w:p w:rsidR="00DF6801" w:rsidRPr="00DF6801" w:rsidRDefault="00DF6801" w:rsidP="00DF6801">
            <w:pPr>
              <w:widowControl/>
              <w:numPr>
                <w:ilvl w:val="0"/>
                <w:numId w:val="19"/>
              </w:numPr>
              <w:spacing w:before="0" w:after="0"/>
              <w:ind w:left="1066"/>
              <w:contextualSpacing/>
              <w:rPr>
                <w:rFonts w:eastAsia="Times New Roman" w:cs="Helvetica"/>
                <w:szCs w:val="24"/>
                <w:lang w:val="en-AU"/>
              </w:rPr>
            </w:pPr>
            <w:r w:rsidRPr="00DF6801">
              <w:rPr>
                <w:rFonts w:eastAsia="Times New Roman" w:cs="Helvetica"/>
                <w:szCs w:val="24"/>
                <w:lang w:val="en-AU"/>
              </w:rPr>
              <w:t xml:space="preserve">APPIMM806A - Manage the delivery and administration of injections and immunisations - Pharmaceutical Society of Australia; or </w:t>
            </w:r>
          </w:p>
          <w:p w:rsidR="00DF6801" w:rsidRPr="00DF6801" w:rsidRDefault="00DF6801" w:rsidP="00DF6801">
            <w:pPr>
              <w:widowControl/>
              <w:numPr>
                <w:ilvl w:val="0"/>
                <w:numId w:val="19"/>
              </w:numPr>
              <w:spacing w:before="0" w:after="0"/>
              <w:ind w:left="1066"/>
              <w:contextualSpacing/>
              <w:rPr>
                <w:rFonts w:eastAsia="Times New Roman" w:cs="Helvetica"/>
                <w:szCs w:val="24"/>
                <w:lang w:val="en-AU"/>
              </w:rPr>
            </w:pPr>
            <w:r w:rsidRPr="00DF6801">
              <w:rPr>
                <w:rFonts w:eastAsia="Times New Roman" w:cs="Helvetica"/>
                <w:szCs w:val="24"/>
                <w:lang w:val="en-AU"/>
              </w:rPr>
              <w:t>10455NAT - Course in conduct immunisation services within a community pharmacy environment - Pharmacy Guild of Australia; or</w:t>
            </w:r>
          </w:p>
          <w:p w:rsidR="00DF6801" w:rsidRPr="00DF6801" w:rsidRDefault="00DF6801" w:rsidP="00DF6801">
            <w:pPr>
              <w:widowControl/>
              <w:numPr>
                <w:ilvl w:val="0"/>
                <w:numId w:val="19"/>
              </w:numPr>
              <w:spacing w:before="0" w:after="0"/>
              <w:ind w:left="1066"/>
              <w:contextualSpacing/>
              <w:rPr>
                <w:rFonts w:eastAsia="Times New Roman" w:cs="Helvetica"/>
                <w:szCs w:val="24"/>
                <w:lang w:val="en-AU"/>
              </w:rPr>
            </w:pPr>
            <w:r w:rsidRPr="00DF6801">
              <w:rPr>
                <w:rFonts w:eastAsia="Times New Roman" w:cs="Helvetica"/>
                <w:szCs w:val="24"/>
                <w:lang w:val="en-AU"/>
              </w:rPr>
              <w:t>NT About Giving Vaccines (AGV) – NT Department of Health (prior to March 2015); or</w:t>
            </w:r>
          </w:p>
          <w:p w:rsidR="00DF6801" w:rsidRPr="00DF6801" w:rsidRDefault="00DF6801" w:rsidP="00DF6801">
            <w:pPr>
              <w:widowControl/>
              <w:numPr>
                <w:ilvl w:val="0"/>
                <w:numId w:val="19"/>
              </w:numPr>
              <w:spacing w:before="0" w:after="0"/>
              <w:ind w:left="1066"/>
              <w:contextualSpacing/>
              <w:rPr>
                <w:rFonts w:eastAsia="Times New Roman" w:cs="Helvetica"/>
                <w:szCs w:val="24"/>
                <w:lang w:val="en-AU"/>
              </w:rPr>
            </w:pPr>
            <w:r w:rsidRPr="00DF6801">
              <w:rPr>
                <w:rFonts w:eastAsia="Times New Roman" w:cs="Helvetica"/>
                <w:szCs w:val="24"/>
                <w:lang w:val="en-AU"/>
              </w:rPr>
              <w:t>Other courses which meet the Australian Pharmacy Council accreditation standards as approved by the Chief Health Officer;</w:t>
            </w:r>
          </w:p>
          <w:p w:rsidR="00DF6801" w:rsidRPr="00DF6801" w:rsidRDefault="00DF6801" w:rsidP="00DF6801">
            <w:pPr>
              <w:widowControl/>
              <w:numPr>
                <w:ilvl w:val="0"/>
                <w:numId w:val="21"/>
              </w:numPr>
              <w:spacing w:before="0" w:after="0"/>
              <w:contextualSpacing/>
              <w:rPr>
                <w:rFonts w:eastAsia="Times New Roman" w:cs="Helvetica"/>
                <w:szCs w:val="24"/>
                <w:lang w:val="en-AU"/>
              </w:rPr>
            </w:pPr>
            <w:r w:rsidRPr="00DF6801">
              <w:rPr>
                <w:rFonts w:eastAsia="Times New Roman" w:cs="Helvetica"/>
                <w:szCs w:val="24"/>
                <w:lang w:val="en-AU"/>
              </w:rPr>
              <w:t>Current certificate Australasian Society of Clinical Immunology and Allergy (ASCIA) ‘Anaphylaxis e-training for health professionals or pharmacists’ - maintain yearly update;</w:t>
            </w:r>
          </w:p>
          <w:p w:rsidR="00DF6801" w:rsidRPr="00DF6801" w:rsidRDefault="00DF6801" w:rsidP="00DF6801">
            <w:pPr>
              <w:widowControl/>
              <w:numPr>
                <w:ilvl w:val="0"/>
                <w:numId w:val="21"/>
              </w:numPr>
              <w:spacing w:before="0" w:after="0"/>
              <w:contextualSpacing/>
              <w:rPr>
                <w:rFonts w:eastAsia="Times New Roman" w:cs="Helvetica"/>
                <w:szCs w:val="24"/>
                <w:lang w:val="en-GB"/>
              </w:rPr>
            </w:pPr>
            <w:r w:rsidRPr="00DF6801">
              <w:rPr>
                <w:rFonts w:eastAsia="Times New Roman" w:cs="Helvetica"/>
                <w:szCs w:val="24"/>
                <w:lang w:val="en-GB"/>
              </w:rPr>
              <w:t xml:space="preserve">HLTAID003 Provide first aid (includes HLTAID001) - </w:t>
            </w:r>
            <w:r w:rsidRPr="00DF6801">
              <w:rPr>
                <w:rFonts w:eastAsia="Times New Roman" w:cs="Helvetica"/>
                <w:szCs w:val="24"/>
                <w:lang w:val="en-AU"/>
              </w:rPr>
              <w:t>maintain 3 yearly update;</w:t>
            </w:r>
            <w:r w:rsidRPr="00DF6801">
              <w:rPr>
                <w:rFonts w:eastAsia="Times New Roman" w:cs="Helvetica"/>
                <w:szCs w:val="24"/>
                <w:lang w:val="en-GB"/>
              </w:rPr>
              <w:t xml:space="preserve"> </w:t>
            </w:r>
          </w:p>
          <w:p w:rsidR="00DF6801" w:rsidRPr="00DF6801" w:rsidRDefault="00DF6801" w:rsidP="00DF6801">
            <w:pPr>
              <w:widowControl/>
              <w:numPr>
                <w:ilvl w:val="0"/>
                <w:numId w:val="21"/>
              </w:numPr>
              <w:spacing w:before="0" w:after="0"/>
              <w:contextualSpacing/>
              <w:rPr>
                <w:rFonts w:eastAsia="Times New Roman" w:cs="Helvetica"/>
                <w:szCs w:val="24"/>
                <w:lang w:val="en-AU"/>
              </w:rPr>
            </w:pPr>
            <w:r w:rsidRPr="00DF6801">
              <w:rPr>
                <w:rFonts w:eastAsia="Times New Roman" w:cs="Helvetica"/>
                <w:szCs w:val="24"/>
                <w:lang w:val="en-GB"/>
              </w:rPr>
              <w:t xml:space="preserve">HLTAID001 Provide cardiopulmonary resuscitation </w:t>
            </w:r>
            <w:r w:rsidRPr="00DF6801">
              <w:rPr>
                <w:rFonts w:eastAsia="Times New Roman" w:cs="Helvetica"/>
                <w:szCs w:val="24"/>
                <w:lang w:val="en-AU"/>
              </w:rPr>
              <w:t>- maintain yearly update; and</w:t>
            </w:r>
          </w:p>
          <w:p w:rsidR="00DF6801" w:rsidRDefault="00DF6801" w:rsidP="00DF6801">
            <w:pPr>
              <w:widowControl/>
              <w:numPr>
                <w:ilvl w:val="0"/>
                <w:numId w:val="21"/>
              </w:numPr>
              <w:spacing w:before="0" w:after="0"/>
              <w:contextualSpacing/>
              <w:rPr>
                <w:rFonts w:eastAsia="Times New Roman" w:cs="Helvetica"/>
                <w:szCs w:val="24"/>
                <w:lang w:val="en-AU"/>
              </w:rPr>
            </w:pPr>
            <w:r w:rsidRPr="00DF6801">
              <w:rPr>
                <w:rFonts w:eastAsia="Times New Roman" w:cs="Helvetica"/>
                <w:szCs w:val="24"/>
                <w:lang w:val="en-AU"/>
              </w:rPr>
              <w:t>Current professional indemnity insurance for immunisation scope of practice.</w:t>
            </w:r>
          </w:p>
          <w:p w:rsidR="00650DE1" w:rsidRPr="00DF6801" w:rsidRDefault="00650DE1" w:rsidP="00650DE1">
            <w:pPr>
              <w:widowControl/>
              <w:spacing w:before="0" w:after="0"/>
              <w:ind w:left="720"/>
              <w:contextualSpacing/>
              <w:rPr>
                <w:rFonts w:eastAsia="Times New Roman" w:cs="Helvetica"/>
                <w:szCs w:val="24"/>
                <w:lang w:val="en-AU"/>
              </w:rPr>
            </w:pPr>
          </w:p>
        </w:tc>
      </w:tr>
      <w:tr w:rsidR="00DF6801" w:rsidRPr="00DF6801" w:rsidTr="0037434E">
        <w:trPr>
          <w:trHeight w:val="850"/>
        </w:trPr>
        <w:tc>
          <w:tcPr>
            <w:tcW w:w="2269" w:type="dxa"/>
            <w:shd w:val="clear" w:color="auto" w:fill="auto"/>
            <w:vAlign w:val="center"/>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lastRenderedPageBreak/>
              <w:t>Pharmacy requirements</w:t>
            </w:r>
          </w:p>
        </w:tc>
        <w:tc>
          <w:tcPr>
            <w:tcW w:w="8505" w:type="dxa"/>
            <w:gridSpan w:val="3"/>
            <w:shd w:val="clear" w:color="auto" w:fill="auto"/>
          </w:tcPr>
          <w:p w:rsidR="00DF6801" w:rsidRPr="00DF6801" w:rsidRDefault="00DF6801" w:rsidP="00DF6801">
            <w:pPr>
              <w:widowControl/>
              <w:spacing w:before="0" w:after="0"/>
              <w:contextualSpacing/>
              <w:rPr>
                <w:rFonts w:eastAsia="Times New Roman" w:cs="Helvetica"/>
                <w:b/>
                <w:bCs/>
                <w:szCs w:val="24"/>
                <w:lang w:val="en-AU"/>
              </w:rPr>
            </w:pPr>
            <w:r w:rsidRPr="00DF6801">
              <w:rPr>
                <w:rFonts w:eastAsia="Times New Roman" w:cs="Helvetica"/>
                <w:b/>
                <w:bCs/>
                <w:szCs w:val="24"/>
                <w:lang w:val="en-AU"/>
              </w:rPr>
              <w:t>Premises and equipment</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Facilities comply with the NT Pharmacy Premises Committee's ‘Premises and Equipment Standard for Pharmacy Based Immunisation Programs’; and</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 xml:space="preserve">Access to </w:t>
            </w:r>
            <w:proofErr w:type="spellStart"/>
            <w:r w:rsidRPr="00DF6801">
              <w:rPr>
                <w:rFonts w:eastAsia="Times New Roman" w:cs="Helvetica"/>
                <w:szCs w:val="24"/>
                <w:lang w:val="en-AU"/>
              </w:rPr>
              <w:t>Guildcare</w:t>
            </w:r>
            <w:proofErr w:type="spellEnd"/>
            <w:r w:rsidRPr="00DF6801">
              <w:rPr>
                <w:rFonts w:eastAsia="Times New Roman" w:cs="Helvetica"/>
                <w:b/>
                <w:bCs/>
                <w:szCs w:val="24"/>
                <w:lang w:val="en-AU"/>
              </w:rPr>
              <w:t xml:space="preserve">® </w:t>
            </w:r>
            <w:r w:rsidRPr="00DF6801">
              <w:rPr>
                <w:rFonts w:eastAsia="Times New Roman" w:cs="Helvetica"/>
                <w:szCs w:val="24"/>
                <w:lang w:val="en-AU"/>
              </w:rPr>
              <w:t>software (for clinical information recording) or equivalent.</w:t>
            </w:r>
          </w:p>
          <w:p w:rsidR="00DF6801" w:rsidRPr="00DF6801" w:rsidRDefault="00650DE1" w:rsidP="00650DE1">
            <w:pPr>
              <w:widowControl/>
              <w:spacing w:before="120" w:after="0"/>
              <w:rPr>
                <w:rFonts w:eastAsia="Times New Roman" w:cs="Helvetica"/>
                <w:b/>
                <w:szCs w:val="24"/>
                <w:lang w:val="en-AU"/>
              </w:rPr>
            </w:pPr>
            <w:r>
              <w:rPr>
                <w:rFonts w:eastAsia="Times New Roman" w:cs="Helvetica"/>
                <w:b/>
                <w:szCs w:val="24"/>
                <w:lang w:val="en-AU"/>
              </w:rPr>
              <w:t>Staffing</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 xml:space="preserve">Immunisations can only be administered when an additional pharmacist or pharmacy assistant with current First aid and CPR certificates is present at the premises; and  </w:t>
            </w:r>
          </w:p>
          <w:p w:rsidR="00DF6801" w:rsidRPr="00DF6801" w:rsidRDefault="00DF6801" w:rsidP="00DF6801">
            <w:pPr>
              <w:widowControl/>
              <w:numPr>
                <w:ilvl w:val="0"/>
                <w:numId w:val="18"/>
              </w:numPr>
              <w:spacing w:before="0" w:after="0"/>
              <w:contextualSpacing/>
              <w:rPr>
                <w:rFonts w:eastAsia="Times New Roman" w:cs="Helvetica"/>
                <w:b/>
                <w:szCs w:val="24"/>
                <w:lang w:val="en-AU"/>
              </w:rPr>
            </w:pPr>
            <w:r w:rsidRPr="00DF6801">
              <w:rPr>
                <w:rFonts w:eastAsia="Times New Roman" w:cs="Helvetica"/>
                <w:szCs w:val="24"/>
                <w:lang w:val="en-AU"/>
              </w:rPr>
              <w:t>The immunisation pharmacist must have uninterrupted time to conduct the pre-vaccination assessment and vaccination procedures.</w:t>
            </w:r>
          </w:p>
          <w:p w:rsidR="00DF6801" w:rsidRPr="00DF6801" w:rsidRDefault="00DF6801" w:rsidP="00650DE1">
            <w:pPr>
              <w:widowControl/>
              <w:spacing w:before="120" w:after="0"/>
              <w:rPr>
                <w:rFonts w:eastAsia="Times New Roman" w:cs="Helvetica"/>
                <w:b/>
                <w:szCs w:val="24"/>
                <w:lang w:val="en-AU"/>
              </w:rPr>
            </w:pPr>
            <w:r w:rsidRPr="00DF6801">
              <w:rPr>
                <w:rFonts w:eastAsia="Times New Roman" w:cs="Helvetica"/>
                <w:b/>
                <w:szCs w:val="24"/>
                <w:lang w:val="en-AU"/>
              </w:rPr>
              <w:t>Documentation</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 xml:space="preserve">Completion of registration form for the NT pharmacy immunisation pilot; </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 xml:space="preserve">Completion of the pre-vaccination checklist; and </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 xml:space="preserve">Completion of </w:t>
            </w:r>
            <w:r w:rsidRPr="00DF6801">
              <w:rPr>
                <w:rFonts w:eastAsia="Times New Roman" w:cs="Helvetica"/>
                <w:bCs/>
                <w:szCs w:val="24"/>
                <w:lang w:val="en-AU"/>
              </w:rPr>
              <w:t>NT Adverse Event following Immunisation form if required.</w:t>
            </w:r>
          </w:p>
          <w:p w:rsidR="00DF6801" w:rsidRPr="00DF6801" w:rsidRDefault="00DF6801" w:rsidP="00650DE1">
            <w:pPr>
              <w:widowControl/>
              <w:spacing w:before="120" w:after="0"/>
              <w:rPr>
                <w:rFonts w:eastAsia="Times New Roman" w:cs="Helvetica"/>
                <w:b/>
                <w:szCs w:val="24"/>
                <w:lang w:val="en-AU"/>
              </w:rPr>
            </w:pPr>
            <w:r w:rsidRPr="00DF6801">
              <w:rPr>
                <w:rFonts w:eastAsia="Times New Roman" w:cs="Helvetica"/>
                <w:b/>
                <w:szCs w:val="24"/>
                <w:lang w:val="en-AU"/>
              </w:rPr>
              <w:t>Pilot audit requirements</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Participate in periodic audits of premises and educational requirements by the Department of Health; and</w:t>
            </w:r>
          </w:p>
          <w:p w:rsidR="00DF6801" w:rsidRPr="00DF6801" w:rsidRDefault="00DF6801" w:rsidP="00DF6801">
            <w:pPr>
              <w:widowControl/>
              <w:numPr>
                <w:ilvl w:val="0"/>
                <w:numId w:val="18"/>
              </w:numPr>
              <w:spacing w:before="0" w:after="0"/>
              <w:contextualSpacing/>
              <w:rPr>
                <w:rFonts w:eastAsia="Times New Roman" w:cs="Helvetica"/>
                <w:b/>
                <w:szCs w:val="24"/>
                <w:lang w:val="en-AU"/>
              </w:rPr>
            </w:pPr>
            <w:r w:rsidRPr="00DF6801">
              <w:rPr>
                <w:rFonts w:eastAsia="Times New Roman" w:cs="Helvetica"/>
                <w:szCs w:val="24"/>
                <w:lang w:val="en-AU"/>
              </w:rPr>
              <w:t>Participate in the evaluation of the NT pilot by administering participant questionnaire and pharmacist feedback forms.</w:t>
            </w:r>
            <w:r w:rsidRPr="00DF6801">
              <w:rPr>
                <w:rFonts w:eastAsia="Times New Roman" w:cs="Helvetica"/>
                <w:b/>
                <w:szCs w:val="24"/>
                <w:lang w:val="en-AU"/>
              </w:rPr>
              <w:t xml:space="preserve"> </w:t>
            </w:r>
          </w:p>
          <w:p w:rsidR="00DF6801" w:rsidRPr="00DF6801" w:rsidRDefault="00DF6801" w:rsidP="00650DE1">
            <w:pPr>
              <w:widowControl/>
              <w:spacing w:before="120" w:after="0"/>
              <w:contextualSpacing/>
              <w:rPr>
                <w:rFonts w:eastAsia="Times New Roman" w:cs="Helvetica"/>
                <w:b/>
                <w:szCs w:val="24"/>
                <w:lang w:val="en-AU"/>
              </w:rPr>
            </w:pPr>
            <w:r w:rsidRPr="00DF6801">
              <w:rPr>
                <w:rFonts w:eastAsia="Times New Roman" w:cs="Helvetica"/>
                <w:b/>
                <w:szCs w:val="24"/>
                <w:lang w:val="en-AU"/>
              </w:rPr>
              <w:t>Other</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 xml:space="preserve">Accreditation with Quality Care Pharmacy Program (QCPP) (Quality Care Pharmacy Program  - </w:t>
            </w:r>
            <w:hyperlink r:id="rId10" w:history="1">
              <w:r w:rsidRPr="005374B3">
                <w:rPr>
                  <w:rFonts w:eastAsia="Times New Roman" w:cs="Helvetica"/>
                  <w:color w:val="0000FF"/>
                  <w:szCs w:val="24"/>
                  <w:u w:val="single"/>
                  <w:lang w:val="en-AU"/>
                </w:rPr>
                <w:t>www.qcpp.com</w:t>
              </w:r>
            </w:hyperlink>
            <w:r w:rsidRPr="00DF6801">
              <w:rPr>
                <w:rFonts w:eastAsia="Times New Roman" w:cs="Helvetica"/>
                <w:szCs w:val="24"/>
                <w:lang w:val="en-AU"/>
              </w:rPr>
              <w:t xml:space="preserve">) or equivalent (as immunisations may occur in ‘pharmacy services’ </w:t>
            </w:r>
            <w:proofErr w:type="spellStart"/>
            <w:r w:rsidRPr="00DF6801">
              <w:rPr>
                <w:rFonts w:eastAsia="Times New Roman" w:cs="Helvetica"/>
                <w:szCs w:val="24"/>
                <w:lang w:val="en-AU"/>
              </w:rPr>
              <w:t>eg</w:t>
            </w:r>
            <w:proofErr w:type="spellEnd"/>
            <w:r w:rsidRPr="00DF6801">
              <w:rPr>
                <w:rFonts w:eastAsia="Times New Roman" w:cs="Helvetica"/>
                <w:szCs w:val="24"/>
                <w:lang w:val="en-AU"/>
              </w:rPr>
              <w:t xml:space="preserve"> hospital  and Defence pharmacies as well as ‘pharmacy businesses’); and</w:t>
            </w:r>
          </w:p>
          <w:p w:rsidR="00DF6801" w:rsidRPr="00DF6801" w:rsidRDefault="00DF6801" w:rsidP="00DF6801">
            <w:pPr>
              <w:widowControl/>
              <w:numPr>
                <w:ilvl w:val="0"/>
                <w:numId w:val="18"/>
              </w:numPr>
              <w:spacing w:before="0" w:after="0"/>
              <w:contextualSpacing/>
              <w:rPr>
                <w:rFonts w:eastAsia="Times New Roman" w:cs="Helvetica"/>
                <w:szCs w:val="24"/>
                <w:lang w:val="en-AU"/>
              </w:rPr>
            </w:pPr>
            <w:r w:rsidRPr="00DF6801">
              <w:rPr>
                <w:rFonts w:eastAsia="Times New Roman" w:cs="Helvetica"/>
                <w:szCs w:val="24"/>
                <w:lang w:val="en-AU"/>
              </w:rPr>
              <w:t>Appropriate indemnity cover for the business for immunisation.</w:t>
            </w:r>
          </w:p>
        </w:tc>
      </w:tr>
      <w:tr w:rsidR="00DF6801" w:rsidRPr="00DF6801" w:rsidTr="0037434E">
        <w:trPr>
          <w:trHeight w:val="416"/>
        </w:trPr>
        <w:tc>
          <w:tcPr>
            <w:tcW w:w="2269" w:type="dxa"/>
            <w:shd w:val="clear" w:color="auto" w:fill="auto"/>
            <w:vAlign w:val="center"/>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 xml:space="preserve">Documentation </w:t>
            </w:r>
            <w:r w:rsidRPr="00DF6801">
              <w:rPr>
                <w:rFonts w:eastAsia="Times New Roman" w:cs="Helvetica"/>
                <w:i/>
                <w:color w:val="808080"/>
                <w:szCs w:val="24"/>
                <w:lang w:val="en-AU"/>
              </w:rPr>
              <w:t>(including necessary information to the patient)</w:t>
            </w:r>
          </w:p>
        </w:tc>
        <w:tc>
          <w:tcPr>
            <w:tcW w:w="8505" w:type="dxa"/>
            <w:gridSpan w:val="3"/>
            <w:shd w:val="clear" w:color="auto" w:fill="auto"/>
            <w:vAlign w:val="center"/>
          </w:tcPr>
          <w:p w:rsidR="00DF6801" w:rsidRPr="00DF6801" w:rsidRDefault="00DF6801" w:rsidP="00DF6801">
            <w:pPr>
              <w:widowControl/>
              <w:numPr>
                <w:ilvl w:val="0"/>
                <w:numId w:val="26"/>
              </w:numPr>
              <w:spacing w:before="0" w:after="0"/>
              <w:rPr>
                <w:rFonts w:eastAsia="Times New Roman" w:cs="Helvetica"/>
                <w:szCs w:val="24"/>
                <w:lang w:val="en-AU"/>
              </w:rPr>
            </w:pPr>
            <w:r w:rsidRPr="00DF6801">
              <w:rPr>
                <w:rFonts w:eastAsia="Times New Roman" w:cs="Helvetica"/>
                <w:szCs w:val="24"/>
                <w:lang w:val="en-AU"/>
              </w:rPr>
              <w:t>Completion of the pre-vaccination checklist and obtain consent for immunisation to occur;</w:t>
            </w:r>
          </w:p>
          <w:p w:rsidR="00DF6801" w:rsidRPr="00DF6801" w:rsidRDefault="00DF6801" w:rsidP="00DF6801">
            <w:pPr>
              <w:widowControl/>
              <w:numPr>
                <w:ilvl w:val="0"/>
                <w:numId w:val="26"/>
              </w:numPr>
              <w:spacing w:before="0" w:after="0"/>
              <w:rPr>
                <w:rFonts w:eastAsia="Times New Roman" w:cs="Helvetica"/>
                <w:szCs w:val="24"/>
                <w:lang w:val="en-AU"/>
              </w:rPr>
            </w:pPr>
            <w:r w:rsidRPr="00DF6801">
              <w:rPr>
                <w:rFonts w:eastAsia="Times New Roman" w:cs="Helvetica"/>
                <w:szCs w:val="24"/>
                <w:lang w:val="en-AU"/>
              </w:rPr>
              <w:t xml:space="preserve">The patient’s names, date of birth, address, date vaccine given, site of injection; batch number of the vaccination, signature and name of administering pharmacist to be recorded on clinical information database.  This information is sent to NTIR only for persons who have given consent for information to be sent to NTIR; </w:t>
            </w:r>
          </w:p>
          <w:p w:rsidR="00DF6801" w:rsidRPr="00DF6801" w:rsidRDefault="00DF6801" w:rsidP="00DF6801">
            <w:pPr>
              <w:widowControl/>
              <w:numPr>
                <w:ilvl w:val="0"/>
                <w:numId w:val="26"/>
              </w:numPr>
              <w:spacing w:before="0" w:after="0"/>
              <w:rPr>
                <w:rFonts w:eastAsia="Times New Roman" w:cs="Helvetica"/>
                <w:szCs w:val="24"/>
                <w:lang w:val="en-AU"/>
              </w:rPr>
            </w:pPr>
            <w:r w:rsidRPr="00DF6801">
              <w:rPr>
                <w:rFonts w:eastAsia="Times New Roman" w:cs="Helvetica"/>
                <w:szCs w:val="24"/>
                <w:lang w:val="en-AU"/>
              </w:rPr>
              <w:t>Documentation for NT Immunisation register submitted, within  14 days of vaccine administration;</w:t>
            </w:r>
          </w:p>
          <w:p w:rsidR="00DF6801" w:rsidRPr="00DF6801" w:rsidRDefault="00DF6801" w:rsidP="00DF6801">
            <w:pPr>
              <w:widowControl/>
              <w:numPr>
                <w:ilvl w:val="0"/>
                <w:numId w:val="26"/>
              </w:numPr>
              <w:spacing w:before="0" w:after="0"/>
              <w:rPr>
                <w:rFonts w:eastAsia="Times New Roman" w:cs="Helvetica"/>
                <w:szCs w:val="24"/>
                <w:lang w:val="en-AU"/>
              </w:rPr>
            </w:pPr>
            <w:r w:rsidRPr="00DF6801">
              <w:rPr>
                <w:rFonts w:eastAsia="Times New Roman" w:cs="Helvetica"/>
                <w:szCs w:val="24"/>
                <w:lang w:val="en-AU"/>
              </w:rPr>
              <w:t>Completion of documentation related to any review of pharmacist vaccinations conducted in the NT;</w:t>
            </w:r>
          </w:p>
          <w:p w:rsidR="00DF6801" w:rsidRPr="00DF6801" w:rsidRDefault="00DF6801" w:rsidP="00DF6801">
            <w:pPr>
              <w:widowControl/>
              <w:numPr>
                <w:ilvl w:val="0"/>
                <w:numId w:val="26"/>
              </w:numPr>
              <w:spacing w:before="0" w:after="0"/>
              <w:rPr>
                <w:rFonts w:eastAsia="Times New Roman" w:cs="Helvetica"/>
                <w:szCs w:val="24"/>
                <w:lang w:val="en-AU"/>
              </w:rPr>
            </w:pPr>
            <w:r w:rsidRPr="00DF6801">
              <w:rPr>
                <w:rFonts w:eastAsia="Times New Roman" w:cs="Helvetica"/>
                <w:szCs w:val="24"/>
                <w:lang w:val="en-AU"/>
              </w:rPr>
              <w:t xml:space="preserve">Provision of vaccination receipt form(s) to the patient; </w:t>
            </w:r>
          </w:p>
          <w:p w:rsidR="00DF6801" w:rsidRPr="00DF6801" w:rsidRDefault="00DF6801" w:rsidP="00DF6801">
            <w:pPr>
              <w:widowControl/>
              <w:numPr>
                <w:ilvl w:val="0"/>
                <w:numId w:val="26"/>
              </w:numPr>
              <w:spacing w:before="0" w:after="0"/>
              <w:rPr>
                <w:rFonts w:eastAsia="Times New Roman" w:cs="Helvetica"/>
                <w:szCs w:val="24"/>
                <w:lang w:val="en-AU"/>
              </w:rPr>
            </w:pPr>
            <w:r w:rsidRPr="00DF6801">
              <w:rPr>
                <w:rFonts w:eastAsia="Times New Roman" w:cs="Helvetica"/>
                <w:szCs w:val="24"/>
                <w:lang w:val="en-AU"/>
              </w:rPr>
              <w:t>Information about the vaccination to be provided to the usual primary health care provider (if the patient has one) unless the patient specifically requests otherwise;</w:t>
            </w:r>
          </w:p>
          <w:p w:rsidR="00DF6801" w:rsidRPr="00DF6801" w:rsidRDefault="00DF6801" w:rsidP="00DF6801">
            <w:pPr>
              <w:widowControl/>
              <w:numPr>
                <w:ilvl w:val="0"/>
                <w:numId w:val="26"/>
              </w:numPr>
              <w:spacing w:before="0" w:after="0"/>
              <w:rPr>
                <w:rFonts w:eastAsia="Times New Roman" w:cs="Helvetica"/>
                <w:szCs w:val="24"/>
                <w:lang w:val="en-AU"/>
              </w:rPr>
            </w:pPr>
            <w:r w:rsidRPr="00DF6801">
              <w:rPr>
                <w:rFonts w:eastAsia="Times New Roman" w:cs="Helvetica"/>
                <w:szCs w:val="24"/>
                <w:lang w:val="en-AU"/>
              </w:rPr>
              <w:t>Provision of information to patient on action to be taken in the event of an adverse event once leaving the pharmacy; and</w:t>
            </w:r>
          </w:p>
          <w:p w:rsidR="00DF6801" w:rsidRPr="00DF6801" w:rsidRDefault="00DF6801" w:rsidP="00964902">
            <w:pPr>
              <w:widowControl/>
              <w:numPr>
                <w:ilvl w:val="0"/>
                <w:numId w:val="26"/>
              </w:numPr>
              <w:spacing w:before="0" w:after="0"/>
              <w:ind w:left="714" w:hanging="357"/>
              <w:rPr>
                <w:rFonts w:eastAsia="Times New Roman" w:cs="Helvetica"/>
                <w:szCs w:val="24"/>
                <w:lang w:val="en-AU"/>
              </w:rPr>
            </w:pPr>
            <w:r w:rsidRPr="00DF6801">
              <w:rPr>
                <w:rFonts w:eastAsia="Times New Roman" w:cs="Helvetica"/>
                <w:szCs w:val="24"/>
                <w:lang w:val="en-AU"/>
              </w:rPr>
              <w:lastRenderedPageBreak/>
              <w:t xml:space="preserve">All records must be kept for a minimum of two years from last entry, and be available for inspection on demand by an authorised officer under the </w:t>
            </w:r>
            <w:r w:rsidRPr="00DF6801">
              <w:rPr>
                <w:rFonts w:eastAsia="Times New Roman" w:cs="Helvetica"/>
                <w:i/>
                <w:szCs w:val="24"/>
                <w:lang w:val="en-AU"/>
              </w:rPr>
              <w:t>Medicines, Poisons and Therapeutic Goods Act.</w:t>
            </w:r>
          </w:p>
        </w:tc>
      </w:tr>
      <w:tr w:rsidR="00DF6801" w:rsidRPr="00DF6801" w:rsidTr="0037434E">
        <w:trPr>
          <w:trHeight w:val="468"/>
        </w:trPr>
        <w:tc>
          <w:tcPr>
            <w:tcW w:w="2269" w:type="dxa"/>
            <w:shd w:val="clear" w:color="auto" w:fill="auto"/>
            <w:vAlign w:val="center"/>
          </w:tcPr>
          <w:p w:rsidR="00DF6801" w:rsidRPr="00DF6801" w:rsidRDefault="00DF6801" w:rsidP="00006A72">
            <w:pPr>
              <w:spacing w:before="0" w:after="120"/>
              <w:rPr>
                <w:rFonts w:eastAsia="Times New Roman" w:cs="Helvetica"/>
                <w:b/>
                <w:szCs w:val="24"/>
                <w:lang w:val="en-AU"/>
              </w:rPr>
            </w:pPr>
            <w:r w:rsidRPr="00DF6801">
              <w:rPr>
                <w:rFonts w:eastAsia="Times New Roman" w:cs="Helvetica"/>
                <w:b/>
                <w:szCs w:val="24"/>
                <w:lang w:val="en-AU"/>
              </w:rPr>
              <w:lastRenderedPageBreak/>
              <w:t>Related Documents</w:t>
            </w:r>
          </w:p>
        </w:tc>
        <w:tc>
          <w:tcPr>
            <w:tcW w:w="8505" w:type="dxa"/>
            <w:gridSpan w:val="3"/>
            <w:shd w:val="clear" w:color="auto" w:fill="auto"/>
            <w:vAlign w:val="center"/>
          </w:tcPr>
          <w:p w:rsidR="00DF6801" w:rsidRPr="00DF6801" w:rsidRDefault="00DF6801" w:rsidP="00B13E49">
            <w:pPr>
              <w:pageBreakBefore/>
              <w:tabs>
                <w:tab w:val="left" w:pos="8721"/>
              </w:tabs>
              <w:autoSpaceDE w:val="0"/>
              <w:autoSpaceDN w:val="0"/>
              <w:adjustRightInd w:val="0"/>
              <w:spacing w:before="0" w:after="0"/>
              <w:rPr>
                <w:rFonts w:eastAsia="Times New Roman" w:cs="Helvetica"/>
                <w:color w:val="000000"/>
                <w:szCs w:val="24"/>
                <w:lang w:val="en-AU" w:eastAsia="en-AU"/>
              </w:rPr>
            </w:pPr>
            <w:r w:rsidRPr="00DF6801">
              <w:rPr>
                <w:rFonts w:eastAsia="Times New Roman" w:cs="Helvetica"/>
                <w:color w:val="000000"/>
                <w:szCs w:val="24"/>
                <w:lang w:val="en-AU" w:eastAsia="en-AU"/>
              </w:rPr>
              <w:t xml:space="preserve">This protocol is to be used in conjunction with: </w:t>
            </w:r>
          </w:p>
          <w:p w:rsidR="00DF6801" w:rsidRPr="00DF6801" w:rsidRDefault="00DF6801" w:rsidP="00DF6801">
            <w:pPr>
              <w:widowControl/>
              <w:numPr>
                <w:ilvl w:val="0"/>
                <w:numId w:val="22"/>
              </w:numPr>
              <w:tabs>
                <w:tab w:val="left" w:pos="8721"/>
              </w:tabs>
              <w:autoSpaceDE w:val="0"/>
              <w:autoSpaceDN w:val="0"/>
              <w:adjustRightInd w:val="0"/>
              <w:spacing w:before="0" w:after="0"/>
              <w:rPr>
                <w:rFonts w:eastAsia="Times New Roman" w:cs="Helvetica"/>
                <w:color w:val="000000"/>
                <w:szCs w:val="24"/>
                <w:lang w:val="en-AU" w:eastAsia="en-AU"/>
              </w:rPr>
            </w:pPr>
            <w:r w:rsidRPr="00DF6801">
              <w:rPr>
                <w:rFonts w:eastAsia="Times New Roman" w:cs="Helvetica"/>
                <w:color w:val="000000"/>
                <w:szCs w:val="24"/>
                <w:lang w:val="en-AU" w:eastAsia="en-AU"/>
              </w:rPr>
              <w:t xml:space="preserve">‘Australian Immunisation Handbook’ electronic version on </w:t>
            </w:r>
          </w:p>
          <w:p w:rsidR="00DF6801" w:rsidRPr="005374B3" w:rsidRDefault="00FF7619" w:rsidP="007B57ED">
            <w:pPr>
              <w:widowControl/>
              <w:tabs>
                <w:tab w:val="left" w:pos="8721"/>
              </w:tabs>
              <w:autoSpaceDE w:val="0"/>
              <w:autoSpaceDN w:val="0"/>
              <w:adjustRightInd w:val="0"/>
              <w:spacing w:before="0" w:after="120"/>
              <w:ind w:left="357"/>
              <w:rPr>
                <w:rFonts w:eastAsia="Times New Roman" w:cs="Helvetica"/>
                <w:color w:val="0000FF"/>
                <w:szCs w:val="24"/>
                <w:u w:val="single"/>
                <w:lang w:val="en-AU" w:eastAsia="en-AU"/>
              </w:rPr>
            </w:pPr>
            <w:hyperlink r:id="rId11" w:history="1">
              <w:r w:rsidR="00DF6801" w:rsidRPr="005374B3">
                <w:rPr>
                  <w:rFonts w:eastAsia="Times New Roman" w:cs="Helvetica"/>
                  <w:color w:val="0000FF"/>
                  <w:szCs w:val="24"/>
                  <w:u w:val="single"/>
                  <w:lang w:val="en-AU" w:eastAsia="en-AU"/>
                </w:rPr>
                <w:t>http://www.health.gov.au/internet/immunise/publishing.nsf/Content/Handbook10-home</w:t>
              </w:r>
            </w:hyperlink>
          </w:p>
          <w:p w:rsidR="00DF6801" w:rsidRPr="005374B3" w:rsidRDefault="00DF6801" w:rsidP="00DF6801">
            <w:pPr>
              <w:widowControl/>
              <w:numPr>
                <w:ilvl w:val="0"/>
                <w:numId w:val="23"/>
              </w:numPr>
              <w:tabs>
                <w:tab w:val="left" w:pos="8721"/>
              </w:tabs>
              <w:autoSpaceDE w:val="0"/>
              <w:autoSpaceDN w:val="0"/>
              <w:adjustRightInd w:val="0"/>
              <w:spacing w:before="0" w:after="0"/>
              <w:rPr>
                <w:rFonts w:eastAsia="Times New Roman" w:cs="Helvetica"/>
                <w:color w:val="000000" w:themeColor="text1"/>
                <w:szCs w:val="24"/>
                <w:lang w:val="en-AU" w:eastAsia="en-AU"/>
              </w:rPr>
            </w:pPr>
            <w:r w:rsidRPr="005374B3">
              <w:rPr>
                <w:rFonts w:eastAsia="Times New Roman" w:cs="Helvetica"/>
                <w:color w:val="000000" w:themeColor="text1"/>
                <w:szCs w:val="24"/>
                <w:lang w:val="en-AU" w:eastAsia="en-AU"/>
              </w:rPr>
              <w:t>‘National Vaccine Storage Guidelines Strive for 5’ (2</w:t>
            </w:r>
            <w:r w:rsidRPr="005374B3">
              <w:rPr>
                <w:rFonts w:eastAsia="Times New Roman" w:cs="Helvetica"/>
                <w:color w:val="000000" w:themeColor="text1"/>
                <w:szCs w:val="24"/>
                <w:vertAlign w:val="superscript"/>
                <w:lang w:val="en-AU" w:eastAsia="en-AU"/>
              </w:rPr>
              <w:t>nd</w:t>
            </w:r>
            <w:r w:rsidRPr="005374B3">
              <w:rPr>
                <w:rFonts w:eastAsia="Times New Roman" w:cs="Helvetica"/>
                <w:color w:val="000000" w:themeColor="text1"/>
                <w:szCs w:val="24"/>
                <w:lang w:val="en-AU" w:eastAsia="en-AU"/>
              </w:rPr>
              <w:t xml:space="preserve"> edition) electronic version</w:t>
            </w:r>
          </w:p>
          <w:p w:rsidR="00DF6801" w:rsidRPr="005374B3" w:rsidRDefault="00FF7619" w:rsidP="007B57ED">
            <w:pPr>
              <w:widowControl/>
              <w:tabs>
                <w:tab w:val="left" w:pos="8721"/>
              </w:tabs>
              <w:autoSpaceDE w:val="0"/>
              <w:autoSpaceDN w:val="0"/>
              <w:adjustRightInd w:val="0"/>
              <w:spacing w:before="0" w:after="120"/>
              <w:ind w:left="357"/>
              <w:rPr>
                <w:rFonts w:eastAsia="Times New Roman" w:cs="Helvetica"/>
                <w:color w:val="0000FF"/>
                <w:szCs w:val="24"/>
                <w:u w:val="single"/>
                <w:lang w:val="en-AU" w:eastAsia="en-AU"/>
              </w:rPr>
            </w:pPr>
            <w:hyperlink r:id="rId12" w:history="1">
              <w:r w:rsidR="00DF6801" w:rsidRPr="005374B3">
                <w:rPr>
                  <w:rFonts w:eastAsia="Times New Roman" w:cs="Helvetica"/>
                  <w:color w:val="0000FF"/>
                  <w:szCs w:val="24"/>
                  <w:u w:val="single"/>
                  <w:lang w:val="en-AU" w:eastAsia="en-AU"/>
                </w:rPr>
                <w:t>http://www.immunise.health.gov.au/internet/immunise/publishing.nsf/Content/59F63C79DAFAFB38CA257B020002C371/$File/strive-for-5-guidelines.pdf</w:t>
              </w:r>
            </w:hyperlink>
          </w:p>
          <w:p w:rsidR="00DF6801" w:rsidRPr="005374B3" w:rsidRDefault="00DF6801" w:rsidP="00DF6801">
            <w:pPr>
              <w:widowControl/>
              <w:numPr>
                <w:ilvl w:val="0"/>
                <w:numId w:val="24"/>
              </w:numPr>
              <w:tabs>
                <w:tab w:val="left" w:pos="8721"/>
              </w:tabs>
              <w:autoSpaceDE w:val="0"/>
              <w:autoSpaceDN w:val="0"/>
              <w:adjustRightInd w:val="0"/>
              <w:spacing w:before="0" w:after="0"/>
              <w:rPr>
                <w:rFonts w:eastAsia="Times New Roman" w:cs="Helvetica"/>
                <w:color w:val="000000" w:themeColor="text1"/>
                <w:szCs w:val="24"/>
                <w:lang w:val="en-AU" w:eastAsia="en-AU"/>
              </w:rPr>
            </w:pPr>
            <w:r w:rsidRPr="005374B3">
              <w:rPr>
                <w:rFonts w:eastAsia="Times New Roman" w:cs="Helvetica"/>
                <w:color w:val="000000" w:themeColor="text1"/>
                <w:szCs w:val="24"/>
                <w:lang w:val="en-AU" w:eastAsia="en-AU"/>
              </w:rPr>
              <w:t>NT Immunisation Program website</w:t>
            </w:r>
          </w:p>
          <w:p w:rsidR="00DF6801" w:rsidRPr="005374B3" w:rsidRDefault="00FF7619" w:rsidP="007B57ED">
            <w:pPr>
              <w:widowControl/>
              <w:tabs>
                <w:tab w:val="left" w:pos="8721"/>
              </w:tabs>
              <w:autoSpaceDE w:val="0"/>
              <w:autoSpaceDN w:val="0"/>
              <w:adjustRightInd w:val="0"/>
              <w:spacing w:before="0" w:after="120"/>
              <w:ind w:left="357"/>
              <w:rPr>
                <w:rFonts w:eastAsia="Times New Roman" w:cs="Helvetica"/>
                <w:color w:val="0000FF"/>
                <w:szCs w:val="24"/>
                <w:u w:val="single"/>
                <w:lang w:val="en-AU" w:eastAsia="en-AU"/>
              </w:rPr>
            </w:pPr>
            <w:hyperlink r:id="rId13" w:history="1">
              <w:r w:rsidR="00DF6801" w:rsidRPr="005374B3">
                <w:rPr>
                  <w:rFonts w:eastAsia="Times New Roman" w:cs="Helvetica"/>
                  <w:color w:val="0000FF"/>
                  <w:szCs w:val="24"/>
                  <w:u w:val="single"/>
                  <w:lang w:val="en-AU" w:eastAsia="en-AU"/>
                </w:rPr>
                <w:t>http://health.nt.gov.au/Centre_for_Disease_Control/Immunisation/index.aspx</w:t>
              </w:r>
            </w:hyperlink>
          </w:p>
          <w:p w:rsidR="00DF6801" w:rsidRPr="005374B3" w:rsidRDefault="00DF6801" w:rsidP="00DF6801">
            <w:pPr>
              <w:widowControl/>
              <w:numPr>
                <w:ilvl w:val="0"/>
                <w:numId w:val="22"/>
              </w:numPr>
              <w:tabs>
                <w:tab w:val="left" w:pos="8721"/>
              </w:tabs>
              <w:autoSpaceDE w:val="0"/>
              <w:autoSpaceDN w:val="0"/>
              <w:adjustRightInd w:val="0"/>
              <w:spacing w:before="0" w:after="0"/>
              <w:rPr>
                <w:rFonts w:eastAsia="Times New Roman" w:cs="Helvetica"/>
                <w:color w:val="000000" w:themeColor="text1"/>
                <w:szCs w:val="24"/>
                <w:lang w:val="en-AU" w:eastAsia="en-AU"/>
              </w:rPr>
            </w:pPr>
            <w:r w:rsidRPr="005374B3">
              <w:rPr>
                <w:rFonts w:eastAsia="Times New Roman" w:cs="Helvetica"/>
                <w:color w:val="000000" w:themeColor="text1"/>
                <w:szCs w:val="24"/>
                <w:lang w:val="en-AU" w:eastAsia="en-AU"/>
              </w:rPr>
              <w:t>‘Premises and Equipment Standard for Pharmacy Based Immunisation Programs’ as published by the NT Pharmacy Premises Committee</w:t>
            </w:r>
          </w:p>
          <w:p w:rsidR="00DF6801" w:rsidRPr="00DF6801" w:rsidRDefault="00FF7619" w:rsidP="007B57ED">
            <w:pPr>
              <w:widowControl/>
              <w:tabs>
                <w:tab w:val="left" w:pos="8721"/>
              </w:tabs>
              <w:autoSpaceDE w:val="0"/>
              <w:autoSpaceDN w:val="0"/>
              <w:adjustRightInd w:val="0"/>
              <w:spacing w:before="0" w:after="120"/>
              <w:ind w:left="357"/>
              <w:rPr>
                <w:rFonts w:eastAsia="Times New Roman" w:cs="Helvetica"/>
                <w:color w:val="000000"/>
                <w:szCs w:val="24"/>
                <w:lang w:val="en-AU" w:eastAsia="en-AU"/>
              </w:rPr>
            </w:pPr>
            <w:hyperlink r:id="rId14" w:history="1">
              <w:r w:rsidR="00DF6801" w:rsidRPr="005374B3">
                <w:rPr>
                  <w:rFonts w:eastAsia="Times New Roman" w:cs="Helvetica"/>
                  <w:color w:val="0000FF"/>
                  <w:szCs w:val="24"/>
                  <w:u w:val="single"/>
                  <w:lang w:val="en-AU" w:eastAsia="en-AU"/>
                </w:rPr>
                <w:t>http://health.nt.gov.au/Agency/Advisory_Groups_and_Taskforces/Pharmacy_Premises_Committee/index.aspx</w:t>
              </w:r>
            </w:hyperlink>
          </w:p>
          <w:p w:rsidR="00DF6801" w:rsidRPr="00DF6801" w:rsidRDefault="00DF6801" w:rsidP="00DF6801">
            <w:pPr>
              <w:widowControl/>
              <w:numPr>
                <w:ilvl w:val="0"/>
                <w:numId w:val="25"/>
              </w:numPr>
              <w:tabs>
                <w:tab w:val="left" w:pos="8721"/>
              </w:tabs>
              <w:autoSpaceDE w:val="0"/>
              <w:autoSpaceDN w:val="0"/>
              <w:adjustRightInd w:val="0"/>
              <w:spacing w:before="0" w:after="0"/>
              <w:rPr>
                <w:rFonts w:eastAsia="Times New Roman" w:cs="Helvetica"/>
                <w:color w:val="000000"/>
                <w:szCs w:val="24"/>
                <w:lang w:val="en-AU" w:eastAsia="en-AU"/>
              </w:rPr>
            </w:pPr>
            <w:r w:rsidRPr="00DF6801">
              <w:rPr>
                <w:rFonts w:eastAsia="Times New Roman" w:cs="Helvetica"/>
                <w:color w:val="000000"/>
                <w:szCs w:val="24"/>
                <w:lang w:val="en-AU" w:eastAsia="en-AU"/>
              </w:rPr>
              <w:t>Pharmaceutical Society of Australia ‘Practice Guidelines for the provision of Immunisation Services within a Pharmacy’</w:t>
            </w:r>
          </w:p>
          <w:p w:rsidR="00DF6801" w:rsidRPr="00DF6801" w:rsidRDefault="00FF7619" w:rsidP="00DF6801">
            <w:pPr>
              <w:widowControl/>
              <w:tabs>
                <w:tab w:val="left" w:pos="8721"/>
              </w:tabs>
              <w:autoSpaceDE w:val="0"/>
              <w:autoSpaceDN w:val="0"/>
              <w:adjustRightInd w:val="0"/>
              <w:spacing w:before="0" w:after="0"/>
              <w:ind w:left="360"/>
              <w:rPr>
                <w:rFonts w:eastAsia="Times New Roman" w:cs="Helvetica"/>
                <w:color w:val="000000"/>
                <w:szCs w:val="24"/>
                <w:lang w:val="en-AU" w:eastAsia="en-AU"/>
              </w:rPr>
            </w:pPr>
            <w:hyperlink r:id="rId15" w:history="1">
              <w:r w:rsidR="00DF6801" w:rsidRPr="005374B3">
                <w:rPr>
                  <w:rFonts w:eastAsia="Times New Roman" w:cs="Helvetica"/>
                  <w:color w:val="0000FF"/>
                  <w:szCs w:val="24"/>
                  <w:u w:val="single"/>
                  <w:lang w:val="en-AU" w:eastAsia="en-AU"/>
                </w:rPr>
                <w:t>http://www.psa.org.au</w:t>
              </w:r>
            </w:hyperlink>
          </w:p>
          <w:p w:rsidR="00DF6801" w:rsidRPr="00DF6801" w:rsidRDefault="00DF6801" w:rsidP="00DF6801">
            <w:pPr>
              <w:widowControl/>
              <w:tabs>
                <w:tab w:val="left" w:pos="8721"/>
              </w:tabs>
              <w:autoSpaceDE w:val="0"/>
              <w:autoSpaceDN w:val="0"/>
              <w:adjustRightInd w:val="0"/>
              <w:spacing w:before="0" w:after="0"/>
              <w:rPr>
                <w:rFonts w:eastAsia="Times New Roman" w:cs="Helvetica"/>
                <w:color w:val="000000"/>
                <w:szCs w:val="24"/>
                <w:lang w:val="en-AU" w:eastAsia="en-AU"/>
              </w:rPr>
            </w:pPr>
          </w:p>
        </w:tc>
      </w:tr>
      <w:tr w:rsidR="00DF6801" w:rsidRPr="00DF6801" w:rsidTr="00231583">
        <w:trPr>
          <w:trHeight w:val="449"/>
        </w:trPr>
        <w:tc>
          <w:tcPr>
            <w:tcW w:w="2269" w:type="dxa"/>
            <w:shd w:val="clear" w:color="auto" w:fill="auto"/>
            <w:vAlign w:val="center"/>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 xml:space="preserve">Head of Immunisation (Medical Officer) </w:t>
            </w:r>
          </w:p>
        </w:tc>
        <w:tc>
          <w:tcPr>
            <w:tcW w:w="3119" w:type="dxa"/>
            <w:shd w:val="clear" w:color="auto" w:fill="auto"/>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Signature</w:t>
            </w:r>
          </w:p>
          <w:p w:rsidR="00DF6801" w:rsidRPr="00DF6801" w:rsidRDefault="009618D2" w:rsidP="00DF6801">
            <w:pPr>
              <w:widowControl/>
              <w:spacing w:before="120" w:after="120"/>
              <w:rPr>
                <w:rFonts w:eastAsia="Times New Roman" w:cs="Helvetica"/>
                <w:b/>
                <w:szCs w:val="24"/>
                <w:lang w:val="en-AU"/>
              </w:rPr>
            </w:pPr>
            <w:r>
              <w:rPr>
                <w:rFonts w:eastAsia="Times New Roman" w:cs="Helvetica"/>
                <w:b/>
                <w:szCs w:val="24"/>
                <w:lang w:val="en-AU"/>
              </w:rPr>
              <w:t>R. Webby</w:t>
            </w:r>
          </w:p>
        </w:tc>
        <w:tc>
          <w:tcPr>
            <w:tcW w:w="3260" w:type="dxa"/>
            <w:shd w:val="clear" w:color="auto" w:fill="auto"/>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Print name</w:t>
            </w:r>
          </w:p>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Rosalind Webby</w:t>
            </w:r>
          </w:p>
        </w:tc>
        <w:tc>
          <w:tcPr>
            <w:tcW w:w="2126" w:type="dxa"/>
            <w:shd w:val="clear" w:color="auto" w:fill="auto"/>
          </w:tcPr>
          <w:p w:rsid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Date</w:t>
            </w:r>
          </w:p>
          <w:p w:rsidR="009618D2" w:rsidRPr="00DF6801" w:rsidRDefault="009618D2" w:rsidP="00DF6801">
            <w:pPr>
              <w:widowControl/>
              <w:spacing w:before="120" w:after="120"/>
              <w:rPr>
                <w:rFonts w:eastAsia="Times New Roman" w:cs="Helvetica"/>
                <w:b/>
                <w:szCs w:val="24"/>
                <w:lang w:val="en-AU"/>
              </w:rPr>
            </w:pPr>
            <w:r>
              <w:rPr>
                <w:rFonts w:eastAsia="Times New Roman" w:cs="Helvetica"/>
                <w:b/>
                <w:szCs w:val="24"/>
                <w:lang w:val="en-AU"/>
              </w:rPr>
              <w:t>25 January 2016</w:t>
            </w:r>
          </w:p>
        </w:tc>
      </w:tr>
      <w:tr w:rsidR="00DF6801" w:rsidRPr="00DF6801" w:rsidTr="00231583">
        <w:trPr>
          <w:trHeight w:val="676"/>
        </w:trPr>
        <w:tc>
          <w:tcPr>
            <w:tcW w:w="2269" w:type="dxa"/>
            <w:shd w:val="clear" w:color="auto" w:fill="auto"/>
            <w:vAlign w:val="center"/>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Chief Health Officer</w:t>
            </w:r>
          </w:p>
        </w:tc>
        <w:tc>
          <w:tcPr>
            <w:tcW w:w="3119" w:type="dxa"/>
            <w:shd w:val="clear" w:color="auto" w:fill="auto"/>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Signature</w:t>
            </w:r>
          </w:p>
          <w:p w:rsidR="00DF6801" w:rsidRPr="00DF6801" w:rsidRDefault="009618D2" w:rsidP="00DF6801">
            <w:pPr>
              <w:widowControl/>
              <w:spacing w:before="120" w:after="120"/>
              <w:rPr>
                <w:rFonts w:eastAsia="Times New Roman" w:cs="Helvetica"/>
                <w:b/>
                <w:szCs w:val="24"/>
                <w:lang w:val="en-AU"/>
              </w:rPr>
            </w:pPr>
            <w:r>
              <w:rPr>
                <w:rFonts w:eastAsia="Times New Roman" w:cs="Helvetica"/>
                <w:b/>
                <w:szCs w:val="24"/>
                <w:lang w:val="en-AU"/>
              </w:rPr>
              <w:t>D. Arya</w:t>
            </w:r>
          </w:p>
        </w:tc>
        <w:tc>
          <w:tcPr>
            <w:tcW w:w="3260" w:type="dxa"/>
            <w:shd w:val="clear" w:color="auto" w:fill="auto"/>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Print name</w:t>
            </w:r>
          </w:p>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Dinesh Arya</w:t>
            </w:r>
          </w:p>
        </w:tc>
        <w:tc>
          <w:tcPr>
            <w:tcW w:w="2126" w:type="dxa"/>
            <w:shd w:val="clear" w:color="auto" w:fill="auto"/>
          </w:tcPr>
          <w:p w:rsid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Date</w:t>
            </w:r>
          </w:p>
          <w:p w:rsidR="009618D2" w:rsidRPr="00DF6801" w:rsidRDefault="009618D2" w:rsidP="00DF6801">
            <w:pPr>
              <w:widowControl/>
              <w:spacing w:before="120" w:after="120"/>
              <w:rPr>
                <w:rFonts w:eastAsia="Times New Roman" w:cs="Helvetica"/>
                <w:b/>
                <w:szCs w:val="24"/>
                <w:lang w:val="en-AU"/>
              </w:rPr>
            </w:pPr>
            <w:r>
              <w:rPr>
                <w:rFonts w:eastAsia="Times New Roman" w:cs="Helvetica"/>
                <w:b/>
                <w:szCs w:val="24"/>
                <w:lang w:val="en-AU"/>
              </w:rPr>
              <w:t>25 January 2016</w:t>
            </w:r>
          </w:p>
        </w:tc>
      </w:tr>
      <w:tr w:rsidR="00DF6801" w:rsidRPr="00DF6801" w:rsidTr="0037434E">
        <w:trPr>
          <w:trHeight w:val="449"/>
        </w:trPr>
        <w:tc>
          <w:tcPr>
            <w:tcW w:w="2269" w:type="dxa"/>
            <w:shd w:val="clear" w:color="auto" w:fill="D9D9D9"/>
            <w:vAlign w:val="center"/>
          </w:tcPr>
          <w:p w:rsidR="00DF6801" w:rsidRPr="00DF6801" w:rsidRDefault="00DF6801" w:rsidP="00DF6801">
            <w:pPr>
              <w:widowControl/>
              <w:spacing w:before="120" w:after="120"/>
              <w:rPr>
                <w:rFonts w:eastAsia="Times New Roman" w:cs="Helvetica"/>
                <w:b/>
                <w:szCs w:val="24"/>
                <w:lang w:val="en-AU"/>
              </w:rPr>
            </w:pPr>
            <w:r w:rsidRPr="00DF6801">
              <w:rPr>
                <w:rFonts w:eastAsia="Times New Roman" w:cs="Helvetica"/>
                <w:b/>
                <w:szCs w:val="24"/>
                <w:lang w:val="en-AU"/>
              </w:rPr>
              <w:t>Date for Review</w:t>
            </w:r>
          </w:p>
        </w:tc>
        <w:tc>
          <w:tcPr>
            <w:tcW w:w="8505" w:type="dxa"/>
            <w:gridSpan w:val="3"/>
            <w:shd w:val="clear" w:color="auto" w:fill="D9D9D9"/>
            <w:vAlign w:val="center"/>
          </w:tcPr>
          <w:p w:rsidR="00DF6801" w:rsidRPr="00DF6801" w:rsidRDefault="00DF6801" w:rsidP="00DF6801">
            <w:pPr>
              <w:widowControl/>
              <w:spacing w:before="0" w:after="0"/>
              <w:rPr>
                <w:rFonts w:eastAsia="Times New Roman" w:cs="Helvetica"/>
                <w:szCs w:val="24"/>
                <w:lang w:val="en-AU"/>
              </w:rPr>
            </w:pPr>
            <w:r w:rsidRPr="00DF6801">
              <w:rPr>
                <w:rFonts w:eastAsia="Times New Roman" w:cs="Helvetica"/>
                <w:szCs w:val="24"/>
                <w:lang w:val="en-AU"/>
              </w:rPr>
              <w:t>3 years from d</w:t>
            </w:r>
            <w:bookmarkStart w:id="4" w:name="_GoBack"/>
            <w:bookmarkEnd w:id="4"/>
            <w:r w:rsidRPr="00DF6801">
              <w:rPr>
                <w:rFonts w:eastAsia="Times New Roman" w:cs="Helvetica"/>
                <w:szCs w:val="24"/>
                <w:lang w:val="en-AU"/>
              </w:rPr>
              <w:t>ate of approval by Chief Health Officer</w:t>
            </w:r>
          </w:p>
        </w:tc>
      </w:tr>
      <w:tr w:rsidR="00DF6801" w:rsidRPr="00DF6801" w:rsidTr="0037434E">
        <w:trPr>
          <w:trHeight w:val="237"/>
        </w:trPr>
        <w:tc>
          <w:tcPr>
            <w:tcW w:w="10774" w:type="dxa"/>
            <w:gridSpan w:val="4"/>
            <w:shd w:val="clear" w:color="auto" w:fill="auto"/>
          </w:tcPr>
          <w:p w:rsidR="00DF6801" w:rsidRPr="00DF6801" w:rsidRDefault="00DF6801" w:rsidP="00DF6801">
            <w:pPr>
              <w:widowControl/>
              <w:spacing w:before="0" w:after="0"/>
              <w:rPr>
                <w:rFonts w:eastAsia="Times New Roman" w:cs="Helvetica"/>
                <w:b/>
                <w:szCs w:val="24"/>
                <w:lang w:val="en-AU"/>
              </w:rPr>
            </w:pPr>
            <w:r w:rsidRPr="00DF6801">
              <w:rPr>
                <w:rFonts w:eastAsia="Times New Roman" w:cs="Helvetica"/>
                <w:b/>
                <w:szCs w:val="24"/>
                <w:lang w:val="en-AU"/>
              </w:rPr>
              <w:t xml:space="preserve">References: </w:t>
            </w:r>
          </w:p>
          <w:p w:rsidR="00DF6801" w:rsidRPr="00DF6801" w:rsidRDefault="00DF6801" w:rsidP="00DF6801">
            <w:pPr>
              <w:widowControl/>
              <w:spacing w:before="0" w:after="0"/>
              <w:rPr>
                <w:rFonts w:eastAsia="Times New Roman" w:cs="Helvetica"/>
                <w:szCs w:val="24"/>
                <w:lang w:val="en-AU"/>
              </w:rPr>
            </w:pPr>
            <w:r w:rsidRPr="00DF6801">
              <w:rPr>
                <w:rFonts w:eastAsia="Times New Roman" w:cs="Helvetica"/>
                <w:b/>
                <w:szCs w:val="24"/>
                <w:lang w:val="en-AU"/>
              </w:rPr>
              <w:t xml:space="preserve">* </w:t>
            </w:r>
            <w:r w:rsidRPr="00DF6801">
              <w:rPr>
                <w:rFonts w:eastAsia="Times New Roman" w:cs="Helvetica"/>
                <w:szCs w:val="24"/>
                <w:lang w:val="en-AU"/>
              </w:rPr>
              <w:t>The drug information provided is to act as a guide only, for further information reference should be made to the full manufacturer’s product info and other reliable sources of medicines information. If contraindications or interactions are present refer to medical officer before administration</w:t>
            </w:r>
          </w:p>
        </w:tc>
      </w:tr>
    </w:tbl>
    <w:p w:rsidR="00C77848" w:rsidRPr="00C77848" w:rsidRDefault="00C77848" w:rsidP="00C77848">
      <w:pPr>
        <w:widowControl/>
        <w:tabs>
          <w:tab w:val="left" w:pos="8640"/>
        </w:tabs>
        <w:spacing w:before="0" w:after="0" w:line="360" w:lineRule="auto"/>
        <w:jc w:val="right"/>
        <w:rPr>
          <w:rFonts w:eastAsia="Times New Roman"/>
          <w:spacing w:val="-3"/>
          <w:szCs w:val="24"/>
          <w:lang w:val="en-AU" w:eastAsia="en-AU"/>
        </w:rPr>
      </w:pPr>
    </w:p>
    <w:sectPr w:rsidR="00C77848" w:rsidRPr="00C77848" w:rsidSect="0037434E">
      <w:headerReference w:type="default" r:id="rId16"/>
      <w:footerReference w:type="default" r:id="rId17"/>
      <w:pgSz w:w="11906" w:h="16838" w:code="9"/>
      <w:pgMar w:top="1440" w:right="849"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AF" w:rsidRDefault="009B67AF" w:rsidP="00262753">
      <w:pPr>
        <w:spacing w:before="0" w:after="0"/>
      </w:pPr>
      <w:r>
        <w:separator/>
      </w:r>
    </w:p>
  </w:endnote>
  <w:endnote w:type="continuationSeparator" w:id="0">
    <w:p w:rsidR="009B67AF" w:rsidRDefault="009B67AF"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24" w:rsidRPr="00E433EF" w:rsidRDefault="00147C24"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FF7619">
      <w:rPr>
        <w:noProof/>
      </w:rPr>
      <w:t>4</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AF" w:rsidRDefault="009B67AF" w:rsidP="00262753">
      <w:pPr>
        <w:spacing w:before="0" w:after="0"/>
      </w:pPr>
      <w:r>
        <w:separator/>
      </w:r>
    </w:p>
  </w:footnote>
  <w:footnote w:type="continuationSeparator" w:id="0">
    <w:p w:rsidR="009B67AF" w:rsidRDefault="009B67AF"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24" w:rsidRPr="00246A76" w:rsidRDefault="00147C24" w:rsidP="00C538EE">
    <w:pPr>
      <w:pStyle w:val="Header"/>
    </w:pPr>
    <w:r w:rsidRPr="00246A76">
      <w:t xml:space="preserve">Northern Territory Government Gazette No. </w:t>
    </w:r>
    <w:r w:rsidR="001D025E">
      <w:t>S</w:t>
    </w:r>
    <w:r w:rsidR="003D358B">
      <w:t>4</w:t>
    </w:r>
    <w:r w:rsidRPr="00246A76">
      <w:t xml:space="preserve"> </w:t>
    </w:r>
    <w:r w:rsidR="006965F5">
      <w:t>3</w:t>
    </w:r>
    <w:r>
      <w:t xml:space="preserve"> </w:t>
    </w:r>
    <w:r w:rsidR="006965F5">
      <w:t>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396"/>
    <w:multiLevelType w:val="hybridMultilevel"/>
    <w:tmpl w:val="8C0E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465B92"/>
    <w:multiLevelType w:val="hybridMultilevel"/>
    <w:tmpl w:val="56ECF8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37C2E"/>
    <w:multiLevelType w:val="hybridMultilevel"/>
    <w:tmpl w:val="AD483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C535C26"/>
    <w:multiLevelType w:val="hybridMultilevel"/>
    <w:tmpl w:val="8E2817CC"/>
    <w:lvl w:ilvl="0" w:tplc="8EFE16CA">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nsid w:val="27E82876"/>
    <w:multiLevelType w:val="hybridMultilevel"/>
    <w:tmpl w:val="76181820"/>
    <w:lvl w:ilvl="0" w:tplc="2DAA6028">
      <w:start w:val="2"/>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16016F"/>
    <w:multiLevelType w:val="hybridMultilevel"/>
    <w:tmpl w:val="22A46418"/>
    <w:lvl w:ilvl="0" w:tplc="638EA0D0">
      <w:start w:val="2"/>
      <w:numFmt w:val="lowerRoman"/>
      <w:lvlText w:val="(%1)"/>
      <w:lvlJc w:val="left"/>
      <w:pPr>
        <w:ind w:left="1429" w:hanging="720"/>
      </w:pPr>
      <w:rPr>
        <w:rFonts w:hint="default"/>
        <w:color w:val="FF0000"/>
      </w:rPr>
    </w:lvl>
    <w:lvl w:ilvl="1" w:tplc="9D926D7E">
      <w:start w:val="1"/>
      <w:numFmt w:val="upp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3">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FA5F81"/>
    <w:multiLevelType w:val="hybridMultilevel"/>
    <w:tmpl w:val="09462CBC"/>
    <w:lvl w:ilvl="0" w:tplc="4966506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73B48CB"/>
    <w:multiLevelType w:val="hybridMultilevel"/>
    <w:tmpl w:val="CF709E64"/>
    <w:lvl w:ilvl="0" w:tplc="49665066">
      <w:start w:val="1"/>
      <w:numFmt w:val="lowerLetter"/>
      <w:lvlText w:val="(%1)"/>
      <w:lvlJc w:val="left"/>
      <w:pPr>
        <w:ind w:left="1069" w:hanging="360"/>
      </w:pPr>
      <w:rPr>
        <w:rFonts w:hint="default"/>
      </w:rPr>
    </w:lvl>
    <w:lvl w:ilvl="1" w:tplc="0C090019">
      <w:start w:val="1"/>
      <w:numFmt w:val="lowerLetter"/>
      <w:lvlText w:val="%2."/>
      <w:lvlJc w:val="left"/>
      <w:pPr>
        <w:ind w:left="709" w:hanging="360"/>
      </w:pPr>
    </w:lvl>
    <w:lvl w:ilvl="2" w:tplc="0C09001B">
      <w:start w:val="1"/>
      <w:numFmt w:val="lowerRoman"/>
      <w:lvlText w:val="%3."/>
      <w:lvlJc w:val="right"/>
      <w:pPr>
        <w:ind w:left="1429" w:hanging="180"/>
      </w:pPr>
    </w:lvl>
    <w:lvl w:ilvl="3" w:tplc="CC1C02CA">
      <w:start w:val="3"/>
      <w:numFmt w:val="lowerRoman"/>
      <w:lvlText w:val="(%4)"/>
      <w:lvlJc w:val="left"/>
      <w:pPr>
        <w:ind w:left="2149" w:hanging="360"/>
      </w:pPr>
      <w:rPr>
        <w:rFonts w:hint="default"/>
      </w:rPr>
    </w:lvl>
    <w:lvl w:ilvl="4" w:tplc="0C090019" w:tentative="1">
      <w:start w:val="1"/>
      <w:numFmt w:val="lowerLetter"/>
      <w:lvlText w:val="%5."/>
      <w:lvlJc w:val="left"/>
      <w:pPr>
        <w:ind w:left="2869" w:hanging="360"/>
      </w:pPr>
    </w:lvl>
    <w:lvl w:ilvl="5" w:tplc="0C09001B" w:tentative="1">
      <w:start w:val="1"/>
      <w:numFmt w:val="lowerRoman"/>
      <w:lvlText w:val="%6."/>
      <w:lvlJc w:val="right"/>
      <w:pPr>
        <w:ind w:left="3589" w:hanging="180"/>
      </w:pPr>
    </w:lvl>
    <w:lvl w:ilvl="6" w:tplc="0C09000F" w:tentative="1">
      <w:start w:val="1"/>
      <w:numFmt w:val="decimal"/>
      <w:lvlText w:val="%7."/>
      <w:lvlJc w:val="left"/>
      <w:pPr>
        <w:ind w:left="4309" w:hanging="360"/>
      </w:pPr>
    </w:lvl>
    <w:lvl w:ilvl="7" w:tplc="0C090019" w:tentative="1">
      <w:start w:val="1"/>
      <w:numFmt w:val="lowerLetter"/>
      <w:lvlText w:val="%8."/>
      <w:lvlJc w:val="left"/>
      <w:pPr>
        <w:ind w:left="5029" w:hanging="360"/>
      </w:pPr>
    </w:lvl>
    <w:lvl w:ilvl="8" w:tplc="0C09001B" w:tentative="1">
      <w:start w:val="1"/>
      <w:numFmt w:val="lowerRoman"/>
      <w:lvlText w:val="%9."/>
      <w:lvlJc w:val="right"/>
      <w:pPr>
        <w:ind w:left="5749" w:hanging="180"/>
      </w:pPr>
    </w:lvl>
  </w:abstractNum>
  <w:abstractNum w:abstractNumId="19">
    <w:nsid w:val="5D3B66BF"/>
    <w:multiLevelType w:val="hybridMultilevel"/>
    <w:tmpl w:val="F42A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nsid w:val="65356D14"/>
    <w:multiLevelType w:val="hybridMultilevel"/>
    <w:tmpl w:val="C608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267317E"/>
    <w:multiLevelType w:val="hybridMultilevel"/>
    <w:tmpl w:val="C620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214239"/>
    <w:multiLevelType w:val="hybridMultilevel"/>
    <w:tmpl w:val="ECCAC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4414C0"/>
    <w:multiLevelType w:val="hybridMultilevel"/>
    <w:tmpl w:val="5F2A4A2E"/>
    <w:lvl w:ilvl="0" w:tplc="9D926D7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2"/>
  </w:num>
  <w:num w:numId="2">
    <w:abstractNumId w:val="16"/>
  </w:num>
  <w:num w:numId="3">
    <w:abstractNumId w:val="20"/>
  </w:num>
  <w:num w:numId="4">
    <w:abstractNumId w:val="14"/>
  </w:num>
  <w:num w:numId="5">
    <w:abstractNumId w:val="7"/>
  </w:num>
  <w:num w:numId="6">
    <w:abstractNumId w:val="10"/>
  </w:num>
  <w:num w:numId="7">
    <w:abstractNumId w:val="12"/>
  </w:num>
  <w:num w:numId="8">
    <w:abstractNumId w:val="25"/>
  </w:num>
  <w:num w:numId="9">
    <w:abstractNumId w:val="18"/>
  </w:num>
  <w:num w:numId="10">
    <w:abstractNumId w:val="6"/>
  </w:num>
  <w:num w:numId="11">
    <w:abstractNumId w:val="8"/>
  </w:num>
  <w:num w:numId="12">
    <w:abstractNumId w:val="17"/>
  </w:num>
  <w:num w:numId="13">
    <w:abstractNumId w:val="11"/>
  </w:num>
  <w:num w:numId="14">
    <w:abstractNumId w:val="23"/>
  </w:num>
  <w:num w:numId="15">
    <w:abstractNumId w:val="1"/>
  </w:num>
  <w:num w:numId="16">
    <w:abstractNumId w:val="13"/>
  </w:num>
  <w:num w:numId="17">
    <w:abstractNumId w:val="15"/>
  </w:num>
  <w:num w:numId="18">
    <w:abstractNumId w:val="5"/>
  </w:num>
  <w:num w:numId="19">
    <w:abstractNumId w:val="3"/>
  </w:num>
  <w:num w:numId="20">
    <w:abstractNumId w:val="21"/>
  </w:num>
  <w:num w:numId="21">
    <w:abstractNumId w:val="19"/>
  </w:num>
  <w:num w:numId="22">
    <w:abstractNumId w:val="24"/>
  </w:num>
  <w:num w:numId="23">
    <w:abstractNumId w:val="2"/>
  </w:num>
  <w:num w:numId="24">
    <w:abstractNumId w:val="9"/>
  </w:num>
  <w:num w:numId="25">
    <w:abstractNumId w:val="4"/>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2099"/>
    <w:rsid w:val="00002297"/>
    <w:rsid w:val="00003153"/>
    <w:rsid w:val="00006A72"/>
    <w:rsid w:val="00013F59"/>
    <w:rsid w:val="00020716"/>
    <w:rsid w:val="000207CC"/>
    <w:rsid w:val="00026E9F"/>
    <w:rsid w:val="00034591"/>
    <w:rsid w:val="000358EC"/>
    <w:rsid w:val="00052094"/>
    <w:rsid w:val="00054A6A"/>
    <w:rsid w:val="00057F46"/>
    <w:rsid w:val="00064061"/>
    <w:rsid w:val="00065CB0"/>
    <w:rsid w:val="00070069"/>
    <w:rsid w:val="000773E4"/>
    <w:rsid w:val="00090395"/>
    <w:rsid w:val="00093FFD"/>
    <w:rsid w:val="00096DCC"/>
    <w:rsid w:val="000A4982"/>
    <w:rsid w:val="000A4CD5"/>
    <w:rsid w:val="000A5954"/>
    <w:rsid w:val="000A6058"/>
    <w:rsid w:val="000B2F6A"/>
    <w:rsid w:val="000B4836"/>
    <w:rsid w:val="000B7CFD"/>
    <w:rsid w:val="000D3ECE"/>
    <w:rsid w:val="000E6BFC"/>
    <w:rsid w:val="000F09B8"/>
    <w:rsid w:val="000F46D8"/>
    <w:rsid w:val="000F6DE7"/>
    <w:rsid w:val="00103A05"/>
    <w:rsid w:val="00113FDA"/>
    <w:rsid w:val="00114B84"/>
    <w:rsid w:val="001167A3"/>
    <w:rsid w:val="00130DFF"/>
    <w:rsid w:val="00135118"/>
    <w:rsid w:val="001361FD"/>
    <w:rsid w:val="00143E2E"/>
    <w:rsid w:val="00146D1A"/>
    <w:rsid w:val="00147C24"/>
    <w:rsid w:val="001553F8"/>
    <w:rsid w:val="001576EC"/>
    <w:rsid w:val="00164F43"/>
    <w:rsid w:val="00165E3C"/>
    <w:rsid w:val="0017241D"/>
    <w:rsid w:val="00172A47"/>
    <w:rsid w:val="0018366C"/>
    <w:rsid w:val="001866A6"/>
    <w:rsid w:val="001A71E6"/>
    <w:rsid w:val="001B2E92"/>
    <w:rsid w:val="001B4B6C"/>
    <w:rsid w:val="001C4F91"/>
    <w:rsid w:val="001D025E"/>
    <w:rsid w:val="001E4990"/>
    <w:rsid w:val="00200AB1"/>
    <w:rsid w:val="00227CC3"/>
    <w:rsid w:val="002312A3"/>
    <w:rsid w:val="00231583"/>
    <w:rsid w:val="00246A76"/>
    <w:rsid w:val="00262753"/>
    <w:rsid w:val="00265E64"/>
    <w:rsid w:val="00272C3D"/>
    <w:rsid w:val="0027677A"/>
    <w:rsid w:val="00282700"/>
    <w:rsid w:val="00282E1A"/>
    <w:rsid w:val="002A352E"/>
    <w:rsid w:val="002A790F"/>
    <w:rsid w:val="002B405A"/>
    <w:rsid w:val="002C2BA9"/>
    <w:rsid w:val="002D2F80"/>
    <w:rsid w:val="002E00D8"/>
    <w:rsid w:val="002E256D"/>
    <w:rsid w:val="002E549B"/>
    <w:rsid w:val="002E5ADE"/>
    <w:rsid w:val="002E6ECC"/>
    <w:rsid w:val="00302EC4"/>
    <w:rsid w:val="00312CB3"/>
    <w:rsid w:val="003176A9"/>
    <w:rsid w:val="00323586"/>
    <w:rsid w:val="00324C51"/>
    <w:rsid w:val="003276F8"/>
    <w:rsid w:val="00337B34"/>
    <w:rsid w:val="003471DB"/>
    <w:rsid w:val="00347ADD"/>
    <w:rsid w:val="0035606A"/>
    <w:rsid w:val="003575ED"/>
    <w:rsid w:val="00370120"/>
    <w:rsid w:val="0037434E"/>
    <w:rsid w:val="00382212"/>
    <w:rsid w:val="0038325C"/>
    <w:rsid w:val="003851A1"/>
    <w:rsid w:val="00393EF3"/>
    <w:rsid w:val="00395152"/>
    <w:rsid w:val="003C1392"/>
    <w:rsid w:val="003C28B9"/>
    <w:rsid w:val="003C4B0B"/>
    <w:rsid w:val="003D0D5C"/>
    <w:rsid w:val="003D358B"/>
    <w:rsid w:val="003E0C3C"/>
    <w:rsid w:val="003E277C"/>
    <w:rsid w:val="003E5299"/>
    <w:rsid w:val="003F3EE8"/>
    <w:rsid w:val="003F403B"/>
    <w:rsid w:val="003F6841"/>
    <w:rsid w:val="003F7DE2"/>
    <w:rsid w:val="004116D2"/>
    <w:rsid w:val="00411B23"/>
    <w:rsid w:val="0041591E"/>
    <w:rsid w:val="00417B9A"/>
    <w:rsid w:val="004235A5"/>
    <w:rsid w:val="004264B9"/>
    <w:rsid w:val="00432413"/>
    <w:rsid w:val="0043394C"/>
    <w:rsid w:val="004406BF"/>
    <w:rsid w:val="00441F51"/>
    <w:rsid w:val="00445AAB"/>
    <w:rsid w:val="0045196E"/>
    <w:rsid w:val="00451D8B"/>
    <w:rsid w:val="004769F4"/>
    <w:rsid w:val="00482E23"/>
    <w:rsid w:val="004952A9"/>
    <w:rsid w:val="004B0C47"/>
    <w:rsid w:val="004C25B7"/>
    <w:rsid w:val="004C2665"/>
    <w:rsid w:val="004F633F"/>
    <w:rsid w:val="0050155E"/>
    <w:rsid w:val="005215A6"/>
    <w:rsid w:val="00525103"/>
    <w:rsid w:val="0053380C"/>
    <w:rsid w:val="005374B3"/>
    <w:rsid w:val="00542507"/>
    <w:rsid w:val="00545856"/>
    <w:rsid w:val="00546BE4"/>
    <w:rsid w:val="005601D9"/>
    <w:rsid w:val="00561294"/>
    <w:rsid w:val="005733D2"/>
    <w:rsid w:val="005933C6"/>
    <w:rsid w:val="005B4C84"/>
    <w:rsid w:val="005C1048"/>
    <w:rsid w:val="005E2FCB"/>
    <w:rsid w:val="005E4B1F"/>
    <w:rsid w:val="005E73D0"/>
    <w:rsid w:val="005E78A0"/>
    <w:rsid w:val="005F097D"/>
    <w:rsid w:val="0060792F"/>
    <w:rsid w:val="006127FB"/>
    <w:rsid w:val="00620FFF"/>
    <w:rsid w:val="00630213"/>
    <w:rsid w:val="0064187A"/>
    <w:rsid w:val="00646354"/>
    <w:rsid w:val="0064667E"/>
    <w:rsid w:val="006471F9"/>
    <w:rsid w:val="00650DE1"/>
    <w:rsid w:val="00655BC9"/>
    <w:rsid w:val="00677C27"/>
    <w:rsid w:val="00681C9F"/>
    <w:rsid w:val="006844DA"/>
    <w:rsid w:val="00687690"/>
    <w:rsid w:val="006965F5"/>
    <w:rsid w:val="006A0C26"/>
    <w:rsid w:val="006A55C8"/>
    <w:rsid w:val="006B1946"/>
    <w:rsid w:val="006B27BC"/>
    <w:rsid w:val="006C14C8"/>
    <w:rsid w:val="006F50B2"/>
    <w:rsid w:val="00700C42"/>
    <w:rsid w:val="00705F0E"/>
    <w:rsid w:val="007125FD"/>
    <w:rsid w:val="00714553"/>
    <w:rsid w:val="00714FF5"/>
    <w:rsid w:val="00715688"/>
    <w:rsid w:val="007239B5"/>
    <w:rsid w:val="0073176A"/>
    <w:rsid w:val="00741E23"/>
    <w:rsid w:val="00744D28"/>
    <w:rsid w:val="0075259F"/>
    <w:rsid w:val="00755B11"/>
    <w:rsid w:val="00773FE6"/>
    <w:rsid w:val="007A7CDD"/>
    <w:rsid w:val="007B531E"/>
    <w:rsid w:val="007B57ED"/>
    <w:rsid w:val="007B5AE1"/>
    <w:rsid w:val="007D5BC4"/>
    <w:rsid w:val="007D76B6"/>
    <w:rsid w:val="007E624E"/>
    <w:rsid w:val="007F7BE7"/>
    <w:rsid w:val="0080418C"/>
    <w:rsid w:val="00806C0C"/>
    <w:rsid w:val="00807ABB"/>
    <w:rsid w:val="0082007C"/>
    <w:rsid w:val="00823A62"/>
    <w:rsid w:val="00823E58"/>
    <w:rsid w:val="00825F7F"/>
    <w:rsid w:val="00836D72"/>
    <w:rsid w:val="008379C6"/>
    <w:rsid w:val="0084100D"/>
    <w:rsid w:val="00842CD9"/>
    <w:rsid w:val="008537DF"/>
    <w:rsid w:val="00857BAD"/>
    <w:rsid w:val="00862A2D"/>
    <w:rsid w:val="00862B3D"/>
    <w:rsid w:val="008772FB"/>
    <w:rsid w:val="00877D0D"/>
    <w:rsid w:val="00881340"/>
    <w:rsid w:val="00892391"/>
    <w:rsid w:val="00897165"/>
    <w:rsid w:val="00897D84"/>
    <w:rsid w:val="008A33EA"/>
    <w:rsid w:val="008B1A5F"/>
    <w:rsid w:val="008C7EDE"/>
    <w:rsid w:val="008D7FF6"/>
    <w:rsid w:val="008E21F6"/>
    <w:rsid w:val="008F0480"/>
    <w:rsid w:val="008F4618"/>
    <w:rsid w:val="008F4DD9"/>
    <w:rsid w:val="009012BC"/>
    <w:rsid w:val="009014B0"/>
    <w:rsid w:val="00901C30"/>
    <w:rsid w:val="00904253"/>
    <w:rsid w:val="00904C18"/>
    <w:rsid w:val="00906E72"/>
    <w:rsid w:val="00913286"/>
    <w:rsid w:val="0092566E"/>
    <w:rsid w:val="00943ABB"/>
    <w:rsid w:val="00953564"/>
    <w:rsid w:val="009560CB"/>
    <w:rsid w:val="00957EF7"/>
    <w:rsid w:val="009618D2"/>
    <w:rsid w:val="00961F6D"/>
    <w:rsid w:val="00964902"/>
    <w:rsid w:val="009720E3"/>
    <w:rsid w:val="009727F7"/>
    <w:rsid w:val="00983175"/>
    <w:rsid w:val="00993FDC"/>
    <w:rsid w:val="009A2BA3"/>
    <w:rsid w:val="009A5CD0"/>
    <w:rsid w:val="009B0538"/>
    <w:rsid w:val="009B1404"/>
    <w:rsid w:val="009B19BA"/>
    <w:rsid w:val="009B67AF"/>
    <w:rsid w:val="009E3345"/>
    <w:rsid w:val="009E45A0"/>
    <w:rsid w:val="009E47D4"/>
    <w:rsid w:val="009E5EEC"/>
    <w:rsid w:val="009F4319"/>
    <w:rsid w:val="009F455A"/>
    <w:rsid w:val="00A02B4D"/>
    <w:rsid w:val="00A042A9"/>
    <w:rsid w:val="00A0659D"/>
    <w:rsid w:val="00A13E85"/>
    <w:rsid w:val="00A160B3"/>
    <w:rsid w:val="00A177B8"/>
    <w:rsid w:val="00A223CC"/>
    <w:rsid w:val="00A24441"/>
    <w:rsid w:val="00A27090"/>
    <w:rsid w:val="00A30916"/>
    <w:rsid w:val="00A30D03"/>
    <w:rsid w:val="00A346E5"/>
    <w:rsid w:val="00A36A51"/>
    <w:rsid w:val="00A37EA7"/>
    <w:rsid w:val="00A40CF1"/>
    <w:rsid w:val="00A4339A"/>
    <w:rsid w:val="00A45ACD"/>
    <w:rsid w:val="00A56BA6"/>
    <w:rsid w:val="00A778B9"/>
    <w:rsid w:val="00A84ABF"/>
    <w:rsid w:val="00A87C3B"/>
    <w:rsid w:val="00A90202"/>
    <w:rsid w:val="00A977FA"/>
    <w:rsid w:val="00AA2098"/>
    <w:rsid w:val="00AB274C"/>
    <w:rsid w:val="00AB79CD"/>
    <w:rsid w:val="00AC5EAE"/>
    <w:rsid w:val="00AC6489"/>
    <w:rsid w:val="00AC6A42"/>
    <w:rsid w:val="00AD18E7"/>
    <w:rsid w:val="00AD23CC"/>
    <w:rsid w:val="00AD297E"/>
    <w:rsid w:val="00AD3885"/>
    <w:rsid w:val="00AF17B7"/>
    <w:rsid w:val="00AF7A46"/>
    <w:rsid w:val="00B008CE"/>
    <w:rsid w:val="00B027C1"/>
    <w:rsid w:val="00B13E49"/>
    <w:rsid w:val="00B163F6"/>
    <w:rsid w:val="00B2122A"/>
    <w:rsid w:val="00B23BEB"/>
    <w:rsid w:val="00B26867"/>
    <w:rsid w:val="00B27AA4"/>
    <w:rsid w:val="00B27B3E"/>
    <w:rsid w:val="00B32515"/>
    <w:rsid w:val="00B33655"/>
    <w:rsid w:val="00B411D0"/>
    <w:rsid w:val="00B46308"/>
    <w:rsid w:val="00B5311D"/>
    <w:rsid w:val="00B768ED"/>
    <w:rsid w:val="00B77674"/>
    <w:rsid w:val="00B80314"/>
    <w:rsid w:val="00B90E1E"/>
    <w:rsid w:val="00B91DA2"/>
    <w:rsid w:val="00BB65E7"/>
    <w:rsid w:val="00BB73CF"/>
    <w:rsid w:val="00BC2FD8"/>
    <w:rsid w:val="00BC31E4"/>
    <w:rsid w:val="00BC494F"/>
    <w:rsid w:val="00BC5595"/>
    <w:rsid w:val="00BD379C"/>
    <w:rsid w:val="00BD5C33"/>
    <w:rsid w:val="00BE19A6"/>
    <w:rsid w:val="00BE3021"/>
    <w:rsid w:val="00BE5264"/>
    <w:rsid w:val="00BF6012"/>
    <w:rsid w:val="00BF6825"/>
    <w:rsid w:val="00C0553E"/>
    <w:rsid w:val="00C20552"/>
    <w:rsid w:val="00C21686"/>
    <w:rsid w:val="00C276B9"/>
    <w:rsid w:val="00C328F9"/>
    <w:rsid w:val="00C33ACB"/>
    <w:rsid w:val="00C3689F"/>
    <w:rsid w:val="00C36BEA"/>
    <w:rsid w:val="00C47D5C"/>
    <w:rsid w:val="00C50CBB"/>
    <w:rsid w:val="00C538EE"/>
    <w:rsid w:val="00C54D19"/>
    <w:rsid w:val="00C56734"/>
    <w:rsid w:val="00C77848"/>
    <w:rsid w:val="00C9146A"/>
    <w:rsid w:val="00CA4568"/>
    <w:rsid w:val="00CA7157"/>
    <w:rsid w:val="00CF5721"/>
    <w:rsid w:val="00D06C6F"/>
    <w:rsid w:val="00D15F6B"/>
    <w:rsid w:val="00D23156"/>
    <w:rsid w:val="00D23EA3"/>
    <w:rsid w:val="00D24206"/>
    <w:rsid w:val="00D274AD"/>
    <w:rsid w:val="00D4482E"/>
    <w:rsid w:val="00D5288D"/>
    <w:rsid w:val="00D5478F"/>
    <w:rsid w:val="00D60E83"/>
    <w:rsid w:val="00D71B52"/>
    <w:rsid w:val="00D7468B"/>
    <w:rsid w:val="00D97D8B"/>
    <w:rsid w:val="00DA0045"/>
    <w:rsid w:val="00DA29E6"/>
    <w:rsid w:val="00DA5CDF"/>
    <w:rsid w:val="00DA7150"/>
    <w:rsid w:val="00DC3053"/>
    <w:rsid w:val="00DC3410"/>
    <w:rsid w:val="00DC6D75"/>
    <w:rsid w:val="00DD138A"/>
    <w:rsid w:val="00DD4ED5"/>
    <w:rsid w:val="00DE0BE7"/>
    <w:rsid w:val="00DE1EDB"/>
    <w:rsid w:val="00DE356B"/>
    <w:rsid w:val="00DE46A6"/>
    <w:rsid w:val="00DF00D4"/>
    <w:rsid w:val="00DF3FA5"/>
    <w:rsid w:val="00DF601A"/>
    <w:rsid w:val="00DF6801"/>
    <w:rsid w:val="00DF7271"/>
    <w:rsid w:val="00E01246"/>
    <w:rsid w:val="00E05AA1"/>
    <w:rsid w:val="00E06B39"/>
    <w:rsid w:val="00E15297"/>
    <w:rsid w:val="00E27B91"/>
    <w:rsid w:val="00E27C98"/>
    <w:rsid w:val="00E422A1"/>
    <w:rsid w:val="00E433EF"/>
    <w:rsid w:val="00E434B8"/>
    <w:rsid w:val="00E50956"/>
    <w:rsid w:val="00E53DB1"/>
    <w:rsid w:val="00E546F6"/>
    <w:rsid w:val="00E614EF"/>
    <w:rsid w:val="00E62FDA"/>
    <w:rsid w:val="00E631AD"/>
    <w:rsid w:val="00E67542"/>
    <w:rsid w:val="00E67D29"/>
    <w:rsid w:val="00E76475"/>
    <w:rsid w:val="00E847CD"/>
    <w:rsid w:val="00E859C7"/>
    <w:rsid w:val="00E943CB"/>
    <w:rsid w:val="00E970D8"/>
    <w:rsid w:val="00EB4AE0"/>
    <w:rsid w:val="00EB4E56"/>
    <w:rsid w:val="00EB5C05"/>
    <w:rsid w:val="00EB75E2"/>
    <w:rsid w:val="00EC295B"/>
    <w:rsid w:val="00EC417A"/>
    <w:rsid w:val="00EC6DE7"/>
    <w:rsid w:val="00ED18A6"/>
    <w:rsid w:val="00ED31F9"/>
    <w:rsid w:val="00ED3290"/>
    <w:rsid w:val="00ED635E"/>
    <w:rsid w:val="00EE4B08"/>
    <w:rsid w:val="00EF14C1"/>
    <w:rsid w:val="00EF2C95"/>
    <w:rsid w:val="00EF6E0A"/>
    <w:rsid w:val="00F1101A"/>
    <w:rsid w:val="00F13AED"/>
    <w:rsid w:val="00F21916"/>
    <w:rsid w:val="00F21E1E"/>
    <w:rsid w:val="00F22949"/>
    <w:rsid w:val="00F231C3"/>
    <w:rsid w:val="00F30848"/>
    <w:rsid w:val="00F34595"/>
    <w:rsid w:val="00F56F4F"/>
    <w:rsid w:val="00F71DA5"/>
    <w:rsid w:val="00F7401F"/>
    <w:rsid w:val="00F8083A"/>
    <w:rsid w:val="00F9107A"/>
    <w:rsid w:val="00F931A2"/>
    <w:rsid w:val="00FA733B"/>
    <w:rsid w:val="00FB4ABA"/>
    <w:rsid w:val="00FC67E9"/>
    <w:rsid w:val="00FC737C"/>
    <w:rsid w:val="00FD1A90"/>
    <w:rsid w:val="00FE1788"/>
    <w:rsid w:val="00FF4C41"/>
    <w:rsid w:val="00FF7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uiPriority w:val="9"/>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uiPriority w:val="9"/>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374B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s>
      <w:spacing w:before="24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DF60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267"/>
      </w:tabs>
      <w:suppressAutoHyphens/>
      <w:spacing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paragraph" w:customStyle="1" w:styleId="Section">
    <w:name w:val="Section"/>
    <w:basedOn w:val="Normal"/>
    <w:rsid w:val="00282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pPr>
    <w:rPr>
      <w:rFonts w:ascii="Times New Roman" w:eastAsia="Times New Roman" w:hAnsi="Times New Roman"/>
      <w:spacing w:val="-3"/>
      <w:sz w:val="26"/>
      <w:szCs w:val="20"/>
      <w:lang w:val="en-GB" w:eastAsia="en-AU"/>
    </w:rPr>
  </w:style>
  <w:style w:type="paragraph" w:customStyle="1" w:styleId="brought">
    <w:name w:val="brought"/>
    <w:basedOn w:val="Normal"/>
    <w:rsid w:val="00282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720" w:line="240" w:lineRule="exact"/>
      <w:jc w:val="center"/>
    </w:pPr>
    <w:rPr>
      <w:rFonts w:ascii="Times New Roman" w:eastAsia="Times New Roman" w:hAnsi="Times New Roman"/>
      <w:i/>
      <w:sz w:val="26"/>
      <w:szCs w:val="20"/>
      <w:lang w:val="en-GB" w:eastAsia="en-AU"/>
    </w:rPr>
  </w:style>
  <w:style w:type="paragraph" w:styleId="TOC7">
    <w:name w:val="toc 7"/>
    <w:basedOn w:val="Normal"/>
    <w:next w:val="Normal"/>
    <w:autoRedefine/>
    <w:semiHidden/>
    <w:unhideWhenUsed/>
    <w:rsid w:val="00DE356B"/>
    <w:pPr>
      <w:spacing w:after="100"/>
      <w:ind w:left="1440"/>
    </w:pPr>
  </w:style>
  <w:style w:type="paragraph" w:styleId="BodyTextIndent">
    <w:name w:val="Body Text Indent"/>
    <w:basedOn w:val="Normal"/>
    <w:link w:val="BodyTextIndentChar"/>
    <w:unhideWhenUsed/>
    <w:rsid w:val="00DE356B"/>
    <w:pPr>
      <w:spacing w:after="120"/>
      <w:ind w:left="283"/>
    </w:pPr>
  </w:style>
  <w:style w:type="character" w:customStyle="1" w:styleId="BodyTextIndentChar">
    <w:name w:val="Body Text Indent Char"/>
    <w:basedOn w:val="DefaultParagraphFont"/>
    <w:link w:val="BodyTextIndent"/>
    <w:rsid w:val="00DE356B"/>
    <w:rPr>
      <w:rFonts w:ascii="Helvetica" w:hAnsi="Helvetica"/>
      <w:sz w:val="24"/>
      <w:szCs w:val="22"/>
      <w:lang w:val="en-US" w:eastAsia="en-US"/>
    </w:rPr>
  </w:style>
  <w:style w:type="paragraph" w:styleId="NormalIndent">
    <w:name w:val="Normal Indent"/>
    <w:basedOn w:val="Normal"/>
    <w:rsid w:val="00DE35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uiPriority w:val="9"/>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uiPriority w:val="9"/>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374B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s>
      <w:spacing w:before="24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DF60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267"/>
      </w:tabs>
      <w:suppressAutoHyphens/>
      <w:spacing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paragraph" w:customStyle="1" w:styleId="Section">
    <w:name w:val="Section"/>
    <w:basedOn w:val="Normal"/>
    <w:rsid w:val="00282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pPr>
    <w:rPr>
      <w:rFonts w:ascii="Times New Roman" w:eastAsia="Times New Roman" w:hAnsi="Times New Roman"/>
      <w:spacing w:val="-3"/>
      <w:sz w:val="26"/>
      <w:szCs w:val="20"/>
      <w:lang w:val="en-GB" w:eastAsia="en-AU"/>
    </w:rPr>
  </w:style>
  <w:style w:type="paragraph" w:customStyle="1" w:styleId="brought">
    <w:name w:val="brought"/>
    <w:basedOn w:val="Normal"/>
    <w:rsid w:val="00282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720" w:line="240" w:lineRule="exact"/>
      <w:jc w:val="center"/>
    </w:pPr>
    <w:rPr>
      <w:rFonts w:ascii="Times New Roman" w:eastAsia="Times New Roman" w:hAnsi="Times New Roman"/>
      <w:i/>
      <w:sz w:val="26"/>
      <w:szCs w:val="20"/>
      <w:lang w:val="en-GB" w:eastAsia="en-AU"/>
    </w:rPr>
  </w:style>
  <w:style w:type="paragraph" w:styleId="TOC7">
    <w:name w:val="toc 7"/>
    <w:basedOn w:val="Normal"/>
    <w:next w:val="Normal"/>
    <w:autoRedefine/>
    <w:semiHidden/>
    <w:unhideWhenUsed/>
    <w:rsid w:val="00DE356B"/>
    <w:pPr>
      <w:spacing w:after="100"/>
      <w:ind w:left="1440"/>
    </w:pPr>
  </w:style>
  <w:style w:type="paragraph" w:styleId="BodyTextIndent">
    <w:name w:val="Body Text Indent"/>
    <w:basedOn w:val="Normal"/>
    <w:link w:val="BodyTextIndentChar"/>
    <w:unhideWhenUsed/>
    <w:rsid w:val="00DE356B"/>
    <w:pPr>
      <w:spacing w:after="120"/>
      <w:ind w:left="283"/>
    </w:pPr>
  </w:style>
  <w:style w:type="character" w:customStyle="1" w:styleId="BodyTextIndentChar">
    <w:name w:val="Body Text Indent Char"/>
    <w:basedOn w:val="DefaultParagraphFont"/>
    <w:link w:val="BodyTextIndent"/>
    <w:rsid w:val="00DE356B"/>
    <w:rPr>
      <w:rFonts w:ascii="Helvetica" w:hAnsi="Helvetica"/>
      <w:sz w:val="24"/>
      <w:szCs w:val="22"/>
      <w:lang w:val="en-US" w:eastAsia="en-US"/>
    </w:rPr>
  </w:style>
  <w:style w:type="paragraph" w:styleId="NormalIndent">
    <w:name w:val="Normal Indent"/>
    <w:basedOn w:val="Normal"/>
    <w:rsid w:val="00DE35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892383947">
      <w:bodyDiv w:val="1"/>
      <w:marLeft w:val="0"/>
      <w:marRight w:val="0"/>
      <w:marTop w:val="0"/>
      <w:marBottom w:val="0"/>
      <w:divBdr>
        <w:top w:val="none" w:sz="0" w:space="0" w:color="auto"/>
        <w:left w:val="none" w:sz="0" w:space="0" w:color="auto"/>
        <w:bottom w:val="none" w:sz="0" w:space="0" w:color="auto"/>
        <w:right w:val="none" w:sz="0" w:space="0" w:color="auto"/>
      </w:divBdr>
    </w:div>
    <w:div w:id="1979648001">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nt.gov.au/Centre_for_Disease_Control/Immunisation/index.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munise.health.gov.au/internet/immunise/publishing.nsf/Content/59F63C79DAFAFB38CA257B020002C371/$File/strive-for-5-guidelin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immunise/publishing.nsf/Content/Handbook10-home" TargetMode="External"/><Relationship Id="rId5" Type="http://schemas.openxmlformats.org/officeDocument/2006/relationships/settings" Target="settings.xml"/><Relationship Id="rId15" Type="http://schemas.openxmlformats.org/officeDocument/2006/relationships/hyperlink" Target="http://www.psa.org.au" TargetMode="External"/><Relationship Id="rId10" Type="http://schemas.openxmlformats.org/officeDocument/2006/relationships/hyperlink" Target="http://www.qcp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ealth.nt.gov.au/Agency/Advisory_Groups_and_Taskforces/Pharmacy_Premises_Committe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571E-1FEE-47CC-A840-50414742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Northern Territory Government S2 2016</vt:lpstr>
    </vt:vector>
  </TitlesOfParts>
  <Company>NTG</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S4 2016</dc:title>
  <dc:creator>Northern Territory Government</dc:creator>
  <cp:lastModifiedBy>mahec</cp:lastModifiedBy>
  <cp:revision>9</cp:revision>
  <cp:lastPrinted>2016-01-28T05:45:00Z</cp:lastPrinted>
  <dcterms:created xsi:type="dcterms:W3CDTF">2016-01-27T07:00:00Z</dcterms:created>
  <dcterms:modified xsi:type="dcterms:W3CDTF">2016-02-01T23:14:00Z</dcterms:modified>
</cp:coreProperties>
</file>