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Style w:val="TitleChar"/>
        </w:rPr>
        <w:alias w:val="Title"/>
        <w:tag w:val="Title"/>
        <w:id w:val="-509755993"/>
        <w:placeholder>
          <w:docPart w:val="AA8BC7FD3DBD49079BE531A63D591484"/>
        </w:placeholder>
        <w:dataBinding w:prefixMappings="xmlns:ns0='http://purl.org/dc/elements/1.1/' xmlns:ns1='http://schemas.openxmlformats.org/package/2006/metadata/core-properties' " w:xpath="/ns1:coreProperties[1]/ns0:title[1]" w:storeItemID="{6C3C8BC8-F283-45AE-878A-BAB7291924A1}"/>
        <w15:color w:val="1F1F5F"/>
        <w:text w:multiLine="1"/>
      </w:sdtPr>
      <w:sdtEndPr>
        <w:rPr>
          <w:rStyle w:val="TitleChar"/>
        </w:rPr>
      </w:sdtEndPr>
      <w:sdtContent>
        <w:p w:rsidR="00D61FD1" w:rsidRDefault="006B3AEC" w:rsidP="003E59DB">
          <w:pPr>
            <w:pStyle w:val="Title"/>
            <w:spacing w:after="480"/>
          </w:pPr>
          <w:r>
            <w:rPr>
              <w:rStyle w:val="TitleChar"/>
            </w:rPr>
            <w:t>Code of practice for crowd controllers</w:t>
          </w:r>
        </w:p>
      </w:sdtContent>
    </w:sdt>
    <w:bookmarkEnd w:id="0" w:displacedByCustomXml="prev"/>
    <w:bookmarkStart w:id="1" w:name="_Toc15286861" w:displacedByCustomXml="prev"/>
    <w:bookmarkStart w:id="2" w:name="_Toc15286907" w:displacedByCustomXml="prev"/>
    <w:bookmarkEnd w:id="2"/>
    <w:bookmarkEnd w:id="1"/>
    <w:p w:rsidR="00D61FD1" w:rsidRDefault="00160C9D" w:rsidP="008F30DE">
      <w:pPr>
        <w:pStyle w:val="Heading1"/>
        <w:shd w:val="clear" w:color="auto" w:fill="FFFFFF" w:themeFill="background1"/>
        <w:rPr>
          <w:lang w:eastAsia="en-AU"/>
        </w:rPr>
      </w:pPr>
      <w:r>
        <w:rPr>
          <w:lang w:eastAsia="en-AU"/>
        </w:rPr>
        <w:t>Objective</w:t>
      </w:r>
    </w:p>
    <w:p w:rsidR="00BF2D5D" w:rsidRPr="00BF2D5D" w:rsidRDefault="00BF2D5D" w:rsidP="00CD03C8">
      <w:pPr>
        <w:pStyle w:val="ListParagraph"/>
        <w:numPr>
          <w:ilvl w:val="0"/>
          <w:numId w:val="9"/>
        </w:numPr>
        <w:shd w:val="clear" w:color="auto" w:fill="FFFFFF" w:themeFill="background1"/>
        <w:jc w:val="both"/>
        <w:rPr>
          <w:rFonts w:eastAsia="Calibri"/>
          <w:lang w:eastAsia="en-AU"/>
        </w:rPr>
      </w:pPr>
      <w:r w:rsidRPr="00BF2D5D">
        <w:rPr>
          <w:rFonts w:eastAsia="Calibri"/>
          <w:lang w:eastAsia="en-AU"/>
        </w:rPr>
        <w:t>To promote and foster amongst persons involved in the Crowd Controller sector of the security industry the highest standards of efficiency, service, equipment and ethical behaviour.</w:t>
      </w:r>
    </w:p>
    <w:p w:rsidR="00BF2D5D" w:rsidRPr="00BF2D5D" w:rsidRDefault="00BF2D5D" w:rsidP="00CD03C8">
      <w:pPr>
        <w:pStyle w:val="ListParagraph"/>
        <w:numPr>
          <w:ilvl w:val="0"/>
          <w:numId w:val="9"/>
        </w:numPr>
        <w:shd w:val="clear" w:color="auto" w:fill="FFFFFF" w:themeFill="background1"/>
        <w:jc w:val="both"/>
        <w:rPr>
          <w:rFonts w:eastAsia="Calibri"/>
          <w:lang w:eastAsia="en-AU"/>
        </w:rPr>
      </w:pPr>
      <w:r w:rsidRPr="00BF2D5D">
        <w:rPr>
          <w:rFonts w:eastAsia="Calibri"/>
          <w:lang w:eastAsia="en-AU"/>
        </w:rPr>
        <w:t>To give an undertaking to the general public that the regulation of Crowd Controllers is in keeping with the principles of public health and safety.</w:t>
      </w:r>
    </w:p>
    <w:p w:rsidR="00BF2D5D" w:rsidRPr="00BF2D5D" w:rsidRDefault="00BF2D5D" w:rsidP="00CD03C8">
      <w:pPr>
        <w:pStyle w:val="ListParagraph"/>
        <w:numPr>
          <w:ilvl w:val="0"/>
          <w:numId w:val="9"/>
        </w:numPr>
        <w:shd w:val="clear" w:color="auto" w:fill="FFFFFF" w:themeFill="background1"/>
        <w:jc w:val="both"/>
        <w:rPr>
          <w:rFonts w:eastAsia="Calibri"/>
          <w:lang w:eastAsia="en-AU"/>
        </w:rPr>
      </w:pPr>
      <w:r w:rsidRPr="00BF2D5D">
        <w:rPr>
          <w:rFonts w:eastAsia="Calibri"/>
          <w:lang w:eastAsia="en-AU"/>
        </w:rPr>
        <w:t>To set general standards for service and quality of employees operating in the Crowd Controller sector of the industry. The standard described in the code is the minimum standard.</w:t>
      </w:r>
    </w:p>
    <w:p w:rsidR="00160C9D" w:rsidRDefault="00160C9D" w:rsidP="00160C9D">
      <w:pPr>
        <w:pStyle w:val="Heading1"/>
        <w:shd w:val="clear" w:color="auto" w:fill="FFFFFF" w:themeFill="background1"/>
        <w:rPr>
          <w:lang w:eastAsia="en-AU"/>
        </w:rPr>
      </w:pPr>
      <w:r>
        <w:rPr>
          <w:lang w:eastAsia="en-AU"/>
        </w:rPr>
        <w:t>Part A</w:t>
      </w:r>
    </w:p>
    <w:p w:rsidR="00160C9D" w:rsidRDefault="00160C9D" w:rsidP="00160C9D">
      <w:pPr>
        <w:shd w:val="clear" w:color="auto" w:fill="FFFFFF" w:themeFill="background1"/>
        <w:rPr>
          <w:lang w:eastAsia="en-AU"/>
        </w:rPr>
      </w:pPr>
      <w:r w:rsidRPr="00160C9D">
        <w:rPr>
          <w:lang w:eastAsia="en-AU"/>
        </w:rPr>
        <w:t xml:space="preserve">Overview of the legislative framework and various obligations of a </w:t>
      </w:r>
      <w:r w:rsidR="00BF2D5D">
        <w:rPr>
          <w:lang w:eastAsia="en-AU"/>
        </w:rPr>
        <w:t>crowd controller.</w:t>
      </w:r>
    </w:p>
    <w:p w:rsidR="00160C9D" w:rsidRDefault="00160C9D" w:rsidP="00CD03C8">
      <w:pPr>
        <w:pStyle w:val="Heading2"/>
        <w:numPr>
          <w:ilvl w:val="0"/>
          <w:numId w:val="13"/>
        </w:numPr>
        <w:rPr>
          <w:lang w:eastAsia="en-AU"/>
        </w:rPr>
      </w:pPr>
      <w:r>
        <w:rPr>
          <w:lang w:eastAsia="en-AU"/>
        </w:rPr>
        <w:t>Definitions</w:t>
      </w:r>
    </w:p>
    <w:p w:rsidR="00BF2D5D" w:rsidRPr="00BF2D5D" w:rsidRDefault="00BF2D5D" w:rsidP="00147021">
      <w:pPr>
        <w:shd w:val="clear" w:color="auto" w:fill="FFFFFF" w:themeFill="background1"/>
        <w:ind w:left="284"/>
        <w:jc w:val="both"/>
        <w:rPr>
          <w:lang w:eastAsia="en-AU"/>
        </w:rPr>
      </w:pPr>
      <w:r w:rsidRPr="00BF2D5D">
        <w:rPr>
          <w:lang w:eastAsia="en-AU"/>
        </w:rPr>
        <w:t xml:space="preserve">For the purposes of the </w:t>
      </w:r>
      <w:r w:rsidRPr="00BF2D5D">
        <w:rPr>
          <w:i/>
          <w:lang w:eastAsia="en-AU"/>
        </w:rPr>
        <w:t>Private Security Act 1995</w:t>
      </w:r>
      <w:r w:rsidRPr="00BF2D5D">
        <w:rPr>
          <w:lang w:eastAsia="en-AU"/>
        </w:rPr>
        <w:t>, a c</w:t>
      </w:r>
      <w:r>
        <w:rPr>
          <w:lang w:eastAsia="en-AU"/>
        </w:rPr>
        <w:t xml:space="preserve">rowd controller is a person who, </w:t>
      </w:r>
      <w:r w:rsidRPr="00BF2D5D">
        <w:rPr>
          <w:lang w:eastAsia="en-AU"/>
        </w:rPr>
        <w:t xml:space="preserve">in respect of licensed premises within the meaning of the </w:t>
      </w:r>
      <w:r w:rsidRPr="00BF2D5D">
        <w:rPr>
          <w:i/>
          <w:lang w:eastAsia="en-AU"/>
        </w:rPr>
        <w:t>Liquor Act 2019</w:t>
      </w:r>
      <w:r>
        <w:rPr>
          <w:i/>
          <w:lang w:eastAsia="en-AU"/>
        </w:rPr>
        <w:t xml:space="preserve"> </w:t>
      </w:r>
      <w:r w:rsidRPr="00BF2D5D">
        <w:rPr>
          <w:lang w:eastAsia="en-AU"/>
        </w:rPr>
        <w:t>at a place of entertainment, a place to which the public has access</w:t>
      </w:r>
      <w:r>
        <w:rPr>
          <w:lang w:eastAsia="en-AU"/>
        </w:rPr>
        <w:t xml:space="preserve"> </w:t>
      </w:r>
      <w:r w:rsidRPr="00BF2D5D">
        <w:rPr>
          <w:lang w:eastAsia="en-AU"/>
        </w:rPr>
        <w:t>or a public or private event or function as part of his/her duties, performs the function of:</w:t>
      </w:r>
    </w:p>
    <w:p w:rsidR="00BF2D5D" w:rsidRPr="00BF2D5D" w:rsidRDefault="00BF2D5D" w:rsidP="00CD03C8">
      <w:pPr>
        <w:pStyle w:val="ListParagraph"/>
        <w:numPr>
          <w:ilvl w:val="0"/>
          <w:numId w:val="9"/>
        </w:numPr>
        <w:shd w:val="clear" w:color="auto" w:fill="FFFFFF" w:themeFill="background1"/>
        <w:ind w:left="1134"/>
        <w:jc w:val="both"/>
        <w:rPr>
          <w:rFonts w:eastAsia="Calibri"/>
          <w:lang w:eastAsia="en-AU"/>
        </w:rPr>
      </w:pPr>
      <w:r w:rsidRPr="00BF2D5D">
        <w:rPr>
          <w:rFonts w:eastAsia="Calibri"/>
          <w:lang w:eastAsia="en-AU"/>
        </w:rPr>
        <w:t>controlling or monitoring the behaviour of the persons</w:t>
      </w:r>
      <w:r>
        <w:rPr>
          <w:rFonts w:eastAsia="Calibri"/>
          <w:lang w:eastAsia="en-AU"/>
        </w:rPr>
        <w:t>;</w:t>
      </w:r>
    </w:p>
    <w:p w:rsidR="00BF2D5D" w:rsidRPr="00BF2D5D" w:rsidRDefault="00BF2D5D" w:rsidP="00CD03C8">
      <w:pPr>
        <w:pStyle w:val="ListParagraph"/>
        <w:numPr>
          <w:ilvl w:val="0"/>
          <w:numId w:val="9"/>
        </w:numPr>
        <w:shd w:val="clear" w:color="auto" w:fill="FFFFFF" w:themeFill="background1"/>
        <w:ind w:left="1134"/>
        <w:jc w:val="both"/>
        <w:rPr>
          <w:rFonts w:eastAsia="Calibri"/>
          <w:lang w:eastAsia="en-AU"/>
        </w:rPr>
      </w:pPr>
      <w:r w:rsidRPr="00BF2D5D">
        <w:rPr>
          <w:rFonts w:eastAsia="Calibri"/>
          <w:lang w:eastAsia="en-AU"/>
        </w:rPr>
        <w:t>screening persons seeking entry</w:t>
      </w:r>
      <w:r>
        <w:rPr>
          <w:rFonts w:eastAsia="Calibri"/>
          <w:lang w:eastAsia="en-AU"/>
        </w:rPr>
        <w:t>;</w:t>
      </w:r>
      <w:r w:rsidRPr="00BF2D5D">
        <w:rPr>
          <w:rFonts w:eastAsia="Calibri"/>
          <w:lang w:eastAsia="en-AU"/>
        </w:rPr>
        <w:t xml:space="preserve"> or</w:t>
      </w:r>
    </w:p>
    <w:p w:rsidR="00BF2D5D" w:rsidRDefault="00BF2D5D" w:rsidP="00CD03C8">
      <w:pPr>
        <w:pStyle w:val="ListParagraph"/>
        <w:numPr>
          <w:ilvl w:val="0"/>
          <w:numId w:val="9"/>
        </w:numPr>
        <w:shd w:val="clear" w:color="auto" w:fill="FFFFFF" w:themeFill="background1"/>
        <w:ind w:left="1134"/>
        <w:jc w:val="both"/>
        <w:rPr>
          <w:rFonts w:eastAsia="Calibri"/>
          <w:lang w:eastAsia="en-AU"/>
        </w:rPr>
      </w:pPr>
      <w:r w:rsidRPr="00BF2D5D">
        <w:rPr>
          <w:rFonts w:eastAsia="Calibri"/>
          <w:lang w:eastAsia="en-AU"/>
        </w:rPr>
        <w:t>removing persons b</w:t>
      </w:r>
      <w:r>
        <w:rPr>
          <w:rFonts w:eastAsia="Calibri"/>
          <w:lang w:eastAsia="en-AU"/>
        </w:rPr>
        <w:t>ecause of their behaviour,</w:t>
      </w:r>
      <w:r w:rsidRPr="00BF2D5D">
        <w:rPr>
          <w:rFonts w:eastAsia="Calibri"/>
          <w:lang w:eastAsia="en-AU"/>
        </w:rPr>
        <w:t xml:space="preserve"> </w:t>
      </w:r>
    </w:p>
    <w:p w:rsidR="00BF2D5D" w:rsidRPr="00BF2D5D" w:rsidRDefault="00BF2D5D" w:rsidP="00CD03C8">
      <w:pPr>
        <w:pStyle w:val="ListParagraph"/>
        <w:numPr>
          <w:ilvl w:val="0"/>
          <w:numId w:val="9"/>
        </w:numPr>
        <w:shd w:val="clear" w:color="auto" w:fill="FFFFFF" w:themeFill="background1"/>
        <w:ind w:left="1134"/>
        <w:jc w:val="both"/>
        <w:rPr>
          <w:rFonts w:eastAsia="Calibri"/>
          <w:lang w:eastAsia="en-AU"/>
        </w:rPr>
      </w:pPr>
      <w:r w:rsidRPr="00BF2D5D">
        <w:rPr>
          <w:rFonts w:eastAsia="Calibri"/>
          <w:lang w:eastAsia="en-AU"/>
        </w:rPr>
        <w:t>any other function prescribed under the Act.</w:t>
      </w:r>
    </w:p>
    <w:p w:rsidR="00160C9D" w:rsidRPr="00BF2D5D" w:rsidRDefault="00160C9D" w:rsidP="00147021">
      <w:pPr>
        <w:shd w:val="clear" w:color="auto" w:fill="FFFFFF" w:themeFill="background1"/>
        <w:ind w:left="284"/>
        <w:jc w:val="both"/>
        <w:rPr>
          <w:lang w:eastAsia="en-AU"/>
        </w:rPr>
      </w:pPr>
      <w:r w:rsidRPr="00BF2D5D">
        <w:rPr>
          <w:b/>
          <w:lang w:eastAsia="en-AU"/>
        </w:rPr>
        <w:t>Director Private Security Regulation</w:t>
      </w:r>
      <w:r w:rsidRPr="00BF2D5D">
        <w:rPr>
          <w:lang w:eastAsia="en-AU"/>
        </w:rPr>
        <w:t xml:space="preserve"> is the authority appointed under the </w:t>
      </w:r>
      <w:r w:rsidRPr="00BF2D5D">
        <w:rPr>
          <w:i/>
          <w:lang w:eastAsia="en-AU"/>
        </w:rPr>
        <w:t xml:space="preserve">Private Security Act 1995 </w:t>
      </w:r>
      <w:r w:rsidRPr="00BF2D5D">
        <w:rPr>
          <w:lang w:eastAsia="en-AU"/>
        </w:rPr>
        <w:t>which is responsible for the administration of the Act and this code.</w:t>
      </w:r>
    </w:p>
    <w:p w:rsidR="00160C9D" w:rsidRPr="00BF2D5D" w:rsidRDefault="00160C9D" w:rsidP="00147021">
      <w:pPr>
        <w:shd w:val="clear" w:color="auto" w:fill="FFFFFF" w:themeFill="background1"/>
        <w:ind w:left="284"/>
        <w:jc w:val="both"/>
        <w:rPr>
          <w:lang w:eastAsia="en-AU"/>
        </w:rPr>
      </w:pPr>
      <w:r w:rsidRPr="00BF2D5D">
        <w:rPr>
          <w:b/>
          <w:lang w:eastAsia="en-AU"/>
        </w:rPr>
        <w:t>Security firm</w:t>
      </w:r>
      <w:r w:rsidRPr="00BF2D5D">
        <w:rPr>
          <w:lang w:eastAsia="en-AU"/>
        </w:rPr>
        <w:t xml:space="preserve"> has the same meaning given to it in the </w:t>
      </w:r>
      <w:r w:rsidRPr="00BF2D5D">
        <w:rPr>
          <w:i/>
          <w:lang w:eastAsia="en-AU"/>
        </w:rPr>
        <w:t xml:space="preserve">Private Security Act 1995 </w:t>
      </w:r>
      <w:r w:rsidRPr="00BF2D5D">
        <w:rPr>
          <w:lang w:eastAsia="en-AU"/>
        </w:rPr>
        <w:t>which is a person who, or partnership that, engages in the business of supplying, for reward, the services of:</w:t>
      </w:r>
    </w:p>
    <w:p w:rsidR="00160C9D" w:rsidRPr="00160C9D" w:rsidRDefault="00160C9D" w:rsidP="00CD03C8">
      <w:pPr>
        <w:pStyle w:val="ListParagraph"/>
        <w:numPr>
          <w:ilvl w:val="0"/>
          <w:numId w:val="10"/>
        </w:numPr>
        <w:shd w:val="clear" w:color="auto" w:fill="FFFFFF" w:themeFill="background1"/>
        <w:ind w:left="1134"/>
        <w:jc w:val="both"/>
        <w:rPr>
          <w:rFonts w:eastAsia="Calibri"/>
          <w:lang w:eastAsia="en-AU"/>
        </w:rPr>
      </w:pPr>
      <w:r w:rsidRPr="00160C9D">
        <w:rPr>
          <w:rFonts w:eastAsia="Calibri"/>
          <w:lang w:eastAsia="en-AU"/>
        </w:rPr>
        <w:t>crowd controllers or security officers, or</w:t>
      </w:r>
    </w:p>
    <w:p w:rsidR="00DD546B" w:rsidRDefault="00160C9D" w:rsidP="00CD03C8">
      <w:pPr>
        <w:pStyle w:val="ListParagraph"/>
        <w:numPr>
          <w:ilvl w:val="0"/>
          <w:numId w:val="10"/>
        </w:numPr>
        <w:shd w:val="clear" w:color="auto" w:fill="FFFFFF" w:themeFill="background1"/>
        <w:ind w:left="1134"/>
        <w:jc w:val="both"/>
        <w:rPr>
          <w:rFonts w:eastAsia="Calibri"/>
          <w:lang w:eastAsia="en-AU"/>
        </w:rPr>
      </w:pPr>
      <w:r w:rsidRPr="00160C9D">
        <w:rPr>
          <w:rFonts w:eastAsia="Calibri"/>
          <w:lang w:eastAsia="en-AU"/>
        </w:rPr>
        <w:t>where this section is specified in a notice under section 8 of the Act to apply to members of a class of persons declared in that notice to be a category of security providers - members of that class of persons, to other persons.</w:t>
      </w:r>
    </w:p>
    <w:p w:rsidR="00DD546B" w:rsidRDefault="00DD546B" w:rsidP="00CD03C8">
      <w:pPr>
        <w:pStyle w:val="Heading2"/>
        <w:numPr>
          <w:ilvl w:val="0"/>
          <w:numId w:val="13"/>
        </w:numPr>
        <w:rPr>
          <w:lang w:eastAsia="en-AU"/>
        </w:rPr>
      </w:pPr>
      <w:r>
        <w:rPr>
          <w:lang w:eastAsia="en-AU"/>
        </w:rPr>
        <w:t>Legislation</w:t>
      </w:r>
    </w:p>
    <w:p w:rsidR="00DD546B" w:rsidRPr="00DD546B" w:rsidRDefault="00BF2D5D" w:rsidP="00CD03C8">
      <w:pPr>
        <w:pStyle w:val="Heading3"/>
        <w:numPr>
          <w:ilvl w:val="1"/>
          <w:numId w:val="14"/>
        </w:numPr>
        <w:rPr>
          <w:rFonts w:eastAsia="Times New Roman"/>
          <w:lang w:eastAsia="en-AU"/>
        </w:rPr>
      </w:pPr>
      <w:r>
        <w:rPr>
          <w:lang w:eastAsia="en-AU"/>
        </w:rPr>
        <w:t>Licensing</w:t>
      </w:r>
    </w:p>
    <w:p w:rsidR="00BF2D5D" w:rsidRPr="00DD546B" w:rsidRDefault="00BF2D5D" w:rsidP="00DD546B">
      <w:pPr>
        <w:ind w:left="426"/>
        <w:rPr>
          <w:rFonts w:eastAsia="Times New Roman"/>
          <w:lang w:eastAsia="en-AU"/>
        </w:rPr>
      </w:pPr>
      <w:r w:rsidRPr="00DD546B">
        <w:rPr>
          <w:lang w:eastAsia="en-AU"/>
        </w:rPr>
        <w:t>All persons unless exempted from the application of the Act must be licensed to carry out the functions of a crowd controller. The maximum penalty is 100 penalty units.</w:t>
      </w:r>
    </w:p>
    <w:p w:rsidR="00BF2D5D" w:rsidRPr="00DD546B" w:rsidRDefault="00BF2D5D" w:rsidP="00DD546B">
      <w:pPr>
        <w:shd w:val="clear" w:color="auto" w:fill="FFFFFF" w:themeFill="background1"/>
        <w:ind w:left="426"/>
        <w:jc w:val="both"/>
        <w:rPr>
          <w:lang w:eastAsia="en-AU"/>
        </w:rPr>
      </w:pPr>
      <w:r w:rsidRPr="00DD546B">
        <w:rPr>
          <w:lang w:eastAsia="en-AU"/>
        </w:rPr>
        <w:t xml:space="preserve">The Penalty Units Act prescribes the monetary value of a penalty unit, its indexation and change of value by regulation. See the penalty units </w:t>
      </w:r>
      <w:hyperlink r:id="rId9" w:anchor=":~:text=Some%20amounts%20of%20money%20in,to%20work%20out%20each%20fine." w:history="1">
        <w:r w:rsidRPr="00DD546B">
          <w:rPr>
            <w:rStyle w:val="Hyperlink"/>
            <w:lang w:eastAsia="en-AU"/>
          </w:rPr>
          <w:t>webpage</w:t>
        </w:r>
      </w:hyperlink>
      <w:r w:rsidRPr="00DD546B">
        <w:rPr>
          <w:lang w:eastAsia="en-AU"/>
        </w:rPr>
        <w:t xml:space="preserve"> for the current price.</w:t>
      </w:r>
    </w:p>
    <w:p w:rsidR="00BF2D5D" w:rsidRPr="00DD546B" w:rsidRDefault="00BF2D5D" w:rsidP="00DD546B">
      <w:pPr>
        <w:shd w:val="clear" w:color="auto" w:fill="FFFFFF" w:themeFill="background1"/>
        <w:ind w:left="426"/>
        <w:rPr>
          <w:lang w:eastAsia="en-AU"/>
        </w:rPr>
      </w:pPr>
      <w:r w:rsidRPr="00DD546B">
        <w:rPr>
          <w:lang w:eastAsia="en-AU"/>
        </w:rPr>
        <w:lastRenderedPageBreak/>
        <w:t>Under the Act, the grounds for suspension or cancellation of a licence or refusal to renew a licence include where:</w:t>
      </w:r>
    </w:p>
    <w:p w:rsidR="00BF2D5D" w:rsidRPr="00BF2D5D" w:rsidRDefault="00BF2D5D" w:rsidP="00CD03C8">
      <w:pPr>
        <w:pStyle w:val="ListParagraph"/>
        <w:numPr>
          <w:ilvl w:val="0"/>
          <w:numId w:val="9"/>
        </w:numPr>
        <w:shd w:val="clear" w:color="auto" w:fill="FFFFFF" w:themeFill="background1"/>
        <w:ind w:left="1134"/>
        <w:jc w:val="both"/>
        <w:rPr>
          <w:rFonts w:eastAsia="Calibri"/>
          <w:lang w:eastAsia="en-AU"/>
        </w:rPr>
      </w:pPr>
      <w:r w:rsidRPr="00BF2D5D">
        <w:rPr>
          <w:rFonts w:eastAsia="Calibri"/>
          <w:lang w:eastAsia="en-AU"/>
        </w:rPr>
        <w:t>the licensee contravenes a condition of the licence</w:t>
      </w:r>
    </w:p>
    <w:p w:rsidR="00BF2D5D" w:rsidRPr="00BF2D5D" w:rsidRDefault="00BF2D5D" w:rsidP="00CD03C8">
      <w:pPr>
        <w:pStyle w:val="ListParagraph"/>
        <w:numPr>
          <w:ilvl w:val="0"/>
          <w:numId w:val="9"/>
        </w:numPr>
        <w:shd w:val="clear" w:color="auto" w:fill="FFFFFF" w:themeFill="background1"/>
        <w:ind w:left="1134"/>
        <w:jc w:val="both"/>
        <w:rPr>
          <w:rFonts w:eastAsia="Calibri"/>
          <w:lang w:eastAsia="en-AU"/>
        </w:rPr>
      </w:pPr>
      <w:r w:rsidRPr="00BF2D5D">
        <w:rPr>
          <w:rFonts w:eastAsia="Calibri"/>
          <w:lang w:eastAsia="en-AU"/>
        </w:rPr>
        <w:t xml:space="preserve">the licensee has contravened the </w:t>
      </w:r>
      <w:r w:rsidRPr="00DD546B">
        <w:rPr>
          <w:rFonts w:eastAsia="Calibri"/>
          <w:i/>
          <w:lang w:eastAsia="en-AU"/>
        </w:rPr>
        <w:t>Private Security Act 1995</w:t>
      </w:r>
      <w:r w:rsidRPr="00BF2D5D">
        <w:rPr>
          <w:rFonts w:eastAsia="Calibri"/>
          <w:lang w:eastAsia="en-AU"/>
        </w:rPr>
        <w:t>, or</w:t>
      </w:r>
    </w:p>
    <w:p w:rsidR="00BF2D5D" w:rsidRPr="00BF2D5D" w:rsidRDefault="00BF2D5D" w:rsidP="00CD03C8">
      <w:pPr>
        <w:pStyle w:val="ListParagraph"/>
        <w:numPr>
          <w:ilvl w:val="0"/>
          <w:numId w:val="9"/>
        </w:numPr>
        <w:shd w:val="clear" w:color="auto" w:fill="FFFFFF" w:themeFill="background1"/>
        <w:ind w:left="1134"/>
        <w:jc w:val="both"/>
        <w:rPr>
          <w:rFonts w:eastAsia="Calibri"/>
          <w:lang w:eastAsia="en-AU"/>
        </w:rPr>
      </w:pPr>
      <w:r w:rsidRPr="00BF2D5D">
        <w:rPr>
          <w:rFonts w:eastAsia="Calibri"/>
          <w:lang w:eastAsia="en-AU"/>
        </w:rPr>
        <w:t>the licensee is no longer an appropriate person to be granted a licence.</w:t>
      </w:r>
    </w:p>
    <w:p w:rsidR="00BF2D5D" w:rsidRPr="00BF2D5D" w:rsidRDefault="00BF2D5D" w:rsidP="00DD546B">
      <w:pPr>
        <w:shd w:val="clear" w:color="auto" w:fill="FFFFFF" w:themeFill="background1"/>
        <w:ind w:left="426"/>
        <w:jc w:val="both"/>
        <w:rPr>
          <w:lang w:eastAsia="en-AU"/>
        </w:rPr>
      </w:pPr>
      <w:r w:rsidRPr="00BF2D5D">
        <w:rPr>
          <w:lang w:eastAsia="en-AU"/>
        </w:rPr>
        <w:t>Licensed crowd controllers should note:</w:t>
      </w:r>
    </w:p>
    <w:p w:rsidR="00DD546B" w:rsidRDefault="00BF2D5D" w:rsidP="00CD03C8">
      <w:pPr>
        <w:pStyle w:val="ListParagraph"/>
        <w:numPr>
          <w:ilvl w:val="0"/>
          <w:numId w:val="12"/>
        </w:numPr>
        <w:shd w:val="clear" w:color="auto" w:fill="FFFFFF" w:themeFill="background1"/>
        <w:ind w:left="1134"/>
        <w:jc w:val="both"/>
        <w:rPr>
          <w:rFonts w:eastAsia="Calibri"/>
          <w:lang w:eastAsia="en-AU"/>
        </w:rPr>
      </w:pPr>
      <w:r w:rsidRPr="00BF2D5D">
        <w:rPr>
          <w:rFonts w:eastAsia="Calibri"/>
          <w:lang w:eastAsia="en-AU"/>
        </w:rPr>
        <w:t>it is a condition</w:t>
      </w:r>
      <w:r w:rsidR="00DD546B">
        <w:rPr>
          <w:rFonts w:eastAsia="Calibri"/>
          <w:lang w:eastAsia="en-AU"/>
        </w:rPr>
        <w:t xml:space="preserve"> of all licences issued by the </w:t>
      </w:r>
      <w:r w:rsidR="00DD546B" w:rsidRPr="00BF2D5D">
        <w:rPr>
          <w:rFonts w:eastAsia="Calibri"/>
          <w:lang w:eastAsia="en-AU"/>
        </w:rPr>
        <w:t>Director</w:t>
      </w:r>
      <w:r w:rsidR="00DD546B">
        <w:rPr>
          <w:rFonts w:eastAsia="Calibri"/>
          <w:lang w:eastAsia="en-AU"/>
        </w:rPr>
        <w:t xml:space="preserve"> Private Security Regulations</w:t>
      </w:r>
      <w:r w:rsidR="00DD546B" w:rsidRPr="00BF2D5D">
        <w:rPr>
          <w:rFonts w:eastAsia="Calibri"/>
          <w:lang w:eastAsia="en-AU"/>
        </w:rPr>
        <w:t xml:space="preserve"> </w:t>
      </w:r>
      <w:r w:rsidRPr="00BF2D5D">
        <w:rPr>
          <w:rFonts w:eastAsia="Calibri"/>
          <w:lang w:eastAsia="en-AU"/>
        </w:rPr>
        <w:t xml:space="preserve">to crowd controllers that they must comply with any Code of Practice approved by the Minister </w:t>
      </w:r>
    </w:p>
    <w:p w:rsidR="00BF2D5D" w:rsidRPr="00BF2D5D" w:rsidRDefault="00BF2D5D" w:rsidP="00CD03C8">
      <w:pPr>
        <w:pStyle w:val="ListParagraph"/>
        <w:numPr>
          <w:ilvl w:val="0"/>
          <w:numId w:val="12"/>
        </w:numPr>
        <w:shd w:val="clear" w:color="auto" w:fill="FFFFFF" w:themeFill="background1"/>
        <w:ind w:left="1134"/>
        <w:jc w:val="both"/>
        <w:rPr>
          <w:rFonts w:eastAsia="Calibri"/>
          <w:lang w:eastAsia="en-AU"/>
        </w:rPr>
      </w:pPr>
      <w:r w:rsidRPr="00BF2D5D">
        <w:rPr>
          <w:rFonts w:eastAsia="Calibri"/>
          <w:lang w:eastAsia="en-AU"/>
        </w:rPr>
        <w:t>should a licensed crowd controller be found guilty of an offence listed as a ‘Disqualifying Offence’ in the Regulations the Director</w:t>
      </w:r>
      <w:r w:rsidR="00DD546B">
        <w:rPr>
          <w:rFonts w:eastAsia="Calibri"/>
          <w:lang w:eastAsia="en-AU"/>
        </w:rPr>
        <w:t xml:space="preserve"> Private Security Regulations</w:t>
      </w:r>
      <w:r w:rsidRPr="00BF2D5D">
        <w:rPr>
          <w:rFonts w:eastAsia="Calibri"/>
          <w:lang w:eastAsia="en-AU"/>
        </w:rPr>
        <w:t xml:space="preserve"> will act to cancel the crowd controller’s licence</w:t>
      </w:r>
    </w:p>
    <w:p w:rsidR="00DD546B" w:rsidRDefault="00BF2D5D" w:rsidP="00CD03C8">
      <w:pPr>
        <w:pStyle w:val="ListParagraph"/>
        <w:numPr>
          <w:ilvl w:val="0"/>
          <w:numId w:val="12"/>
        </w:numPr>
        <w:shd w:val="clear" w:color="auto" w:fill="FFFFFF" w:themeFill="background1"/>
        <w:ind w:left="1134"/>
        <w:jc w:val="both"/>
        <w:rPr>
          <w:rFonts w:eastAsia="Calibri"/>
          <w:lang w:eastAsia="en-AU"/>
        </w:rPr>
      </w:pPr>
      <w:r w:rsidRPr="00DD546B">
        <w:rPr>
          <w:rFonts w:eastAsia="Calibri"/>
          <w:lang w:eastAsia="en-AU"/>
        </w:rPr>
        <w:t>should a licensed crowd controller be found guilty of offending against a provision of:</w:t>
      </w:r>
    </w:p>
    <w:p w:rsidR="00DD546B" w:rsidRDefault="00BF2D5D" w:rsidP="00CD03C8">
      <w:pPr>
        <w:pStyle w:val="ListParagraph"/>
        <w:numPr>
          <w:ilvl w:val="1"/>
          <w:numId w:val="12"/>
        </w:numPr>
        <w:shd w:val="clear" w:color="auto" w:fill="FFFFFF" w:themeFill="background1"/>
        <w:ind w:left="1843"/>
        <w:jc w:val="both"/>
        <w:rPr>
          <w:rFonts w:eastAsia="Calibri"/>
          <w:lang w:eastAsia="en-AU"/>
        </w:rPr>
      </w:pPr>
      <w:r w:rsidRPr="00DD546B">
        <w:rPr>
          <w:rFonts w:eastAsia="Calibri"/>
          <w:lang w:eastAsia="en-AU"/>
        </w:rPr>
        <w:t xml:space="preserve">the </w:t>
      </w:r>
      <w:r w:rsidRPr="00DD546B">
        <w:rPr>
          <w:rFonts w:eastAsia="Calibri"/>
          <w:i/>
          <w:lang w:eastAsia="en-AU"/>
        </w:rPr>
        <w:t>Misuse of Drugs Act</w:t>
      </w:r>
      <w:r w:rsidR="00DD546B" w:rsidRPr="00DD546B">
        <w:rPr>
          <w:rFonts w:eastAsia="Calibri"/>
          <w:i/>
          <w:lang w:eastAsia="en-AU"/>
        </w:rPr>
        <w:t xml:space="preserve"> 1990</w:t>
      </w:r>
      <w:r w:rsidRPr="00DD546B">
        <w:rPr>
          <w:rFonts w:eastAsia="Calibri"/>
          <w:lang w:eastAsia="en-AU"/>
        </w:rPr>
        <w:t xml:space="preserve"> in respect of the drugs listed in Schedules 1 and 2 of that Act</w:t>
      </w:r>
      <w:r w:rsidR="00DD546B" w:rsidRPr="00DD546B">
        <w:rPr>
          <w:rFonts w:eastAsia="Calibri"/>
          <w:lang w:eastAsia="en-AU"/>
        </w:rPr>
        <w:t xml:space="preserve">; </w:t>
      </w:r>
    </w:p>
    <w:p w:rsidR="00DD546B" w:rsidRDefault="00BF2D5D" w:rsidP="00CD03C8">
      <w:pPr>
        <w:pStyle w:val="ListParagraph"/>
        <w:numPr>
          <w:ilvl w:val="1"/>
          <w:numId w:val="12"/>
        </w:numPr>
        <w:shd w:val="clear" w:color="auto" w:fill="FFFFFF" w:themeFill="background1"/>
        <w:ind w:left="1843"/>
        <w:jc w:val="both"/>
        <w:rPr>
          <w:rFonts w:eastAsia="Calibri"/>
          <w:lang w:eastAsia="en-AU"/>
        </w:rPr>
      </w:pPr>
      <w:r w:rsidRPr="00DD546B">
        <w:rPr>
          <w:rFonts w:eastAsia="Calibri"/>
          <w:lang w:eastAsia="en-AU"/>
        </w:rPr>
        <w:t xml:space="preserve">the </w:t>
      </w:r>
      <w:r w:rsidRPr="00DD546B">
        <w:rPr>
          <w:rFonts w:eastAsia="Calibri"/>
          <w:i/>
          <w:lang w:eastAsia="en-AU"/>
        </w:rPr>
        <w:t>Firearms Act</w:t>
      </w:r>
      <w:r w:rsidR="00DD546B" w:rsidRPr="00DD546B">
        <w:rPr>
          <w:rFonts w:eastAsia="Calibri"/>
          <w:i/>
          <w:lang w:eastAsia="en-AU"/>
        </w:rPr>
        <w:t xml:space="preserve"> 1997</w:t>
      </w:r>
      <w:r w:rsidRPr="00DD546B">
        <w:rPr>
          <w:rFonts w:eastAsia="Calibri"/>
          <w:lang w:eastAsia="en-AU"/>
        </w:rPr>
        <w:t>, or</w:t>
      </w:r>
    </w:p>
    <w:p w:rsidR="00BF2D5D" w:rsidRPr="00DD546B" w:rsidRDefault="00BF2D5D" w:rsidP="00CD03C8">
      <w:pPr>
        <w:pStyle w:val="ListParagraph"/>
        <w:numPr>
          <w:ilvl w:val="1"/>
          <w:numId w:val="12"/>
        </w:numPr>
        <w:shd w:val="clear" w:color="auto" w:fill="FFFFFF" w:themeFill="background1"/>
        <w:ind w:left="1843"/>
        <w:jc w:val="both"/>
        <w:rPr>
          <w:rFonts w:eastAsia="Calibri"/>
          <w:lang w:eastAsia="en-AU"/>
        </w:rPr>
      </w:pPr>
      <w:r w:rsidRPr="00DD546B">
        <w:rPr>
          <w:rFonts w:eastAsia="Calibri"/>
          <w:lang w:eastAsia="en-AU"/>
        </w:rPr>
        <w:t>any Act passed by the Legislative Assembly in substitution for those Acts,</w:t>
      </w:r>
    </w:p>
    <w:p w:rsidR="00BF2D5D" w:rsidRPr="00BF2D5D" w:rsidRDefault="00BF2D5D" w:rsidP="00DD546B">
      <w:pPr>
        <w:pStyle w:val="ListParagraph"/>
        <w:shd w:val="clear" w:color="auto" w:fill="FFFFFF" w:themeFill="background1"/>
        <w:ind w:left="709" w:hanging="1"/>
        <w:rPr>
          <w:rFonts w:eastAsia="Calibri"/>
          <w:lang w:eastAsia="en-AU"/>
        </w:rPr>
      </w:pPr>
      <w:r w:rsidRPr="00BF2D5D">
        <w:rPr>
          <w:rFonts w:eastAsia="Calibri"/>
          <w:lang w:eastAsia="en-AU"/>
        </w:rPr>
        <w:t>the Director</w:t>
      </w:r>
      <w:r w:rsidR="00DD546B">
        <w:rPr>
          <w:rFonts w:eastAsia="Calibri"/>
          <w:lang w:eastAsia="en-AU"/>
        </w:rPr>
        <w:t xml:space="preserve"> Private Security Regulation</w:t>
      </w:r>
      <w:r w:rsidRPr="00BF2D5D">
        <w:rPr>
          <w:rFonts w:eastAsia="Calibri"/>
          <w:lang w:eastAsia="en-AU"/>
        </w:rPr>
        <w:t xml:space="preserve"> may reconsider whether the person continues to be an appropriate person to hold a licence.</w:t>
      </w:r>
    </w:p>
    <w:p w:rsidR="00BF2D5D" w:rsidRPr="00BF2D5D" w:rsidRDefault="00BF2D5D" w:rsidP="00DD546B">
      <w:pPr>
        <w:pStyle w:val="ListParagraph"/>
        <w:shd w:val="clear" w:color="auto" w:fill="FFFFFF" w:themeFill="background1"/>
        <w:ind w:left="426"/>
        <w:rPr>
          <w:rFonts w:eastAsia="Calibri"/>
          <w:lang w:eastAsia="en-AU"/>
        </w:rPr>
      </w:pPr>
      <w:r w:rsidRPr="00BF2D5D">
        <w:rPr>
          <w:rFonts w:eastAsia="Calibri"/>
          <w:lang w:eastAsia="en-AU"/>
        </w:rPr>
        <w:t>Licensed crowd controllers are strongly advised to take note of what these offences are and must avoid contravening these provisions.</w:t>
      </w:r>
    </w:p>
    <w:p w:rsidR="00DD546B" w:rsidRPr="00DD546B" w:rsidRDefault="00DD546B" w:rsidP="00CD03C8">
      <w:pPr>
        <w:pStyle w:val="Heading3"/>
        <w:numPr>
          <w:ilvl w:val="1"/>
          <w:numId w:val="14"/>
        </w:numPr>
        <w:rPr>
          <w:rFonts w:eastAsia="Times New Roman"/>
          <w:lang w:eastAsia="en-AU"/>
        </w:rPr>
      </w:pPr>
      <w:r>
        <w:rPr>
          <w:lang w:eastAsia="en-AU"/>
        </w:rPr>
        <w:t>Other legislation affecting crowd controllers in the performance of their duties</w:t>
      </w:r>
    </w:p>
    <w:p w:rsidR="00873675" w:rsidRPr="00873675" w:rsidRDefault="00873675" w:rsidP="00873675">
      <w:pPr>
        <w:pStyle w:val="ListParagraph"/>
        <w:shd w:val="clear" w:color="auto" w:fill="FFFFFF" w:themeFill="background1"/>
        <w:ind w:left="426"/>
        <w:rPr>
          <w:rFonts w:eastAsia="Calibri"/>
          <w:lang w:eastAsia="en-AU"/>
        </w:rPr>
      </w:pPr>
      <w:r w:rsidRPr="00873675">
        <w:rPr>
          <w:rFonts w:eastAsia="Calibri"/>
          <w:lang w:eastAsia="en-AU"/>
        </w:rPr>
        <w:t>All crowd controllers should be aware of other legislation affecting their duties, being the:</w:t>
      </w:r>
    </w:p>
    <w:p w:rsidR="00873675" w:rsidRPr="00873675" w:rsidRDefault="00873675" w:rsidP="00CD03C8">
      <w:pPr>
        <w:pStyle w:val="ListParagraph"/>
        <w:numPr>
          <w:ilvl w:val="0"/>
          <w:numId w:val="15"/>
        </w:numPr>
        <w:shd w:val="clear" w:color="auto" w:fill="FFFFFF" w:themeFill="background1"/>
        <w:ind w:left="1134"/>
        <w:jc w:val="both"/>
        <w:rPr>
          <w:rFonts w:eastAsia="Calibri"/>
          <w:lang w:eastAsia="en-AU"/>
        </w:rPr>
      </w:pPr>
      <w:r w:rsidRPr="00873675">
        <w:rPr>
          <w:rFonts w:eastAsia="Calibri"/>
          <w:i/>
          <w:lang w:eastAsia="en-AU"/>
        </w:rPr>
        <w:t>Liquor Act 2019</w:t>
      </w:r>
      <w:r w:rsidRPr="00873675">
        <w:rPr>
          <w:rFonts w:eastAsia="Calibri"/>
          <w:lang w:eastAsia="en-AU"/>
        </w:rPr>
        <w:t>: sections 19, 48, 49, 72, 102, 104, 105, 106A, 106B, 106BA, 109, 118, 121 and 122, which refer to binding obligations of employees under that Act</w:t>
      </w:r>
    </w:p>
    <w:p w:rsidR="00873675" w:rsidRPr="00873675" w:rsidRDefault="00873675" w:rsidP="00CD03C8">
      <w:pPr>
        <w:pStyle w:val="ListParagraph"/>
        <w:numPr>
          <w:ilvl w:val="0"/>
          <w:numId w:val="15"/>
        </w:numPr>
        <w:shd w:val="clear" w:color="auto" w:fill="FFFFFF" w:themeFill="background1"/>
        <w:ind w:left="1134"/>
        <w:jc w:val="both"/>
        <w:rPr>
          <w:rFonts w:eastAsia="Calibri"/>
          <w:lang w:eastAsia="en-AU"/>
        </w:rPr>
      </w:pPr>
      <w:r w:rsidRPr="00873675">
        <w:rPr>
          <w:rFonts w:eastAsia="Calibri"/>
          <w:i/>
          <w:lang w:eastAsia="en-AU"/>
        </w:rPr>
        <w:t>Summary Offences Act 1923</w:t>
      </w:r>
      <w:r w:rsidRPr="00873675">
        <w:rPr>
          <w:rFonts w:eastAsia="Calibri"/>
          <w:lang w:eastAsia="en-AU"/>
        </w:rPr>
        <w:t>: sections 47 and 56(1)(d)</w:t>
      </w:r>
    </w:p>
    <w:p w:rsidR="00873675" w:rsidRPr="00873675" w:rsidRDefault="00873675" w:rsidP="00CD03C8">
      <w:pPr>
        <w:pStyle w:val="ListParagraph"/>
        <w:numPr>
          <w:ilvl w:val="0"/>
          <w:numId w:val="15"/>
        </w:numPr>
        <w:shd w:val="clear" w:color="auto" w:fill="FFFFFF" w:themeFill="background1"/>
        <w:ind w:left="1134"/>
        <w:jc w:val="both"/>
        <w:rPr>
          <w:rFonts w:eastAsia="Calibri"/>
          <w:lang w:eastAsia="en-AU"/>
        </w:rPr>
      </w:pPr>
      <w:r w:rsidRPr="00873675">
        <w:rPr>
          <w:rFonts w:eastAsia="Calibri"/>
          <w:i/>
          <w:lang w:eastAsia="en-AU"/>
        </w:rPr>
        <w:t>Trespass Act 2023</w:t>
      </w:r>
      <w:r w:rsidRPr="00873675">
        <w:rPr>
          <w:rFonts w:eastAsia="Calibri"/>
          <w:lang w:eastAsia="en-AU"/>
        </w:rPr>
        <w:t>: sections 7 and 8, and</w:t>
      </w:r>
    </w:p>
    <w:p w:rsidR="00873675" w:rsidRPr="00873675" w:rsidRDefault="00873675" w:rsidP="00CD03C8">
      <w:pPr>
        <w:pStyle w:val="ListParagraph"/>
        <w:numPr>
          <w:ilvl w:val="0"/>
          <w:numId w:val="15"/>
        </w:numPr>
        <w:shd w:val="clear" w:color="auto" w:fill="FFFFFF" w:themeFill="background1"/>
        <w:ind w:left="1134"/>
        <w:jc w:val="both"/>
        <w:rPr>
          <w:rFonts w:eastAsia="Calibri"/>
          <w:lang w:eastAsia="en-AU"/>
        </w:rPr>
      </w:pPr>
      <w:r w:rsidRPr="00873675">
        <w:rPr>
          <w:rFonts w:eastAsia="Calibri"/>
          <w:i/>
          <w:lang w:eastAsia="en-AU"/>
        </w:rPr>
        <w:t>Criminal Code 1983</w:t>
      </w:r>
      <w:r w:rsidRPr="00873675">
        <w:rPr>
          <w:rFonts w:eastAsia="Calibri"/>
          <w:lang w:eastAsia="en-AU"/>
        </w:rPr>
        <w:t>: section 27</w:t>
      </w:r>
    </w:p>
    <w:p w:rsidR="00873675" w:rsidRPr="00873675" w:rsidRDefault="00873675" w:rsidP="00873675">
      <w:pPr>
        <w:pStyle w:val="ListParagraph"/>
        <w:spacing w:before="100" w:beforeAutospacing="1" w:after="100" w:afterAutospacing="1"/>
        <w:ind w:left="360"/>
        <w:rPr>
          <w:rFonts w:eastAsia="Calibri"/>
          <w:lang w:eastAsia="en-AU"/>
        </w:rPr>
      </w:pPr>
      <w:r w:rsidRPr="00873675">
        <w:rPr>
          <w:rFonts w:eastAsia="Calibri"/>
          <w:lang w:eastAsia="en-AU"/>
        </w:rPr>
        <w:t>and the common law principles relating to the application of force.</w:t>
      </w:r>
    </w:p>
    <w:p w:rsidR="00A23B58" w:rsidRDefault="00A23B58" w:rsidP="00A23B58">
      <w:pPr>
        <w:pStyle w:val="Heading1"/>
        <w:shd w:val="clear" w:color="auto" w:fill="FFFFFF" w:themeFill="background1"/>
        <w:rPr>
          <w:lang w:eastAsia="en-AU"/>
        </w:rPr>
      </w:pPr>
      <w:r>
        <w:rPr>
          <w:lang w:eastAsia="en-AU"/>
        </w:rPr>
        <w:t>Part B</w:t>
      </w:r>
    </w:p>
    <w:p w:rsidR="00A23B58" w:rsidRDefault="00A23B58" w:rsidP="00CD03C8">
      <w:pPr>
        <w:pStyle w:val="Heading2"/>
        <w:numPr>
          <w:ilvl w:val="0"/>
          <w:numId w:val="13"/>
        </w:numPr>
        <w:rPr>
          <w:lang w:eastAsia="en-AU"/>
        </w:rPr>
      </w:pPr>
      <w:r>
        <w:rPr>
          <w:lang w:eastAsia="en-AU"/>
        </w:rPr>
        <w:t>Professional standards of conduct</w:t>
      </w:r>
    </w:p>
    <w:p w:rsidR="00873675" w:rsidRPr="00873675" w:rsidRDefault="00873675" w:rsidP="00873675">
      <w:pPr>
        <w:pStyle w:val="ListParagraph"/>
        <w:shd w:val="clear" w:color="auto" w:fill="FFFFFF" w:themeFill="background1"/>
        <w:ind w:left="426"/>
        <w:rPr>
          <w:rFonts w:eastAsia="Calibri"/>
          <w:lang w:eastAsia="en-AU"/>
        </w:rPr>
      </w:pPr>
      <w:r w:rsidRPr="00873675">
        <w:rPr>
          <w:rFonts w:eastAsia="Calibri"/>
          <w:lang w:eastAsia="en-AU"/>
        </w:rPr>
        <w:t>A crowd controller may be subject to disciplinary action if he or she is found to have contravened the provisions listed in this Part.</w:t>
      </w:r>
    </w:p>
    <w:p w:rsidR="00873675" w:rsidRPr="00873675" w:rsidRDefault="00873675" w:rsidP="00873675">
      <w:pPr>
        <w:pStyle w:val="ListParagraph"/>
        <w:shd w:val="clear" w:color="auto" w:fill="FFFFFF" w:themeFill="background1"/>
        <w:ind w:left="426"/>
        <w:rPr>
          <w:rFonts w:eastAsia="Calibri"/>
          <w:lang w:eastAsia="en-AU"/>
        </w:rPr>
      </w:pPr>
      <w:r w:rsidRPr="00873675">
        <w:rPr>
          <w:rFonts w:eastAsia="Calibri"/>
          <w:lang w:eastAsia="en-AU"/>
        </w:rPr>
        <w:t>As an overriding guiding principle, crowd controllers shall always conduct all aspects of their employment in a responsible and professional manner and encourage responsible behaviour of patrons so that all guests and patrons can enjoy the facilities, services and social aspects of the venue they are attending.</w:t>
      </w:r>
    </w:p>
    <w:p w:rsidR="00873675" w:rsidRDefault="00873675" w:rsidP="00873675">
      <w:pPr>
        <w:pStyle w:val="ListParagraph"/>
        <w:shd w:val="clear" w:color="auto" w:fill="FFFFFF" w:themeFill="background1"/>
        <w:ind w:left="426"/>
        <w:rPr>
          <w:rFonts w:eastAsia="Calibri"/>
          <w:lang w:eastAsia="en-AU"/>
        </w:rPr>
      </w:pPr>
      <w:r w:rsidRPr="00873675">
        <w:rPr>
          <w:rFonts w:eastAsia="Calibri"/>
          <w:lang w:eastAsia="en-AU"/>
        </w:rPr>
        <w:t>Crowd controllers shall:</w:t>
      </w:r>
    </w:p>
    <w:p w:rsidR="00873675" w:rsidRPr="00873675" w:rsidRDefault="00873675" w:rsidP="00CD03C8">
      <w:pPr>
        <w:pStyle w:val="ListParagraph"/>
        <w:numPr>
          <w:ilvl w:val="0"/>
          <w:numId w:val="16"/>
        </w:numPr>
        <w:spacing w:before="100" w:beforeAutospacing="1" w:after="100" w:afterAutospacing="1"/>
        <w:rPr>
          <w:rFonts w:eastAsia="Calibri"/>
          <w:vanish/>
          <w:lang w:eastAsia="en-AU"/>
        </w:rPr>
      </w:pPr>
    </w:p>
    <w:p w:rsidR="00873675" w:rsidRPr="00873675" w:rsidRDefault="00873675" w:rsidP="00CD03C8">
      <w:pPr>
        <w:pStyle w:val="ListParagraph"/>
        <w:numPr>
          <w:ilvl w:val="0"/>
          <w:numId w:val="16"/>
        </w:numPr>
        <w:spacing w:before="100" w:beforeAutospacing="1" w:after="100" w:afterAutospacing="1"/>
        <w:rPr>
          <w:rFonts w:eastAsia="Calibri"/>
          <w:vanish/>
          <w:lang w:eastAsia="en-AU"/>
        </w:rPr>
      </w:pPr>
    </w:p>
    <w:p w:rsidR="00873675" w:rsidRPr="00873675" w:rsidRDefault="00873675" w:rsidP="00CD03C8">
      <w:pPr>
        <w:pStyle w:val="ListParagraph"/>
        <w:numPr>
          <w:ilvl w:val="0"/>
          <w:numId w:val="16"/>
        </w:numPr>
        <w:spacing w:before="100" w:beforeAutospacing="1" w:after="100" w:afterAutospacing="1"/>
        <w:rPr>
          <w:rFonts w:eastAsia="Calibri"/>
          <w:vanish/>
          <w:lang w:eastAsia="en-AU"/>
        </w:rPr>
      </w:pPr>
    </w:p>
    <w:p w:rsidR="00873675" w:rsidRDefault="00873675" w:rsidP="00CD03C8">
      <w:pPr>
        <w:pStyle w:val="ListParagraph"/>
        <w:numPr>
          <w:ilvl w:val="1"/>
          <w:numId w:val="16"/>
        </w:numPr>
        <w:spacing w:before="120"/>
        <w:ind w:left="788" w:hanging="431"/>
        <w:jc w:val="both"/>
        <w:rPr>
          <w:rFonts w:eastAsia="Calibri"/>
          <w:lang w:eastAsia="en-AU"/>
        </w:rPr>
      </w:pPr>
      <w:r w:rsidRPr="00873675">
        <w:rPr>
          <w:rFonts w:eastAsia="Calibri"/>
          <w:lang w:eastAsia="en-AU"/>
        </w:rPr>
        <w:t>Not consume alcohol whilst on duty and not commence duty if they have consumed alcohol in the period leading up to their commencing duty which would adversely affect the adequate performance of their duties.</w:t>
      </w:r>
    </w:p>
    <w:p w:rsidR="00873675" w:rsidRDefault="00873675" w:rsidP="00CD03C8">
      <w:pPr>
        <w:pStyle w:val="ListParagraph"/>
        <w:numPr>
          <w:ilvl w:val="1"/>
          <w:numId w:val="16"/>
        </w:numPr>
        <w:spacing w:before="120"/>
        <w:ind w:left="788" w:hanging="431"/>
        <w:jc w:val="both"/>
        <w:rPr>
          <w:rFonts w:eastAsia="Calibri"/>
          <w:lang w:eastAsia="en-AU"/>
        </w:rPr>
      </w:pPr>
      <w:r w:rsidRPr="00873675">
        <w:rPr>
          <w:rFonts w:eastAsia="Calibri"/>
          <w:lang w:eastAsia="en-AU"/>
        </w:rPr>
        <w:t xml:space="preserve">Not consume drugs specified in Schedule 1 of the </w:t>
      </w:r>
      <w:r w:rsidRPr="00873675">
        <w:rPr>
          <w:rFonts w:eastAsia="Calibri"/>
          <w:i/>
          <w:lang w:eastAsia="en-AU"/>
        </w:rPr>
        <w:t>Misuse of Drugs Act 1993</w:t>
      </w:r>
      <w:r w:rsidRPr="00873675">
        <w:rPr>
          <w:rFonts w:eastAsia="Calibri"/>
          <w:lang w:eastAsia="en-AU"/>
        </w:rPr>
        <w:t xml:space="preserve">. Crowd controllers shall not consume drugs listed in Schedule 2 of that Act whilst on duty or in the period leading up to them commencing duty which would adversely affect the adequate performance of their duties. </w:t>
      </w:r>
    </w:p>
    <w:p w:rsidR="00873675" w:rsidRPr="00873675" w:rsidRDefault="00873675" w:rsidP="00CD03C8">
      <w:pPr>
        <w:pStyle w:val="ListParagraph"/>
        <w:numPr>
          <w:ilvl w:val="1"/>
          <w:numId w:val="16"/>
        </w:numPr>
        <w:spacing w:before="120"/>
        <w:ind w:left="788" w:hanging="431"/>
        <w:jc w:val="both"/>
        <w:rPr>
          <w:rFonts w:eastAsia="Calibri"/>
          <w:lang w:eastAsia="en-AU"/>
        </w:rPr>
      </w:pPr>
      <w:r w:rsidRPr="00873675">
        <w:rPr>
          <w:rFonts w:eastAsia="Calibri"/>
          <w:lang w:eastAsia="en-AU"/>
        </w:rPr>
        <w:t>Bring to the attention of their employer any incident where physical force was used by or against the crowd controller and which is therefore an incident which should be recorded within an incident register, and provide to their employer the information prescribed by regulation 8 of the Private Security (Crowd Controllers) Regulations, being: a) their name</w:t>
      </w:r>
    </w:p>
    <w:p w:rsid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t>the licence number assigned to the crowd controller by the Director Private Security Regulation</w:t>
      </w:r>
    </w:p>
    <w:p w:rsidR="00873675" w:rsidRP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t>the security number assigned to and worn by the crowd controller when the incident occurred</w:t>
      </w:r>
    </w:p>
    <w:p w:rsidR="00873675" w:rsidRP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t>the details in relation to the incident including but not limited to the date and time of the incident, the names of any witnesses and an outline of what occurred and why.</w:t>
      </w:r>
    </w:p>
    <w:p w:rsidR="00873675" w:rsidRPr="00873675" w:rsidRDefault="00873675" w:rsidP="00CD03C8">
      <w:pPr>
        <w:pStyle w:val="ListParagraph"/>
        <w:numPr>
          <w:ilvl w:val="1"/>
          <w:numId w:val="16"/>
        </w:numPr>
        <w:spacing w:before="120"/>
        <w:ind w:left="788" w:hanging="431"/>
        <w:jc w:val="both"/>
        <w:rPr>
          <w:rFonts w:eastAsia="Calibri"/>
          <w:lang w:eastAsia="en-AU"/>
        </w:rPr>
      </w:pPr>
      <w:r w:rsidRPr="00873675">
        <w:rPr>
          <w:rFonts w:eastAsia="Calibri"/>
          <w:lang w:eastAsia="en-AU"/>
        </w:rPr>
        <w:t>Not make or sign any false verbal or written statement in relation to their employment as a crowd controller.</w:t>
      </w:r>
    </w:p>
    <w:p w:rsidR="00873675" w:rsidRPr="00873675" w:rsidRDefault="00873675" w:rsidP="00CD03C8">
      <w:pPr>
        <w:pStyle w:val="ListParagraph"/>
        <w:numPr>
          <w:ilvl w:val="1"/>
          <w:numId w:val="16"/>
        </w:numPr>
        <w:spacing w:before="120"/>
        <w:ind w:left="788" w:hanging="431"/>
        <w:jc w:val="both"/>
        <w:rPr>
          <w:rFonts w:eastAsia="Calibri"/>
          <w:lang w:eastAsia="en-AU"/>
        </w:rPr>
      </w:pPr>
      <w:r w:rsidRPr="00873675">
        <w:rPr>
          <w:rFonts w:eastAsia="Calibri"/>
          <w:lang w:eastAsia="en-AU"/>
        </w:rPr>
        <w:t>Where employed to do so, carefully control and/or monitor the behaviour of patrons so that problems can be detected early and where necessary act swiftly with the aim of protecting the health and safety of all patrons, including those who might need to be removed because of their own behaviour.</w:t>
      </w:r>
    </w:p>
    <w:p w:rsidR="00873675" w:rsidRPr="00873675" w:rsidRDefault="00873675" w:rsidP="00CD03C8">
      <w:pPr>
        <w:pStyle w:val="ListParagraph"/>
        <w:numPr>
          <w:ilvl w:val="1"/>
          <w:numId w:val="16"/>
        </w:numPr>
        <w:spacing w:before="120"/>
        <w:ind w:left="788" w:hanging="431"/>
        <w:jc w:val="both"/>
        <w:rPr>
          <w:rFonts w:eastAsia="Calibri"/>
          <w:lang w:eastAsia="en-AU"/>
        </w:rPr>
      </w:pPr>
      <w:r w:rsidRPr="00873675">
        <w:rPr>
          <w:rFonts w:eastAsia="Calibri"/>
          <w:lang w:eastAsia="en-AU"/>
        </w:rPr>
        <w:t>Where they hold a ‘Provisional Licence’ and have not undertaken the approved course of training to qualify fully as a crowd controller, undertake such training without unnecessary delay.</w:t>
      </w:r>
    </w:p>
    <w:p w:rsidR="00873675" w:rsidRPr="00873675" w:rsidRDefault="00873675" w:rsidP="00CD03C8">
      <w:pPr>
        <w:pStyle w:val="ListParagraph"/>
        <w:numPr>
          <w:ilvl w:val="1"/>
          <w:numId w:val="16"/>
        </w:numPr>
        <w:spacing w:before="120"/>
        <w:ind w:left="788" w:hanging="431"/>
        <w:jc w:val="both"/>
        <w:rPr>
          <w:rFonts w:eastAsia="Calibri"/>
          <w:lang w:eastAsia="en-AU"/>
        </w:rPr>
      </w:pPr>
      <w:r w:rsidRPr="00873675">
        <w:rPr>
          <w:rFonts w:eastAsia="Calibri"/>
          <w:lang w:eastAsia="en-AU"/>
        </w:rPr>
        <w:t>Irrespective of the type of crowd controller’s licence held, undertake any training or development activity required by and paid for by their employer where that activity will improve their performance as a crowd controller.</w:t>
      </w:r>
    </w:p>
    <w:p w:rsidR="00873675" w:rsidRDefault="00873675" w:rsidP="00CD03C8">
      <w:pPr>
        <w:pStyle w:val="ListParagraph"/>
        <w:numPr>
          <w:ilvl w:val="1"/>
          <w:numId w:val="16"/>
        </w:numPr>
        <w:spacing w:before="120"/>
        <w:ind w:left="788" w:hanging="431"/>
        <w:jc w:val="both"/>
        <w:rPr>
          <w:rFonts w:eastAsia="Calibri"/>
          <w:lang w:eastAsia="en-AU"/>
        </w:rPr>
      </w:pPr>
      <w:r w:rsidRPr="00873675">
        <w:rPr>
          <w:rFonts w:eastAsia="Calibri"/>
          <w:lang w:eastAsia="en-AU"/>
        </w:rPr>
        <w:t>Not threaten any patron with physical violence.</w:t>
      </w:r>
    </w:p>
    <w:p w:rsidR="00873675" w:rsidRDefault="00873675" w:rsidP="00CD03C8">
      <w:pPr>
        <w:pStyle w:val="ListParagraph"/>
        <w:numPr>
          <w:ilvl w:val="1"/>
          <w:numId w:val="16"/>
        </w:numPr>
        <w:spacing w:before="120"/>
        <w:ind w:left="788" w:hanging="431"/>
        <w:jc w:val="both"/>
        <w:rPr>
          <w:rFonts w:eastAsia="Calibri"/>
          <w:lang w:eastAsia="en-AU"/>
        </w:rPr>
      </w:pPr>
      <w:r w:rsidRPr="00873675">
        <w:rPr>
          <w:rFonts w:eastAsia="Calibri"/>
          <w:lang w:eastAsia="en-AU"/>
        </w:rPr>
        <w:t xml:space="preserve">Act responsibly with regards to the </w:t>
      </w:r>
      <w:r w:rsidRPr="00554A9E">
        <w:rPr>
          <w:rFonts w:eastAsia="Calibri"/>
          <w:i/>
          <w:lang w:eastAsia="en-AU"/>
        </w:rPr>
        <w:t xml:space="preserve">Liquor Act </w:t>
      </w:r>
      <w:r w:rsidR="00554A9E" w:rsidRPr="00554A9E">
        <w:rPr>
          <w:rFonts w:eastAsia="Calibri"/>
          <w:i/>
          <w:lang w:eastAsia="en-AU"/>
        </w:rPr>
        <w:t>2019</w:t>
      </w:r>
      <w:r w:rsidR="00554A9E">
        <w:rPr>
          <w:rFonts w:eastAsia="Calibri"/>
          <w:lang w:eastAsia="en-AU"/>
        </w:rPr>
        <w:t xml:space="preserve"> </w:t>
      </w:r>
      <w:r w:rsidRPr="00873675">
        <w:rPr>
          <w:rFonts w:eastAsia="Calibri"/>
          <w:lang w:eastAsia="en-AU"/>
        </w:rPr>
        <w:t>by abiding by it and regulations made under it and other legislation that directly affects their employment and specifically by:</w:t>
      </w:r>
    </w:p>
    <w:p w:rsidR="00873675" w:rsidRP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t>Refusing entry to licensed premises to intoxicated persons where crowd controllers are responsible for screening persons seeking entry.</w:t>
      </w:r>
    </w:p>
    <w:p w:rsidR="00873675" w:rsidRP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t>Bringing to the attention of the licensee under the Liquor Act, the manager of the licensed premises and persons responsible for the sale of alcohol, any intoxicated persons who should not be sold or supplied alcohol and any minor seeking to purchase or obtain alcohol illegally.</w:t>
      </w:r>
    </w:p>
    <w:p w:rsidR="00873675" w:rsidRP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t>Where they are responsible for screening persons seeking entry to licensed premises – require ‘Proof of Age Cards’ and/or other forms of identification approved by the Director</w:t>
      </w:r>
      <w:r w:rsidR="00554A9E">
        <w:rPr>
          <w:rFonts w:eastAsia="Calibri"/>
          <w:lang w:eastAsia="en-AU"/>
        </w:rPr>
        <w:t xml:space="preserve"> Private Security Regulations </w:t>
      </w:r>
      <w:r w:rsidRPr="00873675">
        <w:rPr>
          <w:rFonts w:eastAsia="Calibri"/>
          <w:lang w:eastAsia="en-AU"/>
        </w:rPr>
        <w:t>before allowing entry to persons who they suspect, or should suspect, to be minors.</w:t>
      </w:r>
    </w:p>
    <w:p w:rsidR="00873675" w:rsidRP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t xml:space="preserve">Where they are responsible for screening person seeking entry to licensed premises to which minors are, by the conditions of a licence under the </w:t>
      </w:r>
      <w:r w:rsidRPr="00554A9E">
        <w:rPr>
          <w:rFonts w:eastAsia="Calibri"/>
          <w:i/>
          <w:lang w:eastAsia="en-AU"/>
        </w:rPr>
        <w:t>Liquor</w:t>
      </w:r>
      <w:r w:rsidRPr="00873675">
        <w:rPr>
          <w:rFonts w:eastAsia="Calibri"/>
          <w:lang w:eastAsia="en-AU"/>
        </w:rPr>
        <w:t xml:space="preserve"> </w:t>
      </w:r>
      <w:r w:rsidRPr="00554A9E">
        <w:rPr>
          <w:rFonts w:eastAsia="Calibri"/>
          <w:i/>
          <w:lang w:eastAsia="en-AU"/>
        </w:rPr>
        <w:t>Act</w:t>
      </w:r>
      <w:r w:rsidR="00554A9E" w:rsidRPr="00554A9E">
        <w:rPr>
          <w:rFonts w:eastAsia="Calibri"/>
          <w:i/>
          <w:lang w:eastAsia="en-AU"/>
        </w:rPr>
        <w:t xml:space="preserve"> 2019</w:t>
      </w:r>
      <w:r w:rsidRPr="00873675">
        <w:rPr>
          <w:rFonts w:eastAsia="Calibri"/>
          <w:lang w:eastAsia="en-AU"/>
        </w:rPr>
        <w:t>, permitted entry – discourage minors from purchasing and/or consuming alcohol by reminding them and/or their parents or guardians of their respective obligations under the Liquor Act.</w:t>
      </w:r>
    </w:p>
    <w:p w:rsidR="00873675" w:rsidRP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t>Ensuring that patrons do not remain on licensed premises after the hours during which sale of liquor on the premises is permitted.</w:t>
      </w:r>
    </w:p>
    <w:p w:rsidR="00873675" w:rsidRP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lastRenderedPageBreak/>
        <w:t xml:space="preserve">Producing their licence at the request of a member of the Police Force or inspectors appointed by or under the </w:t>
      </w:r>
      <w:r w:rsidRPr="00554A9E">
        <w:rPr>
          <w:rFonts w:eastAsia="Calibri"/>
          <w:i/>
          <w:lang w:eastAsia="en-AU"/>
        </w:rPr>
        <w:t xml:space="preserve">Liquor Act </w:t>
      </w:r>
      <w:r w:rsidR="00554A9E" w:rsidRPr="00554A9E">
        <w:rPr>
          <w:rFonts w:eastAsia="Calibri"/>
          <w:i/>
          <w:lang w:eastAsia="en-AU"/>
        </w:rPr>
        <w:t>2019</w:t>
      </w:r>
      <w:r w:rsidR="00554A9E">
        <w:rPr>
          <w:rFonts w:eastAsia="Calibri"/>
          <w:lang w:eastAsia="en-AU"/>
        </w:rPr>
        <w:t xml:space="preserve"> </w:t>
      </w:r>
      <w:r w:rsidRPr="00873675">
        <w:rPr>
          <w:rFonts w:eastAsia="Calibri"/>
          <w:lang w:eastAsia="en-AU"/>
        </w:rPr>
        <w:t xml:space="preserve">or the </w:t>
      </w:r>
      <w:r w:rsidRPr="00554A9E">
        <w:rPr>
          <w:rFonts w:eastAsia="Calibri"/>
          <w:i/>
          <w:lang w:eastAsia="en-AU"/>
        </w:rPr>
        <w:t>Private Security Act</w:t>
      </w:r>
      <w:r w:rsidR="00554A9E" w:rsidRPr="00554A9E">
        <w:rPr>
          <w:rFonts w:eastAsia="Calibri"/>
          <w:i/>
          <w:lang w:eastAsia="en-AU"/>
        </w:rPr>
        <w:t xml:space="preserve"> 1995</w:t>
      </w:r>
      <w:r w:rsidRPr="00873675">
        <w:rPr>
          <w:rFonts w:eastAsia="Calibri"/>
          <w:lang w:eastAsia="en-AU"/>
        </w:rPr>
        <w:t>.</w:t>
      </w:r>
    </w:p>
    <w:p w:rsidR="00873675" w:rsidRPr="00873675" w:rsidRDefault="00873675" w:rsidP="00CD03C8">
      <w:pPr>
        <w:pStyle w:val="ListParagraph"/>
        <w:numPr>
          <w:ilvl w:val="0"/>
          <w:numId w:val="17"/>
        </w:numPr>
        <w:shd w:val="clear" w:color="auto" w:fill="FFFFFF" w:themeFill="background1"/>
        <w:ind w:left="1560"/>
        <w:jc w:val="both"/>
        <w:rPr>
          <w:rFonts w:eastAsia="Calibri"/>
          <w:lang w:eastAsia="en-AU"/>
        </w:rPr>
      </w:pPr>
      <w:r w:rsidRPr="00873675">
        <w:rPr>
          <w:rFonts w:eastAsia="Calibri"/>
          <w:lang w:eastAsia="en-AU"/>
        </w:rPr>
        <w:t>Being an employee of a licensee within the meaning of the Liquor Act – not permit indecent, violent, quarrelsome or riotous conduct to occur on or at licensed premises.</w:t>
      </w:r>
    </w:p>
    <w:p w:rsidR="00873675" w:rsidRPr="00873675"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00873675" w:rsidRPr="00873675">
        <w:rPr>
          <w:rFonts w:eastAsia="Calibri"/>
          <w:lang w:eastAsia="en-AU"/>
        </w:rPr>
        <w:t xml:space="preserve">Where employed to screen entry to gaming and wagering facilities shall not allow minors to enter </w:t>
      </w:r>
      <w:r>
        <w:rPr>
          <w:rFonts w:eastAsia="Calibri"/>
          <w:lang w:eastAsia="en-AU"/>
        </w:rPr>
        <w:t>r</w:t>
      </w:r>
      <w:r w:rsidR="00873675" w:rsidRPr="00873675">
        <w:rPr>
          <w:rFonts w:eastAsia="Calibri"/>
          <w:lang w:eastAsia="en-AU"/>
        </w:rPr>
        <w:t>estricted areas.</w:t>
      </w:r>
    </w:p>
    <w:p w:rsidR="00873675" w:rsidRPr="00873675"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00873675" w:rsidRPr="00873675">
        <w:rPr>
          <w:rFonts w:eastAsia="Calibri"/>
          <w:lang w:eastAsia="en-AU"/>
        </w:rPr>
        <w:t>Not work illegally, e.g. accept cash-in hand payments without a correctly completed payslip.</w:t>
      </w:r>
    </w:p>
    <w:p w:rsidR="00873675" w:rsidRPr="00873675"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00873675" w:rsidRPr="00873675">
        <w:rPr>
          <w:rFonts w:eastAsia="Calibri"/>
          <w:lang w:eastAsia="en-AU"/>
        </w:rPr>
        <w:t>Not carry an offensive weapon on licensed premises.</w:t>
      </w:r>
    </w:p>
    <w:p w:rsidR="00873675" w:rsidRPr="00873675"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00873675" w:rsidRPr="00873675">
        <w:rPr>
          <w:rFonts w:eastAsia="Calibri"/>
          <w:lang w:eastAsia="en-AU"/>
        </w:rPr>
        <w:t>Not use undue force in the course of their duties.</w:t>
      </w:r>
    </w:p>
    <w:p w:rsidR="00873675" w:rsidRPr="00873675"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00873675" w:rsidRPr="00873675">
        <w:rPr>
          <w:rFonts w:eastAsia="Calibri"/>
          <w:lang w:eastAsia="en-AU"/>
        </w:rPr>
        <w:t>Not participate or encourage others to participate in assault.</w:t>
      </w:r>
    </w:p>
    <w:p w:rsidR="00873675" w:rsidRPr="00873675"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00873675" w:rsidRPr="00873675">
        <w:rPr>
          <w:rFonts w:eastAsia="Calibri"/>
          <w:lang w:eastAsia="en-AU"/>
        </w:rPr>
        <w:t>In the course of their duties take action to prevent violence occurring.</w:t>
      </w:r>
    </w:p>
    <w:p w:rsidR="00873675" w:rsidRPr="00873675"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00873675" w:rsidRPr="00873675">
        <w:rPr>
          <w:rFonts w:eastAsia="Calibri"/>
          <w:lang w:eastAsia="en-AU"/>
        </w:rPr>
        <w:t>In the course of their duties use mediation, negotiation, communication and conciliation as the primary methods of dealing with clients.</w:t>
      </w:r>
    </w:p>
    <w:p w:rsidR="00873675" w:rsidRPr="00873675"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00873675" w:rsidRPr="00873675">
        <w:rPr>
          <w:rFonts w:eastAsia="Calibri"/>
          <w:lang w:eastAsia="en-AU"/>
        </w:rPr>
        <w:t>Advise their employer as soon as is practicable of any changes which would adversely affect their ability to carry out their functions as a crowd controller and their responsibility to protect the health and safety of patrons.</w:t>
      </w:r>
    </w:p>
    <w:p w:rsidR="00873675" w:rsidRPr="00873675"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00873675" w:rsidRPr="00873675">
        <w:rPr>
          <w:rFonts w:eastAsia="Calibri"/>
          <w:lang w:eastAsia="en-AU"/>
        </w:rPr>
        <w:t>Advise their employer immediately should they be convicted of any disqualifying offence specified in the Private Security (Crowd Controllers) Regulations.</w:t>
      </w:r>
    </w:p>
    <w:p w:rsidR="00554A9E" w:rsidRPr="00554A9E" w:rsidRDefault="00554A9E" w:rsidP="00CD03C8">
      <w:pPr>
        <w:pStyle w:val="ListParagraph"/>
        <w:numPr>
          <w:ilvl w:val="1"/>
          <w:numId w:val="16"/>
        </w:numPr>
        <w:spacing w:before="120"/>
        <w:ind w:left="788" w:hanging="431"/>
        <w:jc w:val="both"/>
        <w:rPr>
          <w:rFonts w:eastAsia="Calibri"/>
          <w:lang w:eastAsia="en-AU"/>
        </w:rPr>
      </w:pPr>
      <w:r>
        <w:rPr>
          <w:rFonts w:eastAsia="Calibri"/>
          <w:lang w:eastAsia="en-AU"/>
        </w:rPr>
        <w:t xml:space="preserve"> </w:t>
      </w:r>
      <w:r w:rsidRPr="00554A9E">
        <w:rPr>
          <w:rFonts w:eastAsia="Calibri"/>
          <w:lang w:eastAsia="en-AU"/>
        </w:rPr>
        <w:t>Wear the appropriate identification on the outside of their clothing so that it is clearly visible whilst performing their duties. This identification is prescribed by regulation 7 of the Private Security (Crowd Controllers) Regulations to be:</w:t>
      </w:r>
    </w:p>
    <w:p w:rsidR="00554A9E" w:rsidRPr="00554A9E" w:rsidRDefault="00554A9E" w:rsidP="00CD03C8">
      <w:pPr>
        <w:pStyle w:val="ListParagraph"/>
        <w:numPr>
          <w:ilvl w:val="0"/>
          <w:numId w:val="18"/>
        </w:numPr>
        <w:shd w:val="clear" w:color="auto" w:fill="FFFFFF" w:themeFill="background1"/>
        <w:ind w:left="1560"/>
        <w:jc w:val="both"/>
        <w:rPr>
          <w:rFonts w:eastAsia="Calibri"/>
          <w:lang w:eastAsia="en-AU"/>
        </w:rPr>
      </w:pPr>
      <w:r w:rsidRPr="00554A9E">
        <w:rPr>
          <w:rFonts w:eastAsia="Calibri"/>
          <w:lang w:eastAsia="en-AU"/>
        </w:rPr>
        <w:t>a number not less than 4 cm height and 5 mm in width</w:t>
      </w:r>
    </w:p>
    <w:p w:rsidR="00554A9E" w:rsidRPr="00554A9E" w:rsidRDefault="00554A9E" w:rsidP="00CD03C8">
      <w:pPr>
        <w:pStyle w:val="ListParagraph"/>
        <w:numPr>
          <w:ilvl w:val="0"/>
          <w:numId w:val="18"/>
        </w:numPr>
        <w:shd w:val="clear" w:color="auto" w:fill="FFFFFF" w:themeFill="background1"/>
        <w:ind w:left="1560"/>
        <w:jc w:val="both"/>
        <w:rPr>
          <w:rFonts w:eastAsia="Calibri"/>
          <w:lang w:eastAsia="en-AU"/>
        </w:rPr>
      </w:pPr>
      <w:r w:rsidRPr="00554A9E">
        <w:rPr>
          <w:rFonts w:eastAsia="Calibri"/>
          <w:lang w:eastAsia="en-AU"/>
        </w:rPr>
        <w:t>the word “SECURITY” in letters not less than 5 mm in height</w:t>
      </w:r>
    </w:p>
    <w:p w:rsidR="00554A9E" w:rsidRPr="00554A9E" w:rsidRDefault="00554A9E" w:rsidP="00CD03C8">
      <w:pPr>
        <w:pStyle w:val="ListParagraph"/>
        <w:numPr>
          <w:ilvl w:val="0"/>
          <w:numId w:val="18"/>
        </w:numPr>
        <w:shd w:val="clear" w:color="auto" w:fill="FFFFFF" w:themeFill="background1"/>
        <w:ind w:left="1560"/>
        <w:jc w:val="both"/>
        <w:rPr>
          <w:rFonts w:eastAsia="Calibri"/>
          <w:lang w:eastAsia="en-AU"/>
        </w:rPr>
      </w:pPr>
      <w:r w:rsidRPr="00554A9E">
        <w:rPr>
          <w:rFonts w:eastAsia="Calibri"/>
          <w:lang w:eastAsia="en-AU"/>
        </w:rPr>
        <w:t>on a badge not less than 6 cm in height</w:t>
      </w:r>
    </w:p>
    <w:p w:rsidR="00554A9E" w:rsidRPr="00554A9E" w:rsidRDefault="00554A9E" w:rsidP="00CD03C8">
      <w:pPr>
        <w:pStyle w:val="ListParagraph"/>
        <w:numPr>
          <w:ilvl w:val="0"/>
          <w:numId w:val="18"/>
        </w:numPr>
        <w:shd w:val="clear" w:color="auto" w:fill="FFFFFF" w:themeFill="background1"/>
        <w:ind w:left="1560"/>
        <w:jc w:val="both"/>
        <w:rPr>
          <w:rFonts w:eastAsia="Calibri"/>
          <w:lang w:eastAsia="en-AU"/>
        </w:rPr>
      </w:pPr>
      <w:r w:rsidRPr="00554A9E">
        <w:rPr>
          <w:rFonts w:eastAsia="Calibri"/>
          <w:lang w:eastAsia="en-AU"/>
        </w:rPr>
        <w:t>in black lettering on a white background.</w:t>
      </w:r>
    </w:p>
    <w:p w:rsidR="00554A9E" w:rsidRPr="00554A9E" w:rsidRDefault="00554A9E" w:rsidP="00554A9E">
      <w:pPr>
        <w:pStyle w:val="ListParagraph"/>
        <w:shd w:val="clear" w:color="auto" w:fill="FFFFFF" w:themeFill="background1"/>
        <w:ind w:left="426"/>
        <w:rPr>
          <w:rFonts w:eastAsia="Calibri"/>
          <w:b/>
          <w:lang w:eastAsia="en-AU"/>
        </w:rPr>
      </w:pPr>
      <w:r w:rsidRPr="00554A9E">
        <w:rPr>
          <w:rFonts w:eastAsia="Calibri"/>
          <w:b/>
          <w:lang w:eastAsia="en-AU"/>
        </w:rPr>
        <w:t>Please note:</w:t>
      </w:r>
    </w:p>
    <w:p w:rsidR="00554A9E" w:rsidRPr="00554A9E" w:rsidRDefault="00554A9E" w:rsidP="00554A9E">
      <w:pPr>
        <w:pStyle w:val="ListParagraph"/>
        <w:shd w:val="clear" w:color="auto" w:fill="FFFFFF" w:themeFill="background1"/>
        <w:ind w:left="426"/>
        <w:rPr>
          <w:rFonts w:eastAsia="Calibri"/>
          <w:lang w:eastAsia="en-AU"/>
        </w:rPr>
      </w:pPr>
      <w:r w:rsidRPr="00554A9E">
        <w:rPr>
          <w:rFonts w:eastAsia="Calibri"/>
          <w:lang w:eastAsia="en-AU"/>
        </w:rPr>
        <w:t>For the purposes of this Part:</w:t>
      </w:r>
    </w:p>
    <w:p w:rsidR="00554A9E" w:rsidRPr="00554A9E" w:rsidRDefault="00554A9E" w:rsidP="00CD03C8">
      <w:pPr>
        <w:pStyle w:val="ListParagraph"/>
        <w:numPr>
          <w:ilvl w:val="0"/>
          <w:numId w:val="19"/>
        </w:numPr>
        <w:shd w:val="clear" w:color="auto" w:fill="FFFFFF" w:themeFill="background1"/>
        <w:rPr>
          <w:rFonts w:eastAsia="Calibri"/>
          <w:lang w:eastAsia="en-AU"/>
        </w:rPr>
      </w:pPr>
      <w:r w:rsidRPr="00554A9E">
        <w:rPr>
          <w:rFonts w:eastAsia="Calibri"/>
          <w:lang w:eastAsia="en-AU"/>
        </w:rPr>
        <w:t xml:space="preserve">‘licensed premises’ means premises to which a licence under the </w:t>
      </w:r>
      <w:r w:rsidRPr="00554A9E">
        <w:rPr>
          <w:rFonts w:eastAsia="Calibri"/>
          <w:i/>
          <w:lang w:eastAsia="en-AU"/>
        </w:rPr>
        <w:t>Liquor Act 2019</w:t>
      </w:r>
      <w:r>
        <w:rPr>
          <w:rFonts w:eastAsia="Calibri"/>
          <w:lang w:eastAsia="en-AU"/>
        </w:rPr>
        <w:t xml:space="preserve"> </w:t>
      </w:r>
      <w:r w:rsidRPr="00554A9E">
        <w:rPr>
          <w:rFonts w:eastAsia="Calibri"/>
          <w:lang w:eastAsia="en-AU"/>
        </w:rPr>
        <w:t>relate, and ‘minor’ means a person who has not attained the age of 18 years.</w:t>
      </w:r>
    </w:p>
    <w:p w:rsidR="00554A9E" w:rsidRPr="00554A9E" w:rsidRDefault="00554A9E" w:rsidP="00CD03C8">
      <w:pPr>
        <w:pStyle w:val="ListParagraph"/>
        <w:numPr>
          <w:ilvl w:val="0"/>
          <w:numId w:val="19"/>
        </w:numPr>
        <w:shd w:val="clear" w:color="auto" w:fill="FFFFFF" w:themeFill="background1"/>
        <w:rPr>
          <w:rFonts w:eastAsia="Calibri"/>
          <w:lang w:eastAsia="en-AU"/>
        </w:rPr>
      </w:pPr>
      <w:r w:rsidRPr="00554A9E">
        <w:rPr>
          <w:rFonts w:eastAsia="Calibri"/>
          <w:lang w:eastAsia="en-AU"/>
        </w:rPr>
        <w:t>Relevant legislation provisions as at the time of the making of this code may be changed by legislative amendment and any such changes may not be included in the copy you are reading.</w:t>
      </w:r>
    </w:p>
    <w:p w:rsidR="00873675" w:rsidRPr="00873675" w:rsidRDefault="00873675" w:rsidP="00873675">
      <w:pPr>
        <w:spacing w:before="100" w:beforeAutospacing="1" w:after="100" w:afterAutospacing="1"/>
        <w:rPr>
          <w:lang w:eastAsia="en-AU"/>
        </w:rPr>
      </w:pPr>
    </w:p>
    <w:p w:rsidR="00873675" w:rsidRPr="00873675" w:rsidRDefault="00873675" w:rsidP="00873675">
      <w:pPr>
        <w:pStyle w:val="ListParagraph"/>
        <w:shd w:val="clear" w:color="auto" w:fill="FFFFFF" w:themeFill="background1"/>
        <w:ind w:left="426"/>
        <w:rPr>
          <w:rFonts w:eastAsia="Calibri"/>
          <w:lang w:eastAsia="en-AU"/>
        </w:rPr>
      </w:pPr>
    </w:p>
    <w:p w:rsidR="00726479" w:rsidRDefault="00726479" w:rsidP="00CD03C8">
      <w:pPr>
        <w:pStyle w:val="Heading2"/>
        <w:numPr>
          <w:ilvl w:val="0"/>
          <w:numId w:val="13"/>
        </w:numPr>
        <w:rPr>
          <w:lang w:eastAsia="en-AU"/>
        </w:rPr>
      </w:pPr>
      <w:r>
        <w:rPr>
          <w:lang w:eastAsia="en-AU"/>
        </w:rPr>
        <w:lastRenderedPageBreak/>
        <w:t>Professional standards of conduct</w:t>
      </w:r>
    </w:p>
    <w:tbl>
      <w:tblPr>
        <w:tblStyle w:val="TableGrid"/>
        <w:tblW w:w="10787" w:type="dxa"/>
        <w:tblInd w:w="-142" w:type="dxa"/>
        <w:tblLook w:val="04A0" w:firstRow="1" w:lastRow="0" w:firstColumn="1" w:lastColumn="0" w:noHBand="0" w:noVBand="1"/>
      </w:tblPr>
      <w:tblGrid>
        <w:gridCol w:w="1843"/>
        <w:gridCol w:w="1081"/>
        <w:gridCol w:w="1177"/>
        <w:gridCol w:w="3731"/>
        <w:gridCol w:w="1231"/>
        <w:gridCol w:w="1724"/>
      </w:tblGrid>
      <w:tr w:rsidR="00726479" w:rsidRPr="002B3BDC" w:rsidTr="00E70180">
        <w:trPr>
          <w:trHeight w:val="66"/>
        </w:trPr>
        <w:tc>
          <w:tcPr>
            <w:tcW w:w="107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26479" w:rsidRPr="002B3BDC" w:rsidRDefault="00726479" w:rsidP="00E70180">
            <w:pPr>
              <w:keepNext/>
              <w:spacing w:before="60" w:after="60"/>
              <w:rPr>
                <w:rFonts w:cs="Arial"/>
                <w:b/>
              </w:rPr>
            </w:pPr>
            <w:r>
              <w:rPr>
                <w:rFonts w:cs="Arial"/>
                <w:b/>
              </w:rPr>
              <w:t>Licence holder</w:t>
            </w:r>
            <w:r w:rsidRPr="002B3BDC">
              <w:rPr>
                <w:rFonts w:cs="Arial"/>
                <w:b/>
              </w:rPr>
              <w:t xml:space="preserve"> declaration </w:t>
            </w:r>
          </w:p>
        </w:tc>
      </w:tr>
      <w:tr w:rsidR="00726479" w:rsidRPr="002B3BDC" w:rsidTr="00E70180">
        <w:trPr>
          <w:trHeight w:val="66"/>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keepNext/>
              <w:spacing w:before="60" w:after="60"/>
              <w:rPr>
                <w:rStyle w:val="Questionlabel"/>
                <w:b w:val="0"/>
              </w:rPr>
            </w:pPr>
            <w:r w:rsidRPr="00726479">
              <w:rPr>
                <w:rStyle w:val="Questionlabel"/>
                <w:b w:val="0"/>
              </w:rPr>
              <w:t>I, (full name):</w:t>
            </w:r>
          </w:p>
        </w:tc>
        <w:tc>
          <w:tcPr>
            <w:tcW w:w="89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2B3BDC" w:rsidRDefault="00726479" w:rsidP="00E70180">
            <w:pPr>
              <w:keepNext/>
              <w:spacing w:before="60" w:after="60"/>
              <w:rPr>
                <w:rFonts w:cs="Arial"/>
                <w:b/>
              </w:rPr>
            </w:pPr>
          </w:p>
        </w:tc>
      </w:tr>
      <w:tr w:rsidR="00726479" w:rsidRPr="002B3BDC" w:rsidTr="00E70180">
        <w:trPr>
          <w:trHeight w:val="66"/>
        </w:trPr>
        <w:tc>
          <w:tcPr>
            <w:tcW w:w="1843" w:type="dxa"/>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keepNext/>
              <w:spacing w:before="60" w:after="60"/>
              <w:rPr>
                <w:rStyle w:val="Questionlabel"/>
                <w:b w:val="0"/>
              </w:rPr>
            </w:pPr>
            <w:r w:rsidRPr="00726479">
              <w:rPr>
                <w:rStyle w:val="Questionlabel"/>
                <w:b w:val="0"/>
              </w:rPr>
              <w:t>Of (address):</w:t>
            </w:r>
          </w:p>
        </w:tc>
        <w:tc>
          <w:tcPr>
            <w:tcW w:w="894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2B3BDC" w:rsidRDefault="00726479" w:rsidP="00E70180">
            <w:pPr>
              <w:keepNext/>
              <w:spacing w:before="60" w:after="60"/>
              <w:rPr>
                <w:rFonts w:cs="Arial"/>
                <w:b/>
              </w:rPr>
            </w:pPr>
          </w:p>
        </w:tc>
      </w:tr>
      <w:tr w:rsidR="00726479" w:rsidRPr="00567473" w:rsidTr="00E70180">
        <w:trPr>
          <w:trHeight w:val="66"/>
        </w:trPr>
        <w:tc>
          <w:tcPr>
            <w:tcW w:w="107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26479" w:rsidRPr="00567473" w:rsidRDefault="00726479" w:rsidP="00E70180">
            <w:pPr>
              <w:keepNext/>
              <w:spacing w:before="60" w:after="60"/>
            </w:pPr>
            <w:r w:rsidRPr="00567473">
              <w:t xml:space="preserve">Solemnly and sincerely declare that: </w:t>
            </w:r>
          </w:p>
          <w:p w:rsidR="00726479" w:rsidRPr="00726479" w:rsidRDefault="00726479" w:rsidP="00CD03C8">
            <w:pPr>
              <w:pStyle w:val="ListParagraph"/>
              <w:keepNext/>
              <w:numPr>
                <w:ilvl w:val="0"/>
                <w:numId w:val="11"/>
              </w:numPr>
              <w:spacing w:before="60" w:after="60"/>
              <w:rPr>
                <w:rFonts w:cs="Arial"/>
              </w:rPr>
            </w:pPr>
            <w:r w:rsidRPr="00726479">
              <w:rPr>
                <w:rFonts w:cs="Arial"/>
              </w:rPr>
              <w:t xml:space="preserve">I have read and understood the </w:t>
            </w:r>
            <w:r w:rsidR="00554A9E" w:rsidRPr="00726479">
              <w:rPr>
                <w:rFonts w:cs="Arial"/>
              </w:rPr>
              <w:t xml:space="preserve">code of practice </w:t>
            </w:r>
            <w:r w:rsidRPr="00726479">
              <w:rPr>
                <w:rFonts w:cs="Arial"/>
              </w:rPr>
              <w:t xml:space="preserve">for </w:t>
            </w:r>
            <w:r w:rsidR="00554A9E">
              <w:rPr>
                <w:rFonts w:cs="Arial"/>
              </w:rPr>
              <w:t>crowd controllers</w:t>
            </w:r>
            <w:r w:rsidRPr="00726479">
              <w:rPr>
                <w:rFonts w:cs="Arial"/>
              </w:rPr>
              <w:t xml:space="preserve"> and understand that breaches of the Code of Practice will be addressed to the Director Private Security Regulation for disciplinary action and that breaches of the </w:t>
            </w:r>
            <w:r w:rsidRPr="00726479">
              <w:rPr>
                <w:rFonts w:cs="Arial"/>
                <w:i/>
              </w:rPr>
              <w:t>Summary Offences Act</w:t>
            </w:r>
            <w:r w:rsidR="00554A9E" w:rsidRPr="00554A9E">
              <w:rPr>
                <w:rFonts w:cs="Arial"/>
                <w:i/>
              </w:rPr>
              <w:t xml:space="preserve"> 1923</w:t>
            </w:r>
            <w:r w:rsidRPr="00726479">
              <w:rPr>
                <w:rFonts w:cs="Arial"/>
              </w:rPr>
              <w:t xml:space="preserve"> or </w:t>
            </w:r>
            <w:r w:rsidRPr="00726479">
              <w:rPr>
                <w:rFonts w:cs="Arial"/>
                <w:i/>
              </w:rPr>
              <w:t>Criminal Code</w:t>
            </w:r>
            <w:r w:rsidR="00554A9E" w:rsidRPr="00554A9E">
              <w:rPr>
                <w:rFonts w:cs="Arial"/>
                <w:i/>
              </w:rPr>
              <w:t xml:space="preserve"> 1983</w:t>
            </w:r>
            <w:r w:rsidRPr="00726479">
              <w:rPr>
                <w:rFonts w:cs="Arial"/>
              </w:rPr>
              <w:t xml:space="preserve"> will be further actioned under the provisions of those Acts.</w:t>
            </w:r>
          </w:p>
          <w:p w:rsidR="00726479" w:rsidRPr="00567473" w:rsidRDefault="00726479" w:rsidP="00CD03C8">
            <w:pPr>
              <w:pStyle w:val="ListParagraph"/>
              <w:keepNext/>
              <w:numPr>
                <w:ilvl w:val="0"/>
                <w:numId w:val="11"/>
              </w:numPr>
              <w:spacing w:before="60" w:after="60"/>
              <w:rPr>
                <w:rFonts w:cs="Arial"/>
                <w:b/>
              </w:rPr>
            </w:pPr>
            <w:r w:rsidRPr="00567473">
              <w:rPr>
                <w:rFonts w:cs="Arial"/>
              </w:rPr>
              <w:t>This declaration is true and correct; and</w:t>
            </w:r>
          </w:p>
          <w:p w:rsidR="00726479" w:rsidRPr="00567473" w:rsidRDefault="00726479" w:rsidP="00CD03C8">
            <w:pPr>
              <w:pStyle w:val="ListParagraph"/>
              <w:keepNext/>
              <w:numPr>
                <w:ilvl w:val="0"/>
                <w:numId w:val="11"/>
              </w:numPr>
              <w:spacing w:before="60" w:after="60"/>
              <w:rPr>
                <w:rFonts w:cs="Arial"/>
                <w:b/>
              </w:rPr>
            </w:pPr>
            <w:r w:rsidRPr="00567473">
              <w:rPr>
                <w:rFonts w:cs="Arial"/>
              </w:rPr>
              <w:t>I know that it is an offence to make a declaration that is false in any material particular.</w:t>
            </w:r>
          </w:p>
        </w:tc>
      </w:tr>
      <w:tr w:rsidR="00726479" w:rsidRPr="002B3BDC" w:rsidTr="00726479">
        <w:trPr>
          <w:trHeight w:val="66"/>
        </w:trPr>
        <w:tc>
          <w:tcPr>
            <w:tcW w:w="4101"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spacing w:before="60" w:after="60"/>
              <w:rPr>
                <w:rStyle w:val="Questionlabel"/>
                <w:b w:val="0"/>
              </w:rPr>
            </w:pPr>
            <w:r w:rsidRPr="00726479">
              <w:rPr>
                <w:rStyle w:val="Questionlabel"/>
                <w:b w:val="0"/>
              </w:rPr>
              <w:t>This declaration was made at (location):</w:t>
            </w:r>
          </w:p>
        </w:tc>
        <w:tc>
          <w:tcPr>
            <w:tcW w:w="37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726479" w:rsidRPr="00726479" w:rsidRDefault="00726479" w:rsidP="00E70180">
            <w:pPr>
              <w:spacing w:before="60" w:after="60"/>
              <w:rPr>
                <w:rFonts w:cs="Arial"/>
              </w:rPr>
            </w:pPr>
          </w:p>
        </w:tc>
        <w:tc>
          <w:tcPr>
            <w:tcW w:w="12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spacing w:before="60" w:after="60"/>
              <w:rPr>
                <w:rStyle w:val="Questionlabel"/>
                <w:b w:val="0"/>
              </w:rPr>
            </w:pPr>
            <w:r w:rsidRPr="00726479">
              <w:rPr>
                <w:rStyle w:val="Questionlabel"/>
                <w:b w:val="0"/>
              </w:rPr>
              <w:t>On (date):</w:t>
            </w:r>
          </w:p>
        </w:tc>
        <w:tc>
          <w:tcPr>
            <w:tcW w:w="1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726479" w:rsidRDefault="00726479" w:rsidP="00E70180">
            <w:pPr>
              <w:spacing w:before="60" w:after="60"/>
              <w:rPr>
                <w:rFonts w:cs="Arial"/>
              </w:rPr>
            </w:pPr>
          </w:p>
        </w:tc>
      </w:tr>
      <w:tr w:rsidR="00726479" w:rsidRPr="002B3BDC" w:rsidTr="00E70180">
        <w:trPr>
          <w:trHeight w:val="66"/>
        </w:trPr>
        <w:tc>
          <w:tcPr>
            <w:tcW w:w="2924"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26479" w:rsidRPr="00726479" w:rsidRDefault="00726479" w:rsidP="00E70180">
            <w:pPr>
              <w:spacing w:before="60" w:after="60"/>
              <w:rPr>
                <w:rStyle w:val="Questionlabel"/>
                <w:b w:val="0"/>
              </w:rPr>
            </w:pPr>
            <w:r w:rsidRPr="00726479">
              <w:rPr>
                <w:rStyle w:val="Questionlabel"/>
                <w:b w:val="0"/>
              </w:rPr>
              <w:t>Licence holder signature:</w:t>
            </w:r>
          </w:p>
        </w:tc>
        <w:tc>
          <w:tcPr>
            <w:tcW w:w="78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726479" w:rsidRPr="00726479" w:rsidRDefault="00726479" w:rsidP="00E70180">
            <w:pPr>
              <w:spacing w:before="120" w:after="120"/>
              <w:rPr>
                <w:rFonts w:cs="Arial"/>
              </w:rPr>
            </w:pPr>
          </w:p>
        </w:tc>
      </w:tr>
      <w:tr w:rsidR="00726479" w:rsidRPr="002B3BDC" w:rsidTr="00E70180">
        <w:trPr>
          <w:trHeight w:val="66"/>
        </w:trPr>
        <w:tc>
          <w:tcPr>
            <w:tcW w:w="1078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26479" w:rsidRPr="002B3BDC" w:rsidRDefault="00726479" w:rsidP="00E70180">
            <w:pPr>
              <w:spacing w:before="60" w:after="60"/>
              <w:rPr>
                <w:rFonts w:cs="Arial"/>
                <w:b/>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bl>
    <w:p w:rsidR="00726479" w:rsidRPr="00160C9D" w:rsidRDefault="00726479" w:rsidP="00A72AB3">
      <w:pPr>
        <w:ind w:left="284"/>
        <w:jc w:val="both"/>
      </w:pPr>
    </w:p>
    <w:sectPr w:rsidR="00726479" w:rsidRPr="00160C9D" w:rsidSect="00160C9D">
      <w:headerReference w:type="default" r:id="rId10"/>
      <w:footerReference w:type="default" r:id="rId11"/>
      <w:headerReference w:type="first" r:id="rId12"/>
      <w:footerReference w:type="first" r:id="rId13"/>
      <w:pgSz w:w="11906" w:h="16838" w:code="9"/>
      <w:pgMar w:top="794" w:right="794" w:bottom="794" w:left="794" w:header="794"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F0" w:rsidRDefault="001B2DF0" w:rsidP="007332FF">
      <w:r>
        <w:separator/>
      </w:r>
    </w:p>
  </w:endnote>
  <w:endnote w:type="continuationSeparator" w:id="0">
    <w:p w:rsidR="001B2DF0" w:rsidRDefault="001B2DF0"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96655" w:rsidRPr="00132658" w:rsidTr="001D258A">
      <w:trPr>
        <w:cantSplit/>
        <w:trHeight w:hRule="exact" w:val="567"/>
      </w:trPr>
      <w:tc>
        <w:tcPr>
          <w:tcW w:w="10318" w:type="dxa"/>
          <w:vAlign w:val="bottom"/>
        </w:tcPr>
        <w:p w:rsidR="00996655" w:rsidRPr="00750D2F" w:rsidRDefault="00996655" w:rsidP="00996655">
          <w:pPr>
            <w:spacing w:after="0"/>
            <w:rPr>
              <w:rStyle w:val="PageNumber"/>
            </w:rPr>
          </w:pPr>
          <w:r w:rsidRPr="00750D2F">
            <w:rPr>
              <w:rStyle w:val="PageNumber"/>
            </w:rPr>
            <w:t xml:space="preserve">Department of </w:t>
          </w:r>
          <w:sdt>
            <w:sdtPr>
              <w:rPr>
                <w:rStyle w:val="PageNumber"/>
                <w:b/>
              </w:rPr>
              <w:alias w:val="Company"/>
              <w:tag w:val=""/>
              <w:id w:val="310921806"/>
              <w:placeholder>
                <w:docPart w:val="AA8BC7FD3DBD49079BE531A63D591484"/>
              </w:placeholder>
              <w:dataBinding w:prefixMappings="xmlns:ns0='http://schemas.openxmlformats.org/officeDocument/2006/extended-properties' " w:xpath="/ns0:Properties[1]/ns0:Company[1]" w:storeItemID="{6668398D-A668-4E3E-A5EB-62B293D839F1}"/>
              <w15:color w:val="000000"/>
              <w:text w:multiLine="1"/>
            </w:sdtPr>
            <w:sdtEndPr>
              <w:rPr>
                <w:rStyle w:val="PageNumber"/>
              </w:rPr>
            </w:sdtEndPr>
            <w:sdtContent>
              <w:r w:rsidR="00726479">
                <w:rPr>
                  <w:rStyle w:val="PageNumber"/>
                  <w:b/>
                </w:rPr>
                <w:t>Department of Industry, Tourism and Trade</w:t>
              </w:r>
            </w:sdtContent>
          </w:sdt>
          <w:r w:rsidR="00592E78" w:rsidRPr="00750D2F">
            <w:rPr>
              <w:rStyle w:val="PageNumber"/>
            </w:rPr>
            <w:t xml:space="preserve"> </w:t>
          </w:r>
          <w:r w:rsidR="00726479">
            <w:rPr>
              <w:rStyle w:val="PageNumber"/>
            </w:rPr>
            <w:t>–</w:t>
          </w:r>
          <w:r w:rsidR="00592E78" w:rsidRPr="00750D2F">
            <w:rPr>
              <w:rStyle w:val="PageNumber"/>
            </w:rPr>
            <w:t xml:space="preserve"> </w:t>
          </w:r>
          <w:r w:rsidR="00726479">
            <w:rPr>
              <w:rStyle w:val="PageNumber"/>
            </w:rPr>
            <w:t>Occupational Licensing and Associations</w:t>
          </w:r>
        </w:p>
        <w:p w:rsidR="00996655" w:rsidRPr="00AC4488" w:rsidRDefault="00996655"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B3AEC">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B3AEC">
            <w:rPr>
              <w:rStyle w:val="PageNumber"/>
              <w:noProof/>
            </w:rPr>
            <w:t>5</w:t>
          </w:r>
          <w:r w:rsidRPr="00AC4488">
            <w:rPr>
              <w:rStyle w:val="PageNumber"/>
            </w:rPr>
            <w:fldChar w:fldCharType="end"/>
          </w:r>
        </w:p>
      </w:tc>
    </w:tr>
  </w:tbl>
  <w:p w:rsidR="00CA36A0" w:rsidRPr="00996655" w:rsidRDefault="00CA36A0" w:rsidP="00996655">
    <w:pPr>
      <w:pStyle w:val="Hidden"/>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655" w:rsidRDefault="00996655"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C0326E" w:rsidRPr="00132658" w:rsidTr="008921B4">
      <w:trPr>
        <w:cantSplit/>
        <w:trHeight w:hRule="exact" w:val="1134"/>
      </w:trPr>
      <w:tc>
        <w:tcPr>
          <w:tcW w:w="7767" w:type="dxa"/>
          <w:vAlign w:val="bottom"/>
        </w:tcPr>
        <w:p w:rsidR="00901430" w:rsidRDefault="00901430" w:rsidP="00C0326E">
          <w:pPr>
            <w:spacing w:after="0"/>
            <w:rPr>
              <w:rStyle w:val="PageNumber"/>
            </w:rPr>
          </w:pPr>
          <w:r>
            <w:rPr>
              <w:rStyle w:val="PageNumber"/>
            </w:rPr>
            <w:t xml:space="preserve">Department of </w:t>
          </w:r>
          <w:r w:rsidR="00160C9D">
            <w:rPr>
              <w:b/>
              <w:sz w:val="19"/>
              <w:szCs w:val="19"/>
            </w:rPr>
            <w:t>Industry, Tourism and Trade</w:t>
          </w:r>
          <w:r w:rsidR="00592E78">
            <w:rPr>
              <w:rStyle w:val="PageNumber"/>
            </w:rPr>
            <w:t xml:space="preserve"> </w:t>
          </w:r>
          <w:r w:rsidR="00160C9D">
            <w:rPr>
              <w:rStyle w:val="PageNumber"/>
            </w:rPr>
            <w:t>–</w:t>
          </w:r>
          <w:r>
            <w:rPr>
              <w:rStyle w:val="PageNumber"/>
            </w:rPr>
            <w:t xml:space="preserve"> </w:t>
          </w:r>
          <w:r w:rsidR="00160C9D">
            <w:rPr>
              <w:rStyle w:val="PageNumber"/>
            </w:rPr>
            <w:t>Occupational Licensing and Associations</w:t>
          </w:r>
        </w:p>
        <w:p w:rsidR="00160C9D" w:rsidRPr="00901430" w:rsidRDefault="001B2DF0" w:rsidP="00C0326E">
          <w:pPr>
            <w:spacing w:after="0"/>
            <w:rPr>
              <w:rStyle w:val="PageNumber"/>
            </w:rPr>
          </w:pPr>
          <w:sdt>
            <w:sdtPr>
              <w:rPr>
                <w:rStyle w:val="PageNumber"/>
              </w:rPr>
              <w:id w:val="-2025162393"/>
              <w:placeholder>
                <w:docPart w:val="DefaultPlaceholder_-1854013438"/>
              </w:placeholder>
              <w:date w:fullDate="2023-08-02T00:00:00Z">
                <w:dateFormat w:val="d/MM/yyyy"/>
                <w:lid w:val="en-AU"/>
                <w:storeMappedDataAs w:val="dateTime"/>
                <w:calendar w:val="gregorian"/>
              </w:date>
            </w:sdtPr>
            <w:sdtEndPr>
              <w:rPr>
                <w:rStyle w:val="PageNumber"/>
              </w:rPr>
            </w:sdtEndPr>
            <w:sdtContent>
              <w:r w:rsidR="00160C9D">
                <w:rPr>
                  <w:rStyle w:val="PageNumber"/>
                </w:rPr>
                <w:t>2/08/2023</w:t>
              </w:r>
            </w:sdtContent>
          </w:sdt>
          <w:r w:rsidR="00160C9D">
            <w:rPr>
              <w:rStyle w:val="PageNumber"/>
            </w:rPr>
            <w:t xml:space="preserve"> I Version 2.0</w:t>
          </w:r>
        </w:p>
        <w:p w:rsidR="00C0326E" w:rsidRPr="00CE30CF" w:rsidRDefault="00C0326E"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6B3AEC">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6B3AEC">
            <w:rPr>
              <w:rStyle w:val="PageNumber"/>
              <w:noProof/>
            </w:rPr>
            <w:t>5</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C0326E" w:rsidRPr="001E14EB" w:rsidRDefault="00C0326E" w:rsidP="00C0326E">
          <w:pPr>
            <w:spacing w:after="0"/>
            <w:jc w:val="right"/>
          </w:pPr>
          <w:r>
            <w:rPr>
              <w:noProof/>
              <w:lang w:eastAsia="en-AU"/>
            </w:rPr>
            <w:drawing>
              <wp:inline distT="0" distB="0" distL="0" distR="0" wp14:anchorId="66058055" wp14:editId="7C1937C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F7362" w:rsidRPr="00661BE1" w:rsidRDefault="00EF7362"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F0" w:rsidRDefault="001B2DF0" w:rsidP="007332FF">
      <w:r>
        <w:separator/>
      </w:r>
    </w:p>
  </w:footnote>
  <w:footnote w:type="continuationSeparator" w:id="0">
    <w:p w:rsidR="001B2DF0" w:rsidRDefault="001B2DF0"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1B2DF0"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6B3AEC">
          <w:t>Code of practice for crowd controllers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F1" w:rsidRPr="00F862CC" w:rsidRDefault="00160C9D" w:rsidP="00EB164C">
    <w:pPr>
      <w:pStyle w:val="Subtitle0"/>
      <w:rPr>
        <w:i/>
        <w:sz w:val="28"/>
      </w:rPr>
    </w:pPr>
    <w:r w:rsidRPr="00F862CC">
      <w:rPr>
        <w:i/>
        <w:sz w:val="28"/>
      </w:rPr>
      <w:t>Private Security Act 1995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567"/>
    <w:multiLevelType w:val="hybridMultilevel"/>
    <w:tmpl w:val="AF7CC87A"/>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0E0240F"/>
    <w:multiLevelType w:val="hybridMultilevel"/>
    <w:tmpl w:val="3F3C4A4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516B95"/>
    <w:multiLevelType w:val="multilevel"/>
    <w:tmpl w:val="42DED2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2C04CC"/>
    <w:multiLevelType w:val="multilevel"/>
    <w:tmpl w:val="DBB656A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A014902"/>
    <w:multiLevelType w:val="multilevel"/>
    <w:tmpl w:val="584816B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32B6B3C"/>
    <w:multiLevelType w:val="hybridMultilevel"/>
    <w:tmpl w:val="3F3C4A4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A92CDA"/>
    <w:multiLevelType w:val="hybridMultilevel"/>
    <w:tmpl w:val="B0B6C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F44DA"/>
    <w:multiLevelType w:val="multilevel"/>
    <w:tmpl w:val="3E5E177A"/>
    <w:name w:val="NTG Table Bullet List3222323"/>
    <w:numStyleLink w:val="Tablenumberlist"/>
  </w:abstractNum>
  <w:abstractNum w:abstractNumId="2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15:restartNumberingAfterBreak="0">
    <w:nsid w:val="3BE61945"/>
    <w:multiLevelType w:val="multilevel"/>
    <w:tmpl w:val="3928FD02"/>
    <w:name w:val="NTG Table Bullet List332222222222222222"/>
    <w:numStyleLink w:val="Bulletlist"/>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842BC6"/>
    <w:multiLevelType w:val="multilevel"/>
    <w:tmpl w:val="0C78A7AC"/>
    <w:numStyleLink w:val="Tablebulletlist"/>
  </w:abstractNum>
  <w:abstractNum w:abstractNumId="33" w15:restartNumberingAfterBreak="0">
    <w:nsid w:val="54B602A3"/>
    <w:multiLevelType w:val="hybridMultilevel"/>
    <w:tmpl w:val="1BEA5C3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51C530C"/>
    <w:multiLevelType w:val="hybridMultilevel"/>
    <w:tmpl w:val="AF7CC87A"/>
    <w:lvl w:ilvl="0" w:tplc="0C090017">
      <w:start w:val="1"/>
      <w:numFmt w:val="lowerLetter"/>
      <w:lvlText w:val="%1)"/>
      <w:lvlJc w:val="left"/>
      <w:pPr>
        <w:ind w:left="1440" w:hanging="360"/>
      </w:p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6FC82344"/>
    <w:multiLevelType w:val="hybridMultilevel"/>
    <w:tmpl w:val="368AA14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6"/>
  </w:num>
  <w:num w:numId="2">
    <w:abstractNumId w:val="16"/>
  </w:num>
  <w:num w:numId="3">
    <w:abstractNumId w:val="44"/>
  </w:num>
  <w:num w:numId="4">
    <w:abstractNumId w:val="29"/>
  </w:num>
  <w:num w:numId="5">
    <w:abstractNumId w:val="21"/>
  </w:num>
  <w:num w:numId="6">
    <w:abstractNumId w:val="11"/>
  </w:num>
  <w:num w:numId="7">
    <w:abstractNumId w:val="32"/>
  </w:num>
  <w:num w:numId="8">
    <w:abstractNumId w:val="20"/>
  </w:num>
  <w:num w:numId="9">
    <w:abstractNumId w:val="24"/>
  </w:num>
  <w:num w:numId="10">
    <w:abstractNumId w:val="33"/>
  </w:num>
  <w:num w:numId="11">
    <w:abstractNumId w:val="31"/>
  </w:num>
  <w:num w:numId="12">
    <w:abstractNumId w:val="35"/>
  </w:num>
  <w:num w:numId="13">
    <w:abstractNumId w:val="8"/>
  </w:num>
  <w:num w:numId="14">
    <w:abstractNumId w:val="6"/>
  </w:num>
  <w:num w:numId="15">
    <w:abstractNumId w:val="0"/>
  </w:num>
  <w:num w:numId="16">
    <w:abstractNumId w:val="12"/>
  </w:num>
  <w:num w:numId="17">
    <w:abstractNumId w:val="5"/>
  </w:num>
  <w:num w:numId="18">
    <w:abstractNumId w:val="17"/>
  </w:num>
  <w:num w:numId="19">
    <w:abstractNumId w:val="4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9D"/>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465F"/>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4404"/>
    <w:rsid w:val="001152F5"/>
    <w:rsid w:val="00117743"/>
    <w:rsid w:val="00117F5B"/>
    <w:rsid w:val="00127715"/>
    <w:rsid w:val="00132658"/>
    <w:rsid w:val="00147021"/>
    <w:rsid w:val="00150DC0"/>
    <w:rsid w:val="00156CD4"/>
    <w:rsid w:val="00160C9D"/>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2DF0"/>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6672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1FE9"/>
    <w:rsid w:val="002D3A57"/>
    <w:rsid w:val="002D7D05"/>
    <w:rsid w:val="002E20C8"/>
    <w:rsid w:val="002E4290"/>
    <w:rsid w:val="002E66A6"/>
    <w:rsid w:val="002F0DB1"/>
    <w:rsid w:val="002F2885"/>
    <w:rsid w:val="002F45A1"/>
    <w:rsid w:val="002F525F"/>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E59DB"/>
    <w:rsid w:val="003F5B58"/>
    <w:rsid w:val="0040222A"/>
    <w:rsid w:val="004047BC"/>
    <w:rsid w:val="004100F7"/>
    <w:rsid w:val="00414CB3"/>
    <w:rsid w:val="0041563D"/>
    <w:rsid w:val="00426E25"/>
    <w:rsid w:val="00427D9C"/>
    <w:rsid w:val="00427E7E"/>
    <w:rsid w:val="0043465D"/>
    <w:rsid w:val="00443B6E"/>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3ACC"/>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4A9E"/>
    <w:rsid w:val="00556113"/>
    <w:rsid w:val="00564C12"/>
    <w:rsid w:val="005654B8"/>
    <w:rsid w:val="005762CC"/>
    <w:rsid w:val="00582D3D"/>
    <w:rsid w:val="00590040"/>
    <w:rsid w:val="00592E78"/>
    <w:rsid w:val="00595386"/>
    <w:rsid w:val="00597234"/>
    <w:rsid w:val="005A4AC0"/>
    <w:rsid w:val="005A5FDF"/>
    <w:rsid w:val="005B0FB7"/>
    <w:rsid w:val="005B122A"/>
    <w:rsid w:val="005B1FCB"/>
    <w:rsid w:val="005B5AC2"/>
    <w:rsid w:val="005C2833"/>
    <w:rsid w:val="005E144D"/>
    <w:rsid w:val="005E1500"/>
    <w:rsid w:val="005E3A43"/>
    <w:rsid w:val="005E3FC4"/>
    <w:rsid w:val="005F0B17"/>
    <w:rsid w:val="005F77C7"/>
    <w:rsid w:val="006203D3"/>
    <w:rsid w:val="00620675"/>
    <w:rsid w:val="00622910"/>
    <w:rsid w:val="006254B6"/>
    <w:rsid w:val="00627FC8"/>
    <w:rsid w:val="006433C3"/>
    <w:rsid w:val="00650F5B"/>
    <w:rsid w:val="006670D7"/>
    <w:rsid w:val="006719EA"/>
    <w:rsid w:val="00671F13"/>
    <w:rsid w:val="0067400A"/>
    <w:rsid w:val="006847AD"/>
    <w:rsid w:val="0069114B"/>
    <w:rsid w:val="006944C1"/>
    <w:rsid w:val="006A2F2D"/>
    <w:rsid w:val="006A756A"/>
    <w:rsid w:val="006B3AEC"/>
    <w:rsid w:val="006D66F7"/>
    <w:rsid w:val="00705C9D"/>
    <w:rsid w:val="00705F13"/>
    <w:rsid w:val="00714F1D"/>
    <w:rsid w:val="00715225"/>
    <w:rsid w:val="00720CC6"/>
    <w:rsid w:val="00722DDB"/>
    <w:rsid w:val="00724728"/>
    <w:rsid w:val="00724F98"/>
    <w:rsid w:val="00726479"/>
    <w:rsid w:val="00730B9B"/>
    <w:rsid w:val="0073182E"/>
    <w:rsid w:val="007332FF"/>
    <w:rsid w:val="007408F5"/>
    <w:rsid w:val="00741EAE"/>
    <w:rsid w:val="00750D2F"/>
    <w:rsid w:val="00755248"/>
    <w:rsid w:val="0076190B"/>
    <w:rsid w:val="00763448"/>
    <w:rsid w:val="0076355D"/>
    <w:rsid w:val="00763A2D"/>
    <w:rsid w:val="007670BC"/>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128D"/>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37842"/>
    <w:rsid w:val="00842838"/>
    <w:rsid w:val="00854EC1"/>
    <w:rsid w:val="0085797F"/>
    <w:rsid w:val="00861DC3"/>
    <w:rsid w:val="00867019"/>
    <w:rsid w:val="00872EF1"/>
    <w:rsid w:val="008735A9"/>
    <w:rsid w:val="00873675"/>
    <w:rsid w:val="00877BC5"/>
    <w:rsid w:val="00877D20"/>
    <w:rsid w:val="00881C48"/>
    <w:rsid w:val="00885B80"/>
    <w:rsid w:val="00885C30"/>
    <w:rsid w:val="00885E9B"/>
    <w:rsid w:val="00893C96"/>
    <w:rsid w:val="0089500A"/>
    <w:rsid w:val="00897C94"/>
    <w:rsid w:val="008A7C12"/>
    <w:rsid w:val="008B03CE"/>
    <w:rsid w:val="008B529E"/>
    <w:rsid w:val="008C0D34"/>
    <w:rsid w:val="008C17FB"/>
    <w:rsid w:val="008C70BB"/>
    <w:rsid w:val="008D1B00"/>
    <w:rsid w:val="008D278B"/>
    <w:rsid w:val="008D57B8"/>
    <w:rsid w:val="008E03FC"/>
    <w:rsid w:val="008E510B"/>
    <w:rsid w:val="008F30DE"/>
    <w:rsid w:val="008F422B"/>
    <w:rsid w:val="00901430"/>
    <w:rsid w:val="00902B13"/>
    <w:rsid w:val="00911941"/>
    <w:rsid w:val="0092024D"/>
    <w:rsid w:val="00925146"/>
    <w:rsid w:val="00925F0F"/>
    <w:rsid w:val="00932F6B"/>
    <w:rsid w:val="009468BC"/>
    <w:rsid w:val="00947FAE"/>
    <w:rsid w:val="00953762"/>
    <w:rsid w:val="009616DF"/>
    <w:rsid w:val="00963E4F"/>
    <w:rsid w:val="0096542F"/>
    <w:rsid w:val="00967FA7"/>
    <w:rsid w:val="00971645"/>
    <w:rsid w:val="00977919"/>
    <w:rsid w:val="00983000"/>
    <w:rsid w:val="009870FA"/>
    <w:rsid w:val="009921C3"/>
    <w:rsid w:val="0099551D"/>
    <w:rsid w:val="00996655"/>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3B58"/>
    <w:rsid w:val="00A25193"/>
    <w:rsid w:val="00A26E80"/>
    <w:rsid w:val="00A31AE8"/>
    <w:rsid w:val="00A3739D"/>
    <w:rsid w:val="00A37DDA"/>
    <w:rsid w:val="00A45005"/>
    <w:rsid w:val="00A55A62"/>
    <w:rsid w:val="00A66857"/>
    <w:rsid w:val="00A72AB3"/>
    <w:rsid w:val="00A76790"/>
    <w:rsid w:val="00A925EC"/>
    <w:rsid w:val="00A929AA"/>
    <w:rsid w:val="00A92B6B"/>
    <w:rsid w:val="00AA541E"/>
    <w:rsid w:val="00AB5413"/>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87BBA"/>
    <w:rsid w:val="00B92F9B"/>
    <w:rsid w:val="00B93DB1"/>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2D5D"/>
    <w:rsid w:val="00BF5099"/>
    <w:rsid w:val="00C0326E"/>
    <w:rsid w:val="00C10F10"/>
    <w:rsid w:val="00C15D4D"/>
    <w:rsid w:val="00C175DC"/>
    <w:rsid w:val="00C30171"/>
    <w:rsid w:val="00C309D8"/>
    <w:rsid w:val="00C322B4"/>
    <w:rsid w:val="00C357F6"/>
    <w:rsid w:val="00C43519"/>
    <w:rsid w:val="00C45263"/>
    <w:rsid w:val="00C51537"/>
    <w:rsid w:val="00C52BC3"/>
    <w:rsid w:val="00C55B5A"/>
    <w:rsid w:val="00C61AFA"/>
    <w:rsid w:val="00C61D64"/>
    <w:rsid w:val="00C62099"/>
    <w:rsid w:val="00C64EA3"/>
    <w:rsid w:val="00C72867"/>
    <w:rsid w:val="00C75E81"/>
    <w:rsid w:val="00C86609"/>
    <w:rsid w:val="00C92B4C"/>
    <w:rsid w:val="00C92C5E"/>
    <w:rsid w:val="00C954F6"/>
    <w:rsid w:val="00CA36A0"/>
    <w:rsid w:val="00CA6BC5"/>
    <w:rsid w:val="00CC571B"/>
    <w:rsid w:val="00CC61CD"/>
    <w:rsid w:val="00CC6C02"/>
    <w:rsid w:val="00CC737B"/>
    <w:rsid w:val="00CD03C8"/>
    <w:rsid w:val="00CD5011"/>
    <w:rsid w:val="00CE640F"/>
    <w:rsid w:val="00CE76BC"/>
    <w:rsid w:val="00CF540E"/>
    <w:rsid w:val="00D02F07"/>
    <w:rsid w:val="00D15D88"/>
    <w:rsid w:val="00D27EBE"/>
    <w:rsid w:val="00D36A49"/>
    <w:rsid w:val="00D517C6"/>
    <w:rsid w:val="00D61FD1"/>
    <w:rsid w:val="00D71D84"/>
    <w:rsid w:val="00D72464"/>
    <w:rsid w:val="00D72A57"/>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30E2"/>
    <w:rsid w:val="00DD4E59"/>
    <w:rsid w:val="00DD546B"/>
    <w:rsid w:val="00DE33B5"/>
    <w:rsid w:val="00DE5E18"/>
    <w:rsid w:val="00DF0487"/>
    <w:rsid w:val="00DF5EA4"/>
    <w:rsid w:val="00E02681"/>
    <w:rsid w:val="00E02792"/>
    <w:rsid w:val="00E034D8"/>
    <w:rsid w:val="00E04CC0"/>
    <w:rsid w:val="00E152A3"/>
    <w:rsid w:val="00E15816"/>
    <w:rsid w:val="00E160D5"/>
    <w:rsid w:val="00E239FF"/>
    <w:rsid w:val="00E27D7B"/>
    <w:rsid w:val="00E30556"/>
    <w:rsid w:val="00E30981"/>
    <w:rsid w:val="00E33136"/>
    <w:rsid w:val="00E34D7C"/>
    <w:rsid w:val="00E36941"/>
    <w:rsid w:val="00E3723D"/>
    <w:rsid w:val="00E44B8A"/>
    <w:rsid w:val="00E44C89"/>
    <w:rsid w:val="00E457A6"/>
    <w:rsid w:val="00E52375"/>
    <w:rsid w:val="00E61BA2"/>
    <w:rsid w:val="00E63864"/>
    <w:rsid w:val="00E6403F"/>
    <w:rsid w:val="00E75451"/>
    <w:rsid w:val="00E770C4"/>
    <w:rsid w:val="00E84C5A"/>
    <w:rsid w:val="00E861DB"/>
    <w:rsid w:val="00E908F1"/>
    <w:rsid w:val="00E93406"/>
    <w:rsid w:val="00E9402C"/>
    <w:rsid w:val="00E956C5"/>
    <w:rsid w:val="00E95C39"/>
    <w:rsid w:val="00EA2C39"/>
    <w:rsid w:val="00EB0A3C"/>
    <w:rsid w:val="00EB0A96"/>
    <w:rsid w:val="00EB164C"/>
    <w:rsid w:val="00EB1D82"/>
    <w:rsid w:val="00EB77F9"/>
    <w:rsid w:val="00EC46CB"/>
    <w:rsid w:val="00EC5769"/>
    <w:rsid w:val="00EC7D00"/>
    <w:rsid w:val="00ED0304"/>
    <w:rsid w:val="00ED5B7B"/>
    <w:rsid w:val="00EE38FA"/>
    <w:rsid w:val="00EE3E2C"/>
    <w:rsid w:val="00EE5D23"/>
    <w:rsid w:val="00EE750D"/>
    <w:rsid w:val="00EF3CA4"/>
    <w:rsid w:val="00EF7362"/>
    <w:rsid w:val="00EF7859"/>
    <w:rsid w:val="00F014DA"/>
    <w:rsid w:val="00F02591"/>
    <w:rsid w:val="00F5696E"/>
    <w:rsid w:val="00F60EFF"/>
    <w:rsid w:val="00F67D2D"/>
    <w:rsid w:val="00F858F2"/>
    <w:rsid w:val="00F860CC"/>
    <w:rsid w:val="00F862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2D0EA"/>
  <w15:docId w15:val="{CB1265E7-59F7-419F-8833-6422B24A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D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D61FD1"/>
    <w:pPr>
      <w:spacing w:after="800"/>
    </w:pPr>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D61FD1"/>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152A3"/>
    <w:pPr>
      <w:spacing w:after="0"/>
    </w:pPr>
    <w:rPr>
      <w:sz w:val="20"/>
      <w:szCs w:val="20"/>
    </w:rPr>
  </w:style>
  <w:style w:type="character" w:customStyle="1" w:styleId="FootnoteTextChar">
    <w:name w:val="Footnote Text Char"/>
    <w:basedOn w:val="DefaultParagraphFont"/>
    <w:link w:val="FootnoteText"/>
    <w:uiPriority w:val="99"/>
    <w:semiHidden/>
    <w:rsid w:val="00E152A3"/>
    <w:rPr>
      <w:rFonts w:ascii="Lato" w:hAnsi="Lato"/>
      <w:sz w:val="20"/>
      <w:szCs w:val="20"/>
    </w:rPr>
  </w:style>
  <w:style w:type="character" w:styleId="FootnoteReference">
    <w:name w:val="footnote reference"/>
    <w:basedOn w:val="DefaultParagraphFont"/>
    <w:uiPriority w:val="99"/>
    <w:semiHidden/>
    <w:unhideWhenUsed/>
    <w:rsid w:val="00E152A3"/>
    <w:rPr>
      <w:vertAlign w:val="superscript"/>
    </w:rPr>
  </w:style>
  <w:style w:type="character" w:customStyle="1" w:styleId="Questionlabel">
    <w:name w:val="Question label"/>
    <w:basedOn w:val="DefaultParagraphFont"/>
    <w:uiPriority w:val="3"/>
    <w:qFormat/>
    <w:rsid w:val="00726479"/>
    <w:rPr>
      <w:rFonts w:ascii="Lato" w:hAnsi="Lato"/>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6641">
      <w:bodyDiv w:val="1"/>
      <w:marLeft w:val="0"/>
      <w:marRight w:val="0"/>
      <w:marTop w:val="0"/>
      <w:marBottom w:val="0"/>
      <w:divBdr>
        <w:top w:val="none" w:sz="0" w:space="0" w:color="auto"/>
        <w:left w:val="none" w:sz="0" w:space="0" w:color="auto"/>
        <w:bottom w:val="none" w:sz="0" w:space="0" w:color="auto"/>
        <w:right w:val="none" w:sz="0" w:space="0" w:color="auto"/>
      </w:divBdr>
    </w:div>
    <w:div w:id="93943523">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28957486">
      <w:bodyDiv w:val="1"/>
      <w:marLeft w:val="0"/>
      <w:marRight w:val="0"/>
      <w:marTop w:val="0"/>
      <w:marBottom w:val="0"/>
      <w:divBdr>
        <w:top w:val="none" w:sz="0" w:space="0" w:color="auto"/>
        <w:left w:val="none" w:sz="0" w:space="0" w:color="auto"/>
        <w:bottom w:val="none" w:sz="0" w:space="0" w:color="auto"/>
        <w:right w:val="none" w:sz="0" w:space="0" w:color="auto"/>
      </w:divBdr>
    </w:div>
    <w:div w:id="552011011">
      <w:bodyDiv w:val="1"/>
      <w:marLeft w:val="0"/>
      <w:marRight w:val="0"/>
      <w:marTop w:val="0"/>
      <w:marBottom w:val="0"/>
      <w:divBdr>
        <w:top w:val="none" w:sz="0" w:space="0" w:color="auto"/>
        <w:left w:val="none" w:sz="0" w:space="0" w:color="auto"/>
        <w:bottom w:val="none" w:sz="0" w:space="0" w:color="auto"/>
        <w:right w:val="none" w:sz="0" w:space="0" w:color="auto"/>
      </w:divBdr>
    </w:div>
    <w:div w:id="714309527">
      <w:bodyDiv w:val="1"/>
      <w:marLeft w:val="0"/>
      <w:marRight w:val="0"/>
      <w:marTop w:val="0"/>
      <w:marBottom w:val="0"/>
      <w:divBdr>
        <w:top w:val="none" w:sz="0" w:space="0" w:color="auto"/>
        <w:left w:val="none" w:sz="0" w:space="0" w:color="auto"/>
        <w:bottom w:val="none" w:sz="0" w:space="0" w:color="auto"/>
        <w:right w:val="none" w:sz="0" w:space="0" w:color="auto"/>
      </w:divBdr>
    </w:div>
    <w:div w:id="768476198">
      <w:bodyDiv w:val="1"/>
      <w:marLeft w:val="0"/>
      <w:marRight w:val="0"/>
      <w:marTop w:val="0"/>
      <w:marBottom w:val="0"/>
      <w:divBdr>
        <w:top w:val="none" w:sz="0" w:space="0" w:color="auto"/>
        <w:left w:val="none" w:sz="0" w:space="0" w:color="auto"/>
        <w:bottom w:val="none" w:sz="0" w:space="0" w:color="auto"/>
        <w:right w:val="none" w:sz="0" w:space="0" w:color="auto"/>
      </w:divBdr>
    </w:div>
    <w:div w:id="857701598">
      <w:bodyDiv w:val="1"/>
      <w:marLeft w:val="0"/>
      <w:marRight w:val="0"/>
      <w:marTop w:val="0"/>
      <w:marBottom w:val="0"/>
      <w:divBdr>
        <w:top w:val="none" w:sz="0" w:space="0" w:color="auto"/>
        <w:left w:val="none" w:sz="0" w:space="0" w:color="auto"/>
        <w:bottom w:val="none" w:sz="0" w:space="0" w:color="auto"/>
        <w:right w:val="none" w:sz="0" w:space="0" w:color="auto"/>
      </w:divBdr>
    </w:div>
    <w:div w:id="906308619">
      <w:bodyDiv w:val="1"/>
      <w:marLeft w:val="0"/>
      <w:marRight w:val="0"/>
      <w:marTop w:val="0"/>
      <w:marBottom w:val="0"/>
      <w:divBdr>
        <w:top w:val="none" w:sz="0" w:space="0" w:color="auto"/>
        <w:left w:val="none" w:sz="0" w:space="0" w:color="auto"/>
        <w:bottom w:val="none" w:sz="0" w:space="0" w:color="auto"/>
        <w:right w:val="none" w:sz="0" w:space="0" w:color="auto"/>
      </w:divBdr>
    </w:div>
    <w:div w:id="926696140">
      <w:bodyDiv w:val="1"/>
      <w:marLeft w:val="0"/>
      <w:marRight w:val="0"/>
      <w:marTop w:val="0"/>
      <w:marBottom w:val="0"/>
      <w:divBdr>
        <w:top w:val="none" w:sz="0" w:space="0" w:color="auto"/>
        <w:left w:val="none" w:sz="0" w:space="0" w:color="auto"/>
        <w:bottom w:val="none" w:sz="0" w:space="0" w:color="auto"/>
        <w:right w:val="none" w:sz="0" w:space="0" w:color="auto"/>
      </w:divBdr>
    </w:div>
    <w:div w:id="1069422198">
      <w:bodyDiv w:val="1"/>
      <w:marLeft w:val="0"/>
      <w:marRight w:val="0"/>
      <w:marTop w:val="0"/>
      <w:marBottom w:val="0"/>
      <w:divBdr>
        <w:top w:val="none" w:sz="0" w:space="0" w:color="auto"/>
        <w:left w:val="none" w:sz="0" w:space="0" w:color="auto"/>
        <w:bottom w:val="none" w:sz="0" w:space="0" w:color="auto"/>
        <w:right w:val="none" w:sz="0" w:space="0" w:color="auto"/>
      </w:divBdr>
    </w:div>
    <w:div w:id="1439596494">
      <w:bodyDiv w:val="1"/>
      <w:marLeft w:val="0"/>
      <w:marRight w:val="0"/>
      <w:marTop w:val="0"/>
      <w:marBottom w:val="0"/>
      <w:divBdr>
        <w:top w:val="none" w:sz="0" w:space="0" w:color="auto"/>
        <w:left w:val="none" w:sz="0" w:space="0" w:color="auto"/>
        <w:bottom w:val="none" w:sz="0" w:space="0" w:color="auto"/>
        <w:right w:val="none" w:sz="0" w:space="0" w:color="auto"/>
      </w:divBdr>
    </w:div>
    <w:div w:id="1468890509">
      <w:bodyDiv w:val="1"/>
      <w:marLeft w:val="0"/>
      <w:marRight w:val="0"/>
      <w:marTop w:val="0"/>
      <w:marBottom w:val="0"/>
      <w:divBdr>
        <w:top w:val="none" w:sz="0" w:space="0" w:color="auto"/>
        <w:left w:val="none" w:sz="0" w:space="0" w:color="auto"/>
        <w:bottom w:val="none" w:sz="0" w:space="0" w:color="auto"/>
        <w:right w:val="none" w:sz="0" w:space="0" w:color="auto"/>
      </w:divBdr>
    </w:div>
    <w:div w:id="1472559997">
      <w:bodyDiv w:val="1"/>
      <w:marLeft w:val="0"/>
      <w:marRight w:val="0"/>
      <w:marTop w:val="0"/>
      <w:marBottom w:val="0"/>
      <w:divBdr>
        <w:top w:val="none" w:sz="0" w:space="0" w:color="auto"/>
        <w:left w:val="none" w:sz="0" w:space="0" w:color="auto"/>
        <w:bottom w:val="none" w:sz="0" w:space="0" w:color="auto"/>
        <w:right w:val="none" w:sz="0" w:space="0" w:color="auto"/>
      </w:divBdr>
    </w:div>
    <w:div w:id="159451251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771579655">
      <w:bodyDiv w:val="1"/>
      <w:marLeft w:val="0"/>
      <w:marRight w:val="0"/>
      <w:marTop w:val="0"/>
      <w:marBottom w:val="0"/>
      <w:divBdr>
        <w:top w:val="none" w:sz="0" w:space="0" w:color="auto"/>
        <w:left w:val="none" w:sz="0" w:space="0" w:color="auto"/>
        <w:bottom w:val="none" w:sz="0" w:space="0" w:color="auto"/>
        <w:right w:val="none" w:sz="0" w:space="0" w:color="auto"/>
      </w:divBdr>
    </w:div>
    <w:div w:id="1806964355">
      <w:bodyDiv w:val="1"/>
      <w:marLeft w:val="0"/>
      <w:marRight w:val="0"/>
      <w:marTop w:val="0"/>
      <w:marBottom w:val="0"/>
      <w:divBdr>
        <w:top w:val="none" w:sz="0" w:space="0" w:color="auto"/>
        <w:left w:val="none" w:sz="0" w:space="0" w:color="auto"/>
        <w:bottom w:val="none" w:sz="0" w:space="0" w:color="auto"/>
        <w:right w:val="none" w:sz="0" w:space="0" w:color="auto"/>
      </w:divBdr>
    </w:div>
    <w:div w:id="212988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justice.nt.gov.au/attorney-general-and-justice/units-and-amounts/penalty-unit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8BC7FD3DBD49079BE531A63D591484"/>
        <w:category>
          <w:name w:val="General"/>
          <w:gallery w:val="placeholder"/>
        </w:category>
        <w:types>
          <w:type w:val="bbPlcHdr"/>
        </w:types>
        <w:behaviors>
          <w:behavior w:val="content"/>
        </w:behaviors>
        <w:guid w:val="{C018B3C5-4601-4256-946A-2DE83B6915CB}"/>
      </w:docPartPr>
      <w:docPartBody>
        <w:p w:rsidR="00462C10" w:rsidRDefault="00C45152">
          <w:pPr>
            <w:pStyle w:val="AA8BC7FD3DBD49079BE531A63D591484"/>
          </w:pPr>
          <w:r w:rsidRPr="000E6CF8">
            <w:rPr>
              <w:rStyle w:val="PlaceholderText"/>
            </w:rPr>
            <w:t>[Title]</w:t>
          </w:r>
        </w:p>
      </w:docPartBody>
    </w:docPart>
    <w:docPart>
      <w:docPartPr>
        <w:name w:val="DefaultPlaceholder_-1854013438"/>
        <w:category>
          <w:name w:val="General"/>
          <w:gallery w:val="placeholder"/>
        </w:category>
        <w:types>
          <w:type w:val="bbPlcHdr"/>
        </w:types>
        <w:behaviors>
          <w:behavior w:val="content"/>
        </w:behaviors>
        <w:guid w:val="{4F296D58-F6FE-4131-A648-9454763E5256}"/>
      </w:docPartPr>
      <w:docPartBody>
        <w:p w:rsidR="00462C10" w:rsidRDefault="00F06E43">
          <w:r w:rsidRPr="00E719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3"/>
    <w:rsid w:val="00165281"/>
    <w:rsid w:val="00462C10"/>
    <w:rsid w:val="00C45152"/>
    <w:rsid w:val="00F06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6E43"/>
    <w:rPr>
      <w:color w:val="808080"/>
    </w:rPr>
  </w:style>
  <w:style w:type="paragraph" w:customStyle="1" w:styleId="AA8BC7FD3DBD49079BE531A63D591484">
    <w:name w:val="AA8BC7FD3DBD49079BE531A63D5914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34207-6406-4A40-8B12-2869AD9B8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ntg-fact-sheet.dotx</Template>
  <TotalTime>41</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Code of practice for security officers</vt:lpstr>
    </vt:vector>
  </TitlesOfParts>
  <Company>Department of Industry, Tourism and Trade</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crowd controllers</dc:title>
  <dc:creator>Northern Territory Government</dc:creator>
  <cp:lastModifiedBy>Amanda de Vries</cp:lastModifiedBy>
  <cp:revision>6</cp:revision>
  <cp:lastPrinted>2023-08-03T01:56:00Z</cp:lastPrinted>
  <dcterms:created xsi:type="dcterms:W3CDTF">2023-08-02T23:07:00Z</dcterms:created>
  <dcterms:modified xsi:type="dcterms:W3CDTF">2023-08-03T01:57:00Z</dcterms:modified>
</cp:coreProperties>
</file>