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DF" w:rsidRPr="002250DF" w:rsidRDefault="002250DF" w:rsidP="002250DF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>Dissolution checklist</w:t>
      </w:r>
    </w:p>
    <w:p w:rsidR="002250DF" w:rsidRPr="002250DF" w:rsidRDefault="002250DF" w:rsidP="002250DF">
      <w:pPr>
        <w:rPr>
          <w:i/>
          <w:lang w:eastAsia="en-AU"/>
        </w:rPr>
      </w:pPr>
      <w:r w:rsidRPr="002250DF">
        <w:rPr>
          <w:i/>
          <w:lang w:eastAsia="en-AU"/>
        </w:rPr>
        <w:t>Associations Act 2003</w:t>
      </w:r>
    </w:p>
    <w:p w:rsidR="002250DF" w:rsidRDefault="002250DF" w:rsidP="002250DF">
      <w:pPr>
        <w:pStyle w:val="Heading1"/>
      </w:pPr>
      <w:r>
        <w:t>Facts</w:t>
      </w:r>
    </w:p>
    <w:p w:rsidR="002250DF" w:rsidRPr="00180B01" w:rsidRDefault="002250DF" w:rsidP="00FE7B45">
      <w:pPr>
        <w:pStyle w:val="ListParagraph"/>
        <w:numPr>
          <w:ilvl w:val="0"/>
          <w:numId w:val="14"/>
        </w:numPr>
        <w:ind w:left="714" w:hanging="357"/>
        <w:rPr>
          <w:bCs/>
          <w:iCs w:val="0"/>
          <w:lang w:val="en-US"/>
        </w:rPr>
      </w:pPr>
      <w:r w:rsidRPr="00180B01">
        <w:rPr>
          <w:bCs/>
          <w:lang w:val="en-US"/>
        </w:rPr>
        <w:t xml:space="preserve">An association may determine to dissolve. The assets of the association </w:t>
      </w:r>
      <w:proofErr w:type="gramStart"/>
      <w:r w:rsidRPr="00180B01">
        <w:rPr>
          <w:bCs/>
          <w:lang w:val="en-US"/>
        </w:rPr>
        <w:t>must be transferred or given to another association with similar objects and purposes unless otherwise identified in the constitution</w:t>
      </w:r>
      <w:proofErr w:type="gramEnd"/>
      <w:r w:rsidRPr="00180B01">
        <w:rPr>
          <w:bCs/>
          <w:lang w:val="en-US"/>
        </w:rPr>
        <w:t>.</w:t>
      </w:r>
    </w:p>
    <w:p w:rsidR="002250DF" w:rsidRDefault="002250DF" w:rsidP="00FE7B45">
      <w:pPr>
        <w:pStyle w:val="ListParagraph"/>
        <w:numPr>
          <w:ilvl w:val="0"/>
          <w:numId w:val="14"/>
        </w:numPr>
        <w:ind w:left="714" w:hanging="357"/>
        <w:rPr>
          <w:bCs/>
          <w:iCs w:val="0"/>
          <w:lang w:val="en-US"/>
        </w:rPr>
      </w:pPr>
      <w:r>
        <w:rPr>
          <w:bCs/>
          <w:lang w:val="en-US"/>
        </w:rPr>
        <w:t xml:space="preserve">If an asset is considered </w:t>
      </w:r>
      <w:proofErr w:type="gramStart"/>
      <w:r>
        <w:rPr>
          <w:bCs/>
          <w:lang w:val="en-US"/>
        </w:rPr>
        <w:t>to be prescribed</w:t>
      </w:r>
      <w:proofErr w:type="gramEnd"/>
      <w:r>
        <w:rPr>
          <w:bCs/>
          <w:lang w:val="en-US"/>
        </w:rPr>
        <w:t xml:space="preserve"> property then </w:t>
      </w:r>
      <w:r>
        <w:rPr>
          <w:color w:val="141414"/>
        </w:rPr>
        <w:t>consent from the funding body or government</w:t>
      </w:r>
      <w:r>
        <w:rPr>
          <w:bCs/>
          <w:lang w:val="en-US"/>
        </w:rPr>
        <w:t xml:space="preserve"> is required to sell, dispose of or give away the asset.</w:t>
      </w:r>
    </w:p>
    <w:p w:rsidR="002250DF" w:rsidRPr="00694619" w:rsidRDefault="002250DF" w:rsidP="00FE7B45">
      <w:pPr>
        <w:pStyle w:val="NormalWeb"/>
        <w:numPr>
          <w:ilvl w:val="0"/>
          <w:numId w:val="14"/>
        </w:numPr>
        <w:shd w:val="clear" w:color="auto" w:fill="FFFFFF"/>
        <w:spacing w:after="120"/>
        <w:ind w:left="714" w:hanging="357"/>
        <w:rPr>
          <w:rFonts w:ascii="Lato" w:hAnsi="Lato"/>
          <w:color w:val="141414"/>
          <w:sz w:val="22"/>
        </w:rPr>
      </w:pPr>
      <w:r w:rsidRPr="00694619">
        <w:rPr>
          <w:rFonts w:ascii="Lato" w:hAnsi="Lato"/>
          <w:color w:val="141414"/>
          <w:sz w:val="22"/>
        </w:rPr>
        <w:t xml:space="preserve">The association can only transfer </w:t>
      </w:r>
      <w:r w:rsidRPr="003B50CA">
        <w:rPr>
          <w:rFonts w:ascii="Lato" w:hAnsi="Lato"/>
          <w:color w:val="141414"/>
          <w:sz w:val="22"/>
        </w:rPr>
        <w:t>all</w:t>
      </w:r>
      <w:r w:rsidRPr="00694619">
        <w:rPr>
          <w:rFonts w:ascii="Lato" w:hAnsi="Lato"/>
          <w:color w:val="141414"/>
          <w:sz w:val="22"/>
        </w:rPr>
        <w:t xml:space="preserve"> its property if members agree to dissolve the association.</w:t>
      </w:r>
    </w:p>
    <w:p w:rsidR="002250DF" w:rsidRPr="00694619" w:rsidRDefault="002250DF" w:rsidP="00FE7B45">
      <w:pPr>
        <w:pStyle w:val="ListParagraph"/>
        <w:numPr>
          <w:ilvl w:val="0"/>
          <w:numId w:val="14"/>
        </w:numPr>
        <w:spacing w:line="360" w:lineRule="auto"/>
        <w:ind w:left="714" w:hanging="357"/>
        <w:contextualSpacing/>
        <w:rPr>
          <w:szCs w:val="24"/>
        </w:rPr>
      </w:pPr>
      <w:r w:rsidRPr="00694619">
        <w:rPr>
          <w:szCs w:val="24"/>
        </w:rPr>
        <w:t>It is illegal to transfer or give the associations assets to the members.</w:t>
      </w:r>
    </w:p>
    <w:p w:rsidR="002250DF" w:rsidRPr="0014082A" w:rsidRDefault="002250DF" w:rsidP="00FE7B45">
      <w:pPr>
        <w:pStyle w:val="ListParagraph"/>
        <w:numPr>
          <w:ilvl w:val="0"/>
          <w:numId w:val="14"/>
        </w:numPr>
        <w:spacing w:line="360" w:lineRule="auto"/>
        <w:ind w:left="714" w:hanging="357"/>
        <w:contextualSpacing/>
        <w:rPr>
          <w:sz w:val="24"/>
          <w:szCs w:val="24"/>
        </w:rPr>
      </w:pPr>
      <w:r w:rsidRPr="0014082A">
        <w:rPr>
          <w:bCs/>
          <w:lang w:val="en-US"/>
        </w:rPr>
        <w:t xml:space="preserve">The constitution determines where assets </w:t>
      </w:r>
      <w:proofErr w:type="gramStart"/>
      <w:r w:rsidRPr="0014082A">
        <w:rPr>
          <w:bCs/>
          <w:lang w:val="en-US"/>
        </w:rPr>
        <w:t>are able to</w:t>
      </w:r>
      <w:proofErr w:type="gramEnd"/>
      <w:r w:rsidRPr="0014082A">
        <w:rPr>
          <w:bCs/>
          <w:lang w:val="en-US"/>
        </w:rPr>
        <w:t xml:space="preserve"> be transferred to.</w:t>
      </w:r>
    </w:p>
    <w:p w:rsidR="002250DF" w:rsidRDefault="002250DF" w:rsidP="00FE7B45">
      <w:pPr>
        <w:pStyle w:val="ListParagraph"/>
        <w:numPr>
          <w:ilvl w:val="0"/>
          <w:numId w:val="14"/>
        </w:numPr>
        <w:spacing w:line="360" w:lineRule="auto"/>
        <w:ind w:left="714" w:hanging="357"/>
        <w:rPr>
          <w:bCs/>
          <w:iCs w:val="0"/>
          <w:lang w:val="en-US"/>
        </w:rPr>
      </w:pPr>
      <w:r>
        <w:rPr>
          <w:bCs/>
          <w:lang w:val="en-US"/>
        </w:rPr>
        <w:t>The constitution determines the method to dissolve.</w:t>
      </w:r>
    </w:p>
    <w:p w:rsidR="002250DF" w:rsidRPr="00E6590B" w:rsidRDefault="002250DF" w:rsidP="00FE7B45">
      <w:pPr>
        <w:pStyle w:val="ListParagraph"/>
        <w:numPr>
          <w:ilvl w:val="0"/>
          <w:numId w:val="14"/>
        </w:numPr>
        <w:ind w:left="714" w:hanging="357"/>
        <w:rPr>
          <w:bCs/>
          <w:iCs w:val="0"/>
          <w:lang w:val="en-US"/>
        </w:rPr>
      </w:pPr>
      <w:r w:rsidRPr="00E6590B">
        <w:rPr>
          <w:bCs/>
          <w:lang w:val="en-US"/>
        </w:rPr>
        <w:t>The N</w:t>
      </w:r>
      <w:r w:rsidR="00C62F76">
        <w:rPr>
          <w:bCs/>
          <w:lang w:val="en-US"/>
        </w:rPr>
        <w:t xml:space="preserve">orthern </w:t>
      </w:r>
      <w:r w:rsidRPr="00E6590B">
        <w:rPr>
          <w:bCs/>
          <w:lang w:val="en-US"/>
        </w:rPr>
        <w:t>T</w:t>
      </w:r>
      <w:r w:rsidR="00C62F76">
        <w:rPr>
          <w:bCs/>
          <w:lang w:val="en-US"/>
        </w:rPr>
        <w:t>erritory</w:t>
      </w:r>
      <w:r w:rsidRPr="00E6590B">
        <w:rPr>
          <w:bCs/>
          <w:lang w:val="en-US"/>
        </w:rPr>
        <w:t xml:space="preserve"> Government Associations Compliance Team is happy to discuss your circumstances prior to the decision to dissolve.</w:t>
      </w:r>
    </w:p>
    <w:p w:rsidR="002250DF" w:rsidRDefault="002250DF" w:rsidP="002250DF">
      <w:pPr>
        <w:pStyle w:val="Heading1"/>
      </w:pPr>
      <w:r>
        <w:t>Without prescribed property</w:t>
      </w:r>
    </w:p>
    <w:p w:rsidR="002250DF" w:rsidRPr="002250DF" w:rsidRDefault="002250DF" w:rsidP="002250DF">
      <w:pPr>
        <w:spacing w:after="120"/>
        <w:rPr>
          <w:b/>
          <w:lang w:val="en-US"/>
        </w:rPr>
      </w:pPr>
      <w:r w:rsidRPr="002250DF">
        <w:rPr>
          <w:lang w:val="en-US"/>
        </w:rPr>
        <w:t>Step 1.</w:t>
      </w:r>
      <w:r>
        <w:rPr>
          <w:b/>
          <w:lang w:val="en-US"/>
        </w:rPr>
        <w:t xml:space="preserve"> </w:t>
      </w:r>
      <w:r>
        <w:rPr>
          <w:lang w:val="en-US"/>
        </w:rPr>
        <w:t>The committee is required to hold a Special General Meeting (SGM) to present the special resolution to dissolve. At this meeting, the association will consider the following:</w:t>
      </w:r>
    </w:p>
    <w:p w:rsidR="002250DF" w:rsidRPr="0025254F" w:rsidRDefault="002250DF" w:rsidP="00FE7B45">
      <w:pPr>
        <w:numPr>
          <w:ilvl w:val="0"/>
          <w:numId w:val="15"/>
        </w:numPr>
        <w:spacing w:after="120"/>
      </w:pPr>
      <w:r>
        <w:rPr>
          <w:lang w:val="en-US"/>
        </w:rPr>
        <w:t>Dissolution</w:t>
      </w:r>
    </w:p>
    <w:p w:rsidR="002250DF" w:rsidRPr="0025254F" w:rsidRDefault="002250DF" w:rsidP="00FE7B45">
      <w:pPr>
        <w:numPr>
          <w:ilvl w:val="0"/>
          <w:numId w:val="15"/>
        </w:numPr>
        <w:spacing w:after="120"/>
      </w:pPr>
      <w:r>
        <w:rPr>
          <w:lang w:val="en-US"/>
        </w:rPr>
        <w:t>Payment of all bills and transfer any assets</w:t>
      </w:r>
    </w:p>
    <w:p w:rsidR="002250DF" w:rsidRPr="0025254F" w:rsidRDefault="002250DF" w:rsidP="00FE7B45">
      <w:pPr>
        <w:numPr>
          <w:ilvl w:val="0"/>
          <w:numId w:val="15"/>
        </w:numPr>
        <w:spacing w:after="120"/>
      </w:pPr>
      <w:r>
        <w:rPr>
          <w:lang w:val="en-US"/>
        </w:rPr>
        <w:t>Where the assets will be transferred to</w:t>
      </w:r>
    </w:p>
    <w:p w:rsidR="002250DF" w:rsidRPr="00B94E09" w:rsidRDefault="002250DF" w:rsidP="00FE7B45">
      <w:pPr>
        <w:numPr>
          <w:ilvl w:val="0"/>
          <w:numId w:val="15"/>
        </w:numPr>
        <w:spacing w:after="120"/>
      </w:pPr>
      <w:r>
        <w:rPr>
          <w:lang w:val="en-US"/>
        </w:rPr>
        <w:t>Who will hold onto the records of the association</w:t>
      </w:r>
    </w:p>
    <w:p w:rsidR="002250DF" w:rsidRPr="00B94E09" w:rsidRDefault="002250DF" w:rsidP="00FE7B45">
      <w:pPr>
        <w:numPr>
          <w:ilvl w:val="0"/>
          <w:numId w:val="15"/>
        </w:numPr>
        <w:spacing w:after="120"/>
      </w:pPr>
      <w:r>
        <w:rPr>
          <w:lang w:val="en-US"/>
        </w:rPr>
        <w:t xml:space="preserve">Ensure any grants </w:t>
      </w:r>
      <w:proofErr w:type="gramStart"/>
      <w:r>
        <w:rPr>
          <w:lang w:val="en-US"/>
        </w:rPr>
        <w:t>are acquitted</w:t>
      </w:r>
      <w:proofErr w:type="gramEnd"/>
      <w:r>
        <w:rPr>
          <w:lang w:val="en-US"/>
        </w:rPr>
        <w:t>.</w:t>
      </w:r>
    </w:p>
    <w:p w:rsidR="002250DF" w:rsidRDefault="002250DF" w:rsidP="002250DF">
      <w:pPr>
        <w:spacing w:after="120"/>
      </w:pPr>
      <w:r>
        <w:t xml:space="preserve">Once the SGM </w:t>
      </w:r>
      <w:proofErr w:type="gramStart"/>
      <w:r>
        <w:t xml:space="preserve">is </w:t>
      </w:r>
      <w:r w:rsidRPr="008421EC">
        <w:t>held</w:t>
      </w:r>
      <w:proofErr w:type="gramEnd"/>
      <w:r w:rsidRPr="008421EC">
        <w:t xml:space="preserve"> and all the action is taken, then the public officer is required to complete the “dissolution statutory declaration”.</w:t>
      </w:r>
    </w:p>
    <w:p w:rsidR="002250DF" w:rsidRDefault="002250DF" w:rsidP="002250DF">
      <w:pPr>
        <w:spacing w:after="120"/>
      </w:pPr>
      <w:r>
        <w:t>This statutory declaration is on the website or a member of the team can assist by drafting the required document.</w:t>
      </w:r>
    </w:p>
    <w:p w:rsidR="002250DF" w:rsidRDefault="002250DF" w:rsidP="002250DF">
      <w:pPr>
        <w:spacing w:after="120"/>
      </w:pPr>
      <w:r>
        <w:t>The statutory declaration must state the correct legal name including “incorporated” or “Inc.”.</w:t>
      </w:r>
    </w:p>
    <w:p w:rsidR="002250DF" w:rsidRDefault="002250DF" w:rsidP="002250DF">
      <w:pPr>
        <w:spacing w:after="120"/>
      </w:pPr>
      <w:r w:rsidRPr="002250DF">
        <w:t xml:space="preserve">Step 2. </w:t>
      </w:r>
      <w:r>
        <w:t xml:space="preserve">The statutory declaration </w:t>
      </w:r>
      <w:proofErr w:type="gramStart"/>
      <w:r>
        <w:t>is lodged</w:t>
      </w:r>
      <w:proofErr w:type="gramEnd"/>
      <w:r>
        <w:t xml:space="preserve"> with a copy of the minutes to </w:t>
      </w:r>
      <w:hyperlink r:id="rId9" w:history="1">
        <w:r w:rsidRPr="00023F39">
          <w:rPr>
            <w:rStyle w:val="Hyperlink"/>
          </w:rPr>
          <w:t>associations.compliance@nt.gov.au</w:t>
        </w:r>
      </w:hyperlink>
      <w:r>
        <w:t xml:space="preserve"> </w:t>
      </w:r>
    </w:p>
    <w:p w:rsidR="002250DF" w:rsidRDefault="002250DF" w:rsidP="002250DF">
      <w:pPr>
        <w:spacing w:after="120"/>
      </w:pPr>
      <w:r>
        <w:t>I</w:t>
      </w:r>
      <w:r w:rsidRPr="00CF64C0">
        <w:t>f there is no committee or membership left to hold the SGM, p</w:t>
      </w:r>
      <w:r>
        <w:t>lease contact the NT Government</w:t>
      </w:r>
      <w:r w:rsidRPr="00CF64C0">
        <w:t xml:space="preserve"> Associations Compliance Team.</w:t>
      </w:r>
    </w:p>
    <w:p w:rsidR="002250DF" w:rsidRDefault="002250DF" w:rsidP="002250DF">
      <w:pPr>
        <w:spacing w:after="120"/>
        <w:jc w:val="both"/>
      </w:pPr>
    </w:p>
    <w:p w:rsidR="002250DF" w:rsidRPr="00CF64C0" w:rsidRDefault="002250DF" w:rsidP="002250DF">
      <w:pPr>
        <w:pStyle w:val="Heading1"/>
      </w:pPr>
      <w:r>
        <w:lastRenderedPageBreak/>
        <w:t>With prescribed property</w:t>
      </w:r>
    </w:p>
    <w:p w:rsidR="002250DF" w:rsidRPr="002250DF" w:rsidRDefault="002250DF" w:rsidP="002250DF">
      <w:pPr>
        <w:spacing w:after="120"/>
        <w:rPr>
          <w:b/>
        </w:rPr>
      </w:pPr>
      <w:r w:rsidRPr="002250DF">
        <w:t>Step 1.</w:t>
      </w:r>
      <w:r w:rsidRPr="00BD0919">
        <w:rPr>
          <w:b/>
        </w:rPr>
        <w:t xml:space="preserve"> </w:t>
      </w:r>
      <w:r>
        <w:t xml:space="preserve">Email </w:t>
      </w:r>
      <w:hyperlink r:id="rId10" w:history="1">
        <w:r w:rsidRPr="00023F39">
          <w:rPr>
            <w:rStyle w:val="Hyperlink"/>
          </w:rPr>
          <w:t>associations.compliance@nt.gov.au</w:t>
        </w:r>
      </w:hyperlink>
      <w:r>
        <w:t xml:space="preserve"> with your request for consent to the transfer the property. </w:t>
      </w:r>
    </w:p>
    <w:p w:rsidR="002250DF" w:rsidRPr="00B06028" w:rsidRDefault="002250DF" w:rsidP="002250DF">
      <w:pPr>
        <w:spacing w:after="120"/>
      </w:pPr>
      <w:r>
        <w:t>The request must include:</w:t>
      </w:r>
    </w:p>
    <w:p w:rsidR="002250DF" w:rsidRDefault="002250DF" w:rsidP="00FE7B45">
      <w:pPr>
        <w:numPr>
          <w:ilvl w:val="0"/>
          <w:numId w:val="9"/>
        </w:numPr>
        <w:tabs>
          <w:tab w:val="clear" w:pos="1080"/>
        </w:tabs>
        <w:spacing w:after="120"/>
        <w:ind w:left="1134" w:hanging="708"/>
      </w:pPr>
      <w:r>
        <w:t>the name of the association</w:t>
      </w:r>
    </w:p>
    <w:p w:rsidR="002250DF" w:rsidRDefault="002250DF" w:rsidP="00FE7B45">
      <w:pPr>
        <w:numPr>
          <w:ilvl w:val="0"/>
          <w:numId w:val="9"/>
        </w:numPr>
        <w:tabs>
          <w:tab w:val="clear" w:pos="1080"/>
        </w:tabs>
        <w:spacing w:after="120"/>
        <w:ind w:left="1134" w:hanging="708"/>
      </w:pPr>
      <w:r>
        <w:t>notice of the intention to dissolve</w:t>
      </w:r>
    </w:p>
    <w:p w:rsidR="002250DF" w:rsidRDefault="002250DF" w:rsidP="00FE7B45">
      <w:pPr>
        <w:numPr>
          <w:ilvl w:val="0"/>
          <w:numId w:val="9"/>
        </w:numPr>
        <w:tabs>
          <w:tab w:val="clear" w:pos="1080"/>
        </w:tabs>
        <w:spacing w:after="120"/>
        <w:ind w:left="1134" w:hanging="708"/>
      </w:pPr>
      <w:r>
        <w:t>request to transfer the prescribed property and where</w:t>
      </w:r>
    </w:p>
    <w:p w:rsidR="002250DF" w:rsidRDefault="002250DF" w:rsidP="00FE7B45">
      <w:pPr>
        <w:numPr>
          <w:ilvl w:val="0"/>
          <w:numId w:val="9"/>
        </w:numPr>
        <w:tabs>
          <w:tab w:val="clear" w:pos="1080"/>
        </w:tabs>
        <w:spacing w:after="120"/>
        <w:ind w:left="1134" w:hanging="708"/>
      </w:pPr>
      <w:proofErr w:type="gramStart"/>
      <w:r>
        <w:t>an</w:t>
      </w:r>
      <w:proofErr w:type="gramEnd"/>
      <w:r>
        <w:t xml:space="preserve"> indication on what assets are prescribed.</w:t>
      </w:r>
    </w:p>
    <w:p w:rsidR="002250DF" w:rsidRDefault="002250DF" w:rsidP="002250DF">
      <w:pPr>
        <w:spacing w:after="120"/>
      </w:pPr>
      <w:r>
        <w:t xml:space="preserve">If approval is </w:t>
      </w:r>
      <w:proofErr w:type="gramStart"/>
      <w:r>
        <w:t>given</w:t>
      </w:r>
      <w:proofErr w:type="gramEnd"/>
      <w:r>
        <w:t xml:space="preserve"> the committee may proceed with the SGM to dissolve.</w:t>
      </w:r>
    </w:p>
    <w:p w:rsidR="002250DF" w:rsidRDefault="002250DF" w:rsidP="002250DF">
      <w:pPr>
        <w:spacing w:after="120"/>
        <w:rPr>
          <w:lang w:val="en-US"/>
        </w:rPr>
      </w:pPr>
      <w:r w:rsidRPr="002250DF">
        <w:t xml:space="preserve">Step 2. </w:t>
      </w:r>
      <w:r w:rsidRPr="002250DF">
        <w:rPr>
          <w:lang w:val="en-US"/>
        </w:rPr>
        <w:t xml:space="preserve"> </w:t>
      </w:r>
      <w:r>
        <w:rPr>
          <w:lang w:val="en-US"/>
        </w:rPr>
        <w:t>Hold a SGM to present the special resolution to dissolve. At this meeting</w:t>
      </w:r>
      <w:r w:rsidR="00C62F76">
        <w:rPr>
          <w:lang w:val="en-US"/>
        </w:rPr>
        <w:t>,</w:t>
      </w:r>
      <w:r>
        <w:rPr>
          <w:lang w:val="en-US"/>
        </w:rPr>
        <w:t xml:space="preserve"> the association will consider the following:</w:t>
      </w:r>
    </w:p>
    <w:p w:rsidR="002250DF" w:rsidRPr="0025254F" w:rsidRDefault="002250DF" w:rsidP="00FE7B45">
      <w:pPr>
        <w:numPr>
          <w:ilvl w:val="0"/>
          <w:numId w:val="12"/>
        </w:numPr>
        <w:spacing w:after="120"/>
      </w:pPr>
      <w:r>
        <w:rPr>
          <w:lang w:val="en-US"/>
        </w:rPr>
        <w:t>Dissolution</w:t>
      </w:r>
    </w:p>
    <w:p w:rsidR="002250DF" w:rsidRPr="0025254F" w:rsidRDefault="002250DF" w:rsidP="00FE7B45">
      <w:pPr>
        <w:numPr>
          <w:ilvl w:val="0"/>
          <w:numId w:val="12"/>
        </w:numPr>
        <w:spacing w:after="120"/>
      </w:pPr>
      <w:r>
        <w:rPr>
          <w:lang w:val="en-US"/>
        </w:rPr>
        <w:t>Payment of all bills and transfer any assets</w:t>
      </w:r>
    </w:p>
    <w:p w:rsidR="002250DF" w:rsidRPr="0025254F" w:rsidRDefault="002250DF" w:rsidP="00FE7B45">
      <w:pPr>
        <w:numPr>
          <w:ilvl w:val="0"/>
          <w:numId w:val="12"/>
        </w:numPr>
        <w:spacing w:after="120"/>
      </w:pPr>
      <w:r>
        <w:rPr>
          <w:lang w:val="en-US"/>
        </w:rPr>
        <w:t>Where the assets will be transferred to</w:t>
      </w:r>
    </w:p>
    <w:p w:rsidR="002250DF" w:rsidRPr="00B94E09" w:rsidRDefault="002250DF" w:rsidP="00FE7B45">
      <w:pPr>
        <w:numPr>
          <w:ilvl w:val="0"/>
          <w:numId w:val="12"/>
        </w:numPr>
        <w:spacing w:after="120"/>
      </w:pPr>
      <w:r>
        <w:rPr>
          <w:lang w:val="en-US"/>
        </w:rPr>
        <w:t>Who will hold onto the records of the association</w:t>
      </w:r>
    </w:p>
    <w:p w:rsidR="002250DF" w:rsidRPr="00942095" w:rsidRDefault="002250DF" w:rsidP="00FE7B45">
      <w:pPr>
        <w:numPr>
          <w:ilvl w:val="0"/>
          <w:numId w:val="12"/>
        </w:numPr>
        <w:spacing w:after="120"/>
      </w:pPr>
      <w:r>
        <w:rPr>
          <w:lang w:val="en-US"/>
        </w:rPr>
        <w:t>Ensure any grants are acquitted</w:t>
      </w:r>
    </w:p>
    <w:p w:rsidR="002250DF" w:rsidRPr="002250DF" w:rsidRDefault="002250DF" w:rsidP="002250DF">
      <w:pPr>
        <w:spacing w:after="120"/>
        <w:rPr>
          <w:b/>
          <w:lang w:val="en-US"/>
        </w:rPr>
      </w:pPr>
      <w:r w:rsidRPr="002250DF">
        <w:rPr>
          <w:lang w:val="en-US"/>
        </w:rPr>
        <w:t>Step 3.</w:t>
      </w:r>
      <w:r w:rsidRPr="00BD0919">
        <w:rPr>
          <w:b/>
          <w:lang w:val="en-US"/>
        </w:rPr>
        <w:t xml:space="preserve"> </w:t>
      </w:r>
      <w:r w:rsidRPr="002967BA">
        <w:rPr>
          <w:color w:val="141414"/>
        </w:rPr>
        <w:t>Within 14 days of the resolution, the public officer must publish the association's intention to transfer its property in the:</w:t>
      </w:r>
    </w:p>
    <w:p w:rsidR="002250DF" w:rsidRPr="002967BA" w:rsidRDefault="002250DF" w:rsidP="00FE7B45">
      <w:pPr>
        <w:numPr>
          <w:ilvl w:val="0"/>
          <w:numId w:val="13"/>
        </w:numPr>
        <w:shd w:val="clear" w:color="auto" w:fill="FFFFFF"/>
        <w:spacing w:after="120"/>
        <w:rPr>
          <w:color w:val="141414"/>
        </w:rPr>
      </w:pPr>
      <w:r w:rsidRPr="002967BA">
        <w:rPr>
          <w:color w:val="141414"/>
        </w:rPr>
        <w:t xml:space="preserve"> </w:t>
      </w:r>
      <w:r w:rsidR="00C62F76">
        <w:rPr>
          <w:color w:val="141414"/>
        </w:rPr>
        <w:t>NT</w:t>
      </w:r>
      <w:r w:rsidRPr="002967BA">
        <w:rPr>
          <w:color w:val="141414"/>
        </w:rPr>
        <w:t xml:space="preserve"> newspaper where the association carries on its activities</w:t>
      </w:r>
    </w:p>
    <w:p w:rsidR="002250DF" w:rsidRPr="002967BA" w:rsidRDefault="002250DF" w:rsidP="00FE7B45">
      <w:pPr>
        <w:numPr>
          <w:ilvl w:val="0"/>
          <w:numId w:val="13"/>
        </w:numPr>
        <w:shd w:val="clear" w:color="auto" w:fill="FFFFFF"/>
        <w:spacing w:after="150"/>
        <w:rPr>
          <w:color w:val="141414"/>
        </w:rPr>
      </w:pPr>
      <w:r w:rsidRPr="002967BA">
        <w:rPr>
          <w:color w:val="141414"/>
        </w:rPr>
        <w:t xml:space="preserve">NTG Gazette: </w:t>
      </w:r>
      <w:r w:rsidRPr="00FA70A2">
        <w:t>Publish a notice</w:t>
      </w:r>
      <w:bookmarkStart w:id="0" w:name="_GoBack"/>
      <w:bookmarkEnd w:id="0"/>
      <w:r w:rsidR="00C62F76" w:rsidRPr="00FA70A2">
        <w:t xml:space="preserve"> in the Gazette</w:t>
      </w:r>
      <w:r w:rsidR="00C62F76">
        <w:t xml:space="preserve"> </w:t>
      </w:r>
      <w:r w:rsidR="00C62F76">
        <w:rPr>
          <w:rStyle w:val="FootnoteReference"/>
          <w:color w:val="141414"/>
        </w:rPr>
        <w:footnoteReference w:id="1"/>
      </w:r>
    </w:p>
    <w:p w:rsidR="002250DF" w:rsidRPr="002967BA" w:rsidRDefault="002250DF" w:rsidP="002250DF">
      <w:pPr>
        <w:shd w:val="clear" w:color="auto" w:fill="FFFFFF"/>
        <w:spacing w:after="120"/>
        <w:rPr>
          <w:color w:val="141414"/>
        </w:rPr>
      </w:pPr>
      <w:r w:rsidRPr="002967BA">
        <w:rPr>
          <w:color w:val="141414"/>
        </w:rPr>
        <w:t>The</w:t>
      </w:r>
      <w:r>
        <w:rPr>
          <w:color w:val="141414"/>
        </w:rPr>
        <w:t xml:space="preserve"> association</w:t>
      </w:r>
      <w:r w:rsidRPr="002967BA">
        <w:rPr>
          <w:color w:val="141414"/>
        </w:rPr>
        <w:t xml:space="preserve"> must also submit a copy of these advertisements to the NT Governments Association Compliance Team with the following forms.</w:t>
      </w:r>
    </w:p>
    <w:p w:rsidR="002250DF" w:rsidRDefault="002250DF" w:rsidP="00FE7B45">
      <w:pPr>
        <w:pStyle w:val="NormalWeb"/>
        <w:numPr>
          <w:ilvl w:val="0"/>
          <w:numId w:val="10"/>
        </w:numPr>
        <w:shd w:val="clear" w:color="auto" w:fill="FFFFFF"/>
        <w:spacing w:after="120"/>
        <w:rPr>
          <w:rFonts w:ascii="Lato" w:hAnsi="Lato"/>
          <w:color w:val="141414"/>
          <w:sz w:val="22"/>
          <w:szCs w:val="22"/>
        </w:rPr>
      </w:pPr>
      <w:r>
        <w:rPr>
          <w:rFonts w:ascii="Lato" w:hAnsi="Lato"/>
          <w:color w:val="141414"/>
          <w:sz w:val="22"/>
          <w:szCs w:val="22"/>
        </w:rPr>
        <w:t>Resolution authorising transfer of property of an association form</w:t>
      </w:r>
    </w:p>
    <w:p w:rsidR="002250DF" w:rsidRDefault="002250DF" w:rsidP="00FE7B45">
      <w:pPr>
        <w:pStyle w:val="NormalWeb"/>
        <w:numPr>
          <w:ilvl w:val="0"/>
          <w:numId w:val="10"/>
        </w:numPr>
        <w:shd w:val="clear" w:color="auto" w:fill="FFFFFF"/>
        <w:spacing w:after="120"/>
        <w:rPr>
          <w:rFonts w:ascii="Lato" w:hAnsi="Lato"/>
          <w:color w:val="141414"/>
          <w:sz w:val="22"/>
          <w:szCs w:val="22"/>
        </w:rPr>
      </w:pPr>
      <w:r>
        <w:rPr>
          <w:rFonts w:ascii="Lato" w:hAnsi="Lato"/>
          <w:color w:val="141414"/>
          <w:sz w:val="22"/>
          <w:szCs w:val="22"/>
        </w:rPr>
        <w:t>Notice of intention to transfer property of an association form</w:t>
      </w:r>
    </w:p>
    <w:p w:rsidR="002250DF" w:rsidRPr="002967BA" w:rsidRDefault="002250DF" w:rsidP="002250DF">
      <w:pPr>
        <w:pStyle w:val="NormalWeb"/>
        <w:shd w:val="clear" w:color="auto" w:fill="FFFFFF"/>
        <w:spacing w:after="120"/>
        <w:rPr>
          <w:rFonts w:ascii="Lato" w:hAnsi="Lato"/>
          <w:color w:val="141414"/>
          <w:sz w:val="22"/>
          <w:szCs w:val="22"/>
        </w:rPr>
      </w:pPr>
      <w:r w:rsidRPr="002250DF">
        <w:rPr>
          <w:rFonts w:ascii="Lato" w:hAnsi="Lato"/>
          <w:color w:val="141414"/>
          <w:sz w:val="22"/>
          <w:szCs w:val="22"/>
        </w:rPr>
        <w:t xml:space="preserve">Step 4. </w:t>
      </w:r>
      <w:r w:rsidRPr="002967BA">
        <w:rPr>
          <w:rFonts w:ascii="Lato" w:hAnsi="Lato"/>
          <w:color w:val="141414"/>
          <w:sz w:val="22"/>
          <w:szCs w:val="22"/>
        </w:rPr>
        <w:t>Once 28 days have passed from publication of the notice, your</w:t>
      </w:r>
      <w:r>
        <w:rPr>
          <w:rFonts w:ascii="Lato" w:hAnsi="Lato"/>
          <w:color w:val="141414"/>
          <w:sz w:val="22"/>
          <w:szCs w:val="22"/>
        </w:rPr>
        <w:t xml:space="preserve"> </w:t>
      </w:r>
      <w:r w:rsidRPr="002967BA">
        <w:rPr>
          <w:rFonts w:ascii="Lato" w:hAnsi="Lato"/>
          <w:color w:val="141414"/>
          <w:sz w:val="22"/>
          <w:szCs w:val="22"/>
        </w:rPr>
        <w:t>association may transfer all of the surplus assets.</w:t>
      </w:r>
    </w:p>
    <w:p w:rsidR="002250DF" w:rsidRPr="002250DF" w:rsidRDefault="002250DF" w:rsidP="002250DF">
      <w:pPr>
        <w:pStyle w:val="NormalWeb"/>
        <w:shd w:val="clear" w:color="auto" w:fill="FFFFFF"/>
        <w:spacing w:after="120"/>
        <w:rPr>
          <w:rFonts w:ascii="Lato" w:hAnsi="Lato"/>
          <w:b/>
          <w:color w:val="141414"/>
          <w:sz w:val="22"/>
          <w:szCs w:val="22"/>
        </w:rPr>
      </w:pPr>
      <w:r>
        <w:rPr>
          <w:rFonts w:ascii="Lato" w:hAnsi="Lato"/>
          <w:color w:val="141414"/>
          <w:sz w:val="22"/>
          <w:szCs w:val="22"/>
        </w:rPr>
        <w:t xml:space="preserve">Step </w:t>
      </w:r>
      <w:r w:rsidRPr="002250DF">
        <w:rPr>
          <w:rFonts w:ascii="Lato" w:hAnsi="Lato"/>
          <w:color w:val="141414"/>
          <w:sz w:val="22"/>
          <w:szCs w:val="22"/>
        </w:rPr>
        <w:t>5.</w:t>
      </w:r>
      <w:r w:rsidRPr="00BD0919">
        <w:rPr>
          <w:rFonts w:ascii="Lato" w:hAnsi="Lato"/>
          <w:b/>
          <w:color w:val="141414"/>
          <w:sz w:val="22"/>
          <w:szCs w:val="22"/>
        </w:rPr>
        <w:t xml:space="preserve"> </w:t>
      </w:r>
      <w:r w:rsidRPr="002967BA">
        <w:rPr>
          <w:rFonts w:ascii="Lato" w:hAnsi="Lato"/>
          <w:color w:val="141414"/>
          <w:sz w:val="22"/>
          <w:szCs w:val="22"/>
        </w:rPr>
        <w:t>Once transferred, the public officer</w:t>
      </w:r>
      <w:r>
        <w:rPr>
          <w:rFonts w:ascii="Lato" w:hAnsi="Lato"/>
          <w:color w:val="141414"/>
          <w:sz w:val="22"/>
          <w:szCs w:val="22"/>
        </w:rPr>
        <w:t xml:space="preserve"> must submit the following form </w:t>
      </w:r>
      <w:r w:rsidRPr="002967BA">
        <w:rPr>
          <w:rFonts w:ascii="Lato" w:hAnsi="Lato"/>
          <w:color w:val="141414"/>
          <w:sz w:val="22"/>
          <w:szCs w:val="22"/>
        </w:rPr>
        <w:t>and submit it to</w:t>
      </w:r>
      <w:r>
        <w:rPr>
          <w:rFonts w:ascii="Lato" w:hAnsi="Lato"/>
          <w:color w:val="141414"/>
          <w:sz w:val="22"/>
          <w:szCs w:val="22"/>
        </w:rPr>
        <w:t xml:space="preserve"> </w:t>
      </w:r>
      <w:hyperlink r:id="rId11" w:history="1">
        <w:r w:rsidRPr="00023F39">
          <w:rPr>
            <w:rStyle w:val="Hyperlink"/>
            <w:rFonts w:ascii="Lato" w:hAnsi="Lato"/>
            <w:sz w:val="22"/>
            <w:szCs w:val="22"/>
          </w:rPr>
          <w:t>Associations.Compliance@nt.gov.au</w:t>
        </w:r>
      </w:hyperlink>
      <w:r>
        <w:rPr>
          <w:rFonts w:ascii="Lato" w:hAnsi="Lato"/>
          <w:color w:val="141414"/>
          <w:sz w:val="22"/>
          <w:szCs w:val="22"/>
        </w:rPr>
        <w:t xml:space="preserve"> </w:t>
      </w:r>
    </w:p>
    <w:p w:rsidR="002250DF" w:rsidRDefault="002250DF" w:rsidP="00FE7B45">
      <w:pPr>
        <w:pStyle w:val="NormalWeb"/>
        <w:numPr>
          <w:ilvl w:val="0"/>
          <w:numId w:val="11"/>
        </w:numPr>
        <w:shd w:val="clear" w:color="auto" w:fill="FFFFFF"/>
        <w:spacing w:after="120"/>
        <w:rPr>
          <w:rFonts w:ascii="Lato" w:hAnsi="Lato"/>
          <w:color w:val="141414"/>
          <w:sz w:val="22"/>
          <w:szCs w:val="22"/>
        </w:rPr>
      </w:pPr>
      <w:r>
        <w:rPr>
          <w:rFonts w:ascii="Lato" w:hAnsi="Lato"/>
          <w:color w:val="141414"/>
          <w:sz w:val="22"/>
          <w:szCs w:val="22"/>
        </w:rPr>
        <w:t>Completion of transfer of property of an association form</w:t>
      </w:r>
    </w:p>
    <w:p w:rsidR="00614380" w:rsidRPr="00C62A34" w:rsidRDefault="002250DF" w:rsidP="002250DF">
      <w:r w:rsidRPr="0014082A">
        <w:t>Education information, forms, fees and templates</w:t>
      </w:r>
      <w:r>
        <w:t xml:space="preserve"> </w:t>
      </w:r>
      <w:proofErr w:type="gramStart"/>
      <w:r>
        <w:t>can be found</w:t>
      </w:r>
      <w:proofErr w:type="gramEnd"/>
      <w:r>
        <w:t xml:space="preserve"> on the </w:t>
      </w:r>
      <w:r w:rsidRPr="00D36BE4">
        <w:t>N</w:t>
      </w:r>
      <w:r w:rsidR="00C62F76" w:rsidRPr="00D36BE4">
        <w:t>T</w:t>
      </w:r>
      <w:r w:rsidRPr="00D36BE4">
        <w:t xml:space="preserve"> Government website</w:t>
      </w:r>
      <w:r w:rsidR="00C62F76">
        <w:rPr>
          <w:rStyle w:val="FootnoteReference"/>
        </w:rPr>
        <w:footnoteReference w:id="2"/>
      </w:r>
      <w:r>
        <w:t>.</w:t>
      </w:r>
    </w:p>
    <w:sectPr w:rsidR="00614380" w:rsidRPr="00C62A34" w:rsidSect="00A567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C9" w:rsidRDefault="008F63C9" w:rsidP="007332FF">
      <w:r>
        <w:separator/>
      </w:r>
    </w:p>
  </w:endnote>
  <w:endnote w:type="continuationSeparator" w:id="0">
    <w:p w:rsidR="008F63C9" w:rsidRDefault="008F63C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D36BE4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250DF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A70A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A70A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2250DF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250DF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A70A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A70A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C9" w:rsidRDefault="008F63C9" w:rsidP="007332FF">
      <w:r>
        <w:separator/>
      </w:r>
    </w:p>
  </w:footnote>
  <w:footnote w:type="continuationSeparator" w:id="0">
    <w:p w:rsidR="008F63C9" w:rsidRDefault="008F63C9" w:rsidP="007332FF">
      <w:r>
        <w:continuationSeparator/>
      </w:r>
    </w:p>
  </w:footnote>
  <w:footnote w:id="1">
    <w:p w:rsidR="00C62F76" w:rsidRDefault="00C62F76">
      <w:pPr>
        <w:pStyle w:val="FootnoteText"/>
      </w:pPr>
      <w:r>
        <w:rPr>
          <w:rStyle w:val="FootnoteReference"/>
        </w:rPr>
        <w:footnoteRef/>
      </w:r>
      <w:hyperlink r:id="rId1" w:history="1">
        <w:r w:rsidRPr="00DE3FD9">
          <w:rPr>
            <w:rStyle w:val="Hyperlink"/>
          </w:rPr>
          <w:t>https://nt.gov.au/about-government/gazettes/publish-notice</w:t>
        </w:r>
      </w:hyperlink>
    </w:p>
  </w:footnote>
  <w:footnote w:id="2">
    <w:p w:rsidR="00C62F76" w:rsidRDefault="00C62F76">
      <w:pPr>
        <w:pStyle w:val="FootnoteText"/>
      </w:pPr>
      <w:r>
        <w:rPr>
          <w:rStyle w:val="FootnoteReference"/>
        </w:rPr>
        <w:footnoteRef/>
      </w:r>
      <w:hyperlink r:id="rId2" w:history="1">
        <w:r w:rsidRPr="00DE3FD9">
          <w:rPr>
            <w:rStyle w:val="Hyperlink"/>
          </w:rPr>
          <w:t>https://nt.gov.au/associations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F63C9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37B4">
          <w:t>Incorporated associations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9D37B4" w:rsidP="00435082">
        <w:pPr>
          <w:pStyle w:val="Title"/>
        </w:pPr>
        <w:r>
          <w:rPr>
            <w:rStyle w:val="TitleChar"/>
          </w:rPr>
          <w:t>Incorporated associations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AD57F4"/>
    <w:multiLevelType w:val="multilevel"/>
    <w:tmpl w:val="F014CF24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DCC0C55"/>
    <w:multiLevelType w:val="hybridMultilevel"/>
    <w:tmpl w:val="885233A6"/>
    <w:lvl w:ilvl="0" w:tplc="0BF4F40E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510A4"/>
    <w:multiLevelType w:val="hybridMultilevel"/>
    <w:tmpl w:val="27CADD80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2DF5AC8"/>
    <w:multiLevelType w:val="hybridMultilevel"/>
    <w:tmpl w:val="F93E83F8"/>
    <w:lvl w:ilvl="0" w:tplc="0C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  <w:sz w:val="24"/>
      </w:rPr>
    </w:lvl>
    <w:lvl w:ilvl="1" w:tplc="0C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E18604C"/>
    <w:multiLevelType w:val="hybridMultilevel"/>
    <w:tmpl w:val="42342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6DF10BD"/>
    <w:multiLevelType w:val="hybridMultilevel"/>
    <w:tmpl w:val="BFB2886A"/>
    <w:lvl w:ilvl="0" w:tplc="0BF4F40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646EC"/>
    <w:multiLevelType w:val="hybridMultilevel"/>
    <w:tmpl w:val="14C892F6"/>
    <w:lvl w:ilvl="0" w:tplc="0BF4F40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40"/>
  </w:num>
  <w:num w:numId="4">
    <w:abstractNumId w:val="25"/>
  </w:num>
  <w:num w:numId="5">
    <w:abstractNumId w:val="15"/>
  </w:num>
  <w:num w:numId="6">
    <w:abstractNumId w:val="7"/>
  </w:num>
  <w:num w:numId="7">
    <w:abstractNumId w:val="27"/>
  </w:num>
  <w:num w:numId="8">
    <w:abstractNumId w:val="14"/>
  </w:num>
  <w:num w:numId="9">
    <w:abstractNumId w:val="22"/>
  </w:num>
  <w:num w:numId="10">
    <w:abstractNumId w:val="39"/>
  </w:num>
  <w:num w:numId="11">
    <w:abstractNumId w:val="38"/>
  </w:num>
  <w:num w:numId="12">
    <w:abstractNumId w:val="33"/>
  </w:num>
  <w:num w:numId="13">
    <w:abstractNumId w:val="17"/>
  </w:num>
  <w:num w:numId="14">
    <w:abstractNumId w:val="35"/>
  </w:num>
  <w:num w:numId="15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DF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85A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250DF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50CA"/>
    <w:rsid w:val="003B67FD"/>
    <w:rsid w:val="003B6A61"/>
    <w:rsid w:val="003C2198"/>
    <w:rsid w:val="003C4941"/>
    <w:rsid w:val="003D0F63"/>
    <w:rsid w:val="003D3C97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67760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F63C9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3E5F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B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49B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2F76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36BE4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A70A2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7B45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B25BD-D909-4DA8-9A40-5F51EDE4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2F76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ociations.Compliance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ssociations.compliance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ssociations.compliance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t.gov.au/associations" TargetMode="External"/><Relationship Id="rId1" Type="http://schemas.openxmlformats.org/officeDocument/2006/relationships/hyperlink" Target="https://nt.gov.au/about-government/gazettes/publish-noti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51861D-D29A-40A0-B992-A8C1E1BE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associations</vt:lpstr>
    </vt:vector>
  </TitlesOfParts>
  <Company>INDUSTRY, TOURISM AND TRADE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associations</dc:title>
  <dc:creator>Northern Territory Government</dc:creator>
  <cp:lastModifiedBy>Nicola Kalmar</cp:lastModifiedBy>
  <cp:revision>2</cp:revision>
  <cp:lastPrinted>2019-07-29T01:45:00Z</cp:lastPrinted>
  <dcterms:created xsi:type="dcterms:W3CDTF">2023-03-20T06:36:00Z</dcterms:created>
  <dcterms:modified xsi:type="dcterms:W3CDTF">2023-03-20T06:36:00Z</dcterms:modified>
</cp:coreProperties>
</file>