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13" w:rsidRDefault="00264313" w:rsidP="00E01348">
      <w:pPr>
        <w:rPr>
          <w:noProof/>
        </w:rPr>
      </w:pPr>
      <w:bookmarkStart w:id="0" w:name="_GoBack"/>
      <w:bookmarkEnd w:id="0"/>
    </w:p>
    <w:p w:rsidR="000B744F" w:rsidRPr="00011A0E" w:rsidRDefault="000B744F" w:rsidP="00011A0E"/>
    <w:p w:rsidR="007A5A09" w:rsidRPr="00C73033" w:rsidRDefault="00BA5CCC" w:rsidP="006414C4">
      <w:pPr>
        <w:pStyle w:val="Reporttitle"/>
      </w:pPr>
      <w:r w:rsidRPr="00C73033">
        <w:t>Guideline for</w:t>
      </w:r>
      <w:r w:rsidR="00AA542C" w:rsidRPr="00C73033">
        <w:t xml:space="preserve"> Applying for </w:t>
      </w:r>
      <w:r w:rsidR="004410D0" w:rsidRPr="00C73033">
        <w:t xml:space="preserve">a </w:t>
      </w:r>
      <w:r w:rsidR="006B595A" w:rsidRPr="00C73033">
        <w:t xml:space="preserve">Variation, Suspension or Extension – </w:t>
      </w:r>
      <w:r w:rsidR="004021F6" w:rsidRPr="00C73033">
        <w:t xml:space="preserve">Petroleum </w:t>
      </w:r>
      <w:r w:rsidR="006B595A" w:rsidRPr="00C73033">
        <w:t>Exploration Permit</w:t>
      </w:r>
    </w:p>
    <w:p w:rsidR="00165EEF" w:rsidRPr="00165EEF" w:rsidRDefault="00165EEF" w:rsidP="006414C4">
      <w:pPr>
        <w:pStyle w:val="NoSpacing"/>
      </w:pPr>
    </w:p>
    <w:p w:rsidR="00165EEF" w:rsidRDefault="00165EEF" w:rsidP="006414C4">
      <w:pPr>
        <w:pStyle w:val="NoSpacing"/>
      </w:pPr>
    </w:p>
    <w:p w:rsidR="00EC386F" w:rsidRPr="006414C4" w:rsidRDefault="00E01348" w:rsidP="000B744F">
      <w:pPr>
        <w:pStyle w:val="DateVersion"/>
        <w:jc w:val="left"/>
        <w:rPr>
          <w:rFonts w:ascii="Lato" w:hAnsi="Lato"/>
        </w:rPr>
      </w:pPr>
      <w:r w:rsidRPr="006414C4">
        <w:rPr>
          <w:rFonts w:ascii="Lato" w:hAnsi="Lato"/>
        </w:rPr>
        <w:fldChar w:fldCharType="begin"/>
      </w:r>
      <w:r w:rsidRPr="006414C4">
        <w:rPr>
          <w:rFonts w:ascii="Lato" w:hAnsi="Lato"/>
        </w:rPr>
        <w:instrText xml:space="preserve"> FILLIN  "Document Date"  \* MERGEFORMAT </w:instrText>
      </w:r>
      <w:r w:rsidRPr="006414C4">
        <w:rPr>
          <w:rFonts w:ascii="Lato" w:hAnsi="Lato"/>
        </w:rPr>
        <w:fldChar w:fldCharType="separate"/>
      </w:r>
      <w:r w:rsidR="008C5A9B">
        <w:rPr>
          <w:rFonts w:ascii="Lato" w:hAnsi="Lato"/>
        </w:rPr>
        <w:t>5 October</w:t>
      </w:r>
      <w:r w:rsidR="00E428D4">
        <w:rPr>
          <w:rFonts w:ascii="Lato" w:hAnsi="Lato"/>
        </w:rPr>
        <w:t xml:space="preserve"> 2018</w:t>
      </w:r>
      <w:r w:rsidRPr="006414C4">
        <w:rPr>
          <w:rFonts w:ascii="Lato" w:hAnsi="Lato"/>
        </w:rPr>
        <w:fldChar w:fldCharType="end"/>
      </w:r>
      <w:r w:rsidR="00EC386F" w:rsidRPr="006414C4">
        <w:rPr>
          <w:rFonts w:ascii="Lato" w:hAnsi="Lato"/>
        </w:rPr>
        <w:br/>
        <w:t xml:space="preserve">Version </w:t>
      </w:r>
      <w:r w:rsidR="008C5A9B">
        <w:rPr>
          <w:rFonts w:ascii="Lato" w:hAnsi="Lato"/>
        </w:rPr>
        <w:t>4</w:t>
      </w:r>
    </w:p>
    <w:p w:rsidR="00A455AF" w:rsidRPr="006414C4" w:rsidRDefault="00A455AF" w:rsidP="006414C4">
      <w:pPr>
        <w:pStyle w:val="NoSpacing"/>
        <w:sectPr w:rsidR="00A455AF" w:rsidRPr="006414C4" w:rsidSect="002155A1">
          <w:footerReference w:type="default" r:id="rId13"/>
          <w:pgSz w:w="11906" w:h="16838"/>
          <w:pgMar w:top="2268" w:right="1134" w:bottom="1701" w:left="1134" w:header="709" w:footer="465" w:gutter="0"/>
          <w:cols w:space="708"/>
          <w:docGrid w:linePitch="360"/>
        </w:sectPr>
      </w:pPr>
    </w:p>
    <w:tbl>
      <w:tblPr>
        <w:tblStyle w:val="TableGrid"/>
        <w:tblW w:w="0" w:type="auto"/>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2376"/>
        <w:gridCol w:w="7194"/>
      </w:tblGrid>
      <w:tr w:rsidR="00B879E4" w:rsidRPr="0068114B" w:rsidTr="00B05DC2">
        <w:trPr>
          <w:cantSplit/>
          <w:tblHeader/>
        </w:trPr>
        <w:tc>
          <w:tcPr>
            <w:tcW w:w="9570" w:type="dxa"/>
            <w:gridSpan w:val="2"/>
            <w:shd w:val="clear" w:color="auto" w:fill="BFBFBF" w:themeFill="background1" w:themeFillShade="BF"/>
          </w:tcPr>
          <w:p w:rsidR="00B879E4" w:rsidRPr="006414C4" w:rsidRDefault="00B879E4" w:rsidP="006414C4">
            <w:pPr>
              <w:pStyle w:val="NoSpacing"/>
              <w:rPr>
                <w:rFonts w:ascii="Lato Black" w:hAnsi="Lato Black"/>
              </w:rPr>
            </w:pPr>
            <w:r w:rsidRPr="006414C4">
              <w:rPr>
                <w:rFonts w:ascii="Lato Black" w:hAnsi="Lato Black"/>
              </w:rPr>
              <w:lastRenderedPageBreak/>
              <w:t>Document details</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Document title</w:t>
            </w:r>
          </w:p>
        </w:tc>
        <w:tc>
          <w:tcPr>
            <w:tcW w:w="7194" w:type="dxa"/>
          </w:tcPr>
          <w:p w:rsidR="00B879E4" w:rsidRPr="0068114B" w:rsidRDefault="00CB459A" w:rsidP="006B595A">
            <w:pPr>
              <w:pStyle w:val="NoSpacing"/>
            </w:pPr>
            <w:r>
              <w:t>Guideline</w:t>
            </w:r>
            <w:r w:rsidR="003458A5">
              <w:t xml:space="preserve"> for Applying for </w:t>
            </w:r>
            <w:r w:rsidR="004410D0">
              <w:t xml:space="preserve">a </w:t>
            </w:r>
            <w:r w:rsidR="006B595A">
              <w:t xml:space="preserve">Variation, </w:t>
            </w:r>
            <w:r w:rsidR="004410D0">
              <w:t>Suspension</w:t>
            </w:r>
            <w:r w:rsidR="006B595A">
              <w:t xml:space="preserve"> or</w:t>
            </w:r>
            <w:r w:rsidR="004410D0">
              <w:t xml:space="preserve"> Extension </w:t>
            </w:r>
            <w:r w:rsidR="006B595A">
              <w:t>–</w:t>
            </w:r>
            <w:r w:rsidR="004410D0">
              <w:t xml:space="preserve"> </w:t>
            </w:r>
            <w:r w:rsidR="004021F6">
              <w:t xml:space="preserve">Petroleum </w:t>
            </w:r>
            <w:r w:rsidR="006B595A">
              <w:t>Exploration Permit</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Contact details</w:t>
            </w:r>
          </w:p>
        </w:tc>
        <w:tc>
          <w:tcPr>
            <w:tcW w:w="7194" w:type="dxa"/>
          </w:tcPr>
          <w:p w:rsidR="00B879E4" w:rsidRDefault="00AC6656" w:rsidP="006414C4">
            <w:pPr>
              <w:pStyle w:val="NoSpacing"/>
            </w:pPr>
            <w:r>
              <w:t>Petroleum Operations</w:t>
            </w:r>
            <w:r>
              <w:tab/>
              <w:t xml:space="preserve">(08) 8999 </w:t>
            </w:r>
            <w:r w:rsidR="00DA7BA0">
              <w:t>5388</w:t>
            </w:r>
          </w:p>
          <w:p w:rsidR="00AC6656" w:rsidRPr="0068114B" w:rsidRDefault="00AC6656" w:rsidP="006414C4">
            <w:pPr>
              <w:pStyle w:val="NoSpacing"/>
            </w:pPr>
            <w:r>
              <w:t>Energy Titles</w:t>
            </w:r>
            <w:r>
              <w:tab/>
            </w:r>
            <w:r>
              <w:tab/>
            </w:r>
            <w:r>
              <w:tab/>
              <w:t>(08) 8999 7112</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Date and version</w:t>
            </w:r>
          </w:p>
        </w:tc>
        <w:tc>
          <w:tcPr>
            <w:tcW w:w="7194" w:type="dxa"/>
          </w:tcPr>
          <w:p w:rsidR="00B879E4" w:rsidRPr="0068114B" w:rsidRDefault="00CB459A" w:rsidP="006414C4">
            <w:pPr>
              <w:pStyle w:val="NoSpacing"/>
            </w:pPr>
            <w:r>
              <w:rPr>
                <w:noProof/>
              </w:rPr>
              <w:fldChar w:fldCharType="begin"/>
            </w:r>
            <w:r>
              <w:rPr>
                <w:noProof/>
              </w:rPr>
              <w:instrText xml:space="preserve"> STYLEREF  "Date &amp; Version"  \* MERGEFORMAT </w:instrText>
            </w:r>
            <w:r>
              <w:rPr>
                <w:noProof/>
              </w:rPr>
              <w:fldChar w:fldCharType="separate"/>
            </w:r>
            <w:r w:rsidR="00500831">
              <w:rPr>
                <w:noProof/>
              </w:rPr>
              <w:t>5 October 2018</w:t>
            </w:r>
            <w:r w:rsidR="00500831">
              <w:rPr>
                <w:noProof/>
              </w:rPr>
              <w:br/>
              <w:t>Version 4</w:t>
            </w:r>
            <w:r>
              <w:rPr>
                <w:noProof/>
              </w:rPr>
              <w:fldChar w:fldCharType="end"/>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Approved by</w:t>
            </w:r>
          </w:p>
        </w:tc>
        <w:tc>
          <w:tcPr>
            <w:tcW w:w="7194" w:type="dxa"/>
          </w:tcPr>
          <w:p w:rsidR="00B879E4" w:rsidRPr="0068114B" w:rsidRDefault="006B595A" w:rsidP="006414C4">
            <w:pPr>
              <w:pStyle w:val="NoSpacing"/>
            </w:pPr>
            <w:r>
              <w:t>Rod Applegate</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Date approved</w:t>
            </w:r>
          </w:p>
        </w:tc>
        <w:tc>
          <w:tcPr>
            <w:tcW w:w="7194" w:type="dxa"/>
          </w:tcPr>
          <w:p w:rsidR="00B879E4" w:rsidRPr="0068114B" w:rsidRDefault="00DA5E29" w:rsidP="006414C4">
            <w:pPr>
              <w:pStyle w:val="NoSpacing"/>
            </w:pPr>
            <w:r w:rsidRPr="00DA5E29">
              <w:t>14 January 2019</w:t>
            </w:r>
          </w:p>
        </w:tc>
      </w:tr>
      <w:tr w:rsidR="00B879E4" w:rsidRPr="0068114B" w:rsidTr="00B05DC2">
        <w:trPr>
          <w:cantSplit/>
        </w:trPr>
        <w:tc>
          <w:tcPr>
            <w:tcW w:w="2376" w:type="dxa"/>
          </w:tcPr>
          <w:p w:rsidR="00B879E4" w:rsidRPr="0068114B" w:rsidRDefault="00B879E4" w:rsidP="006414C4">
            <w:pPr>
              <w:pStyle w:val="NoSpacing"/>
            </w:pPr>
            <w:r w:rsidRPr="006414C4">
              <w:rPr>
                <w:rFonts w:ascii="Lato Black" w:hAnsi="Lato Black"/>
                <w:b/>
              </w:rPr>
              <w:t>Document review</w:t>
            </w:r>
            <w:r w:rsidRPr="0068114B">
              <w:br/>
              <w:t xml:space="preserve">(for </w:t>
            </w:r>
            <w:r w:rsidRPr="006414C4">
              <w:t>example</w:t>
            </w:r>
            <w:r w:rsidRPr="0068114B">
              <w:t>, annually)</w:t>
            </w:r>
          </w:p>
        </w:tc>
        <w:tc>
          <w:tcPr>
            <w:tcW w:w="7194" w:type="dxa"/>
          </w:tcPr>
          <w:p w:rsidR="00B879E4" w:rsidRPr="0068114B" w:rsidRDefault="00931514" w:rsidP="006414C4">
            <w:pPr>
              <w:pStyle w:val="NoSpacing"/>
            </w:pPr>
            <w:r>
              <w:t>Annually</w:t>
            </w:r>
          </w:p>
        </w:tc>
      </w:tr>
    </w:tbl>
    <w:p w:rsidR="00B879E4" w:rsidRPr="0068114B" w:rsidRDefault="00B879E4" w:rsidP="00E01348"/>
    <w:tbl>
      <w:tblPr>
        <w:tblStyle w:val="TableGrid"/>
        <w:tblW w:w="9606" w:type="dxa"/>
        <w:tblCellMar>
          <w:top w:w="57" w:type="dxa"/>
          <w:bottom w:w="57" w:type="dxa"/>
        </w:tblCellMar>
        <w:tblLook w:val="0620" w:firstRow="1" w:lastRow="0" w:firstColumn="0" w:lastColumn="0" w:noHBand="1" w:noVBand="1"/>
        <w:tblDescription w:val="Document change history showing version, date, author and change details"/>
      </w:tblPr>
      <w:tblGrid>
        <w:gridCol w:w="1199"/>
        <w:gridCol w:w="2127"/>
        <w:gridCol w:w="2510"/>
        <w:gridCol w:w="3770"/>
      </w:tblGrid>
      <w:tr w:rsidR="00B879E4" w:rsidRPr="006414C4" w:rsidTr="00B05DC2">
        <w:trPr>
          <w:cantSplit/>
          <w:tblHeader/>
        </w:trPr>
        <w:tc>
          <w:tcPr>
            <w:tcW w:w="9606" w:type="dxa"/>
            <w:gridSpan w:val="4"/>
            <w:shd w:val="clear" w:color="auto" w:fill="BFBFBF" w:themeFill="background1" w:themeFillShade="BF"/>
          </w:tcPr>
          <w:p w:rsidR="00B879E4" w:rsidRPr="006414C4" w:rsidRDefault="00B879E4" w:rsidP="006414C4">
            <w:pPr>
              <w:pStyle w:val="NoSpacing"/>
              <w:rPr>
                <w:rFonts w:ascii="Lato Black" w:hAnsi="Lato Black"/>
              </w:rPr>
            </w:pPr>
            <w:r w:rsidRPr="006414C4">
              <w:rPr>
                <w:rFonts w:ascii="Lato Black" w:hAnsi="Lato Black"/>
              </w:rPr>
              <w:t>Change history</w:t>
            </w:r>
          </w:p>
        </w:tc>
      </w:tr>
      <w:tr w:rsidR="00B879E4" w:rsidRPr="006414C4" w:rsidTr="00B05DC2">
        <w:trPr>
          <w:cantSplit/>
        </w:trPr>
        <w:tc>
          <w:tcPr>
            <w:tcW w:w="1092" w:type="dxa"/>
          </w:tcPr>
          <w:p w:rsidR="00B879E4" w:rsidRPr="006414C4" w:rsidRDefault="00B879E4" w:rsidP="006414C4">
            <w:pPr>
              <w:pStyle w:val="NoSpacing"/>
              <w:rPr>
                <w:rFonts w:ascii="Lato Black" w:hAnsi="Lato Black"/>
              </w:rPr>
            </w:pPr>
            <w:r w:rsidRPr="006414C4">
              <w:rPr>
                <w:rFonts w:ascii="Lato Black" w:hAnsi="Lato Black"/>
              </w:rPr>
              <w:t>Version</w:t>
            </w:r>
          </w:p>
        </w:tc>
        <w:tc>
          <w:tcPr>
            <w:tcW w:w="2149" w:type="dxa"/>
          </w:tcPr>
          <w:p w:rsidR="00B879E4" w:rsidRPr="006414C4" w:rsidRDefault="00B879E4" w:rsidP="006414C4">
            <w:pPr>
              <w:pStyle w:val="NoSpacing"/>
              <w:rPr>
                <w:rFonts w:ascii="Lato Black" w:hAnsi="Lato Black"/>
              </w:rPr>
            </w:pPr>
            <w:r w:rsidRPr="006414C4">
              <w:rPr>
                <w:rFonts w:ascii="Lato Black" w:hAnsi="Lato Black"/>
              </w:rPr>
              <w:t>Date</w:t>
            </w:r>
          </w:p>
        </w:tc>
        <w:tc>
          <w:tcPr>
            <w:tcW w:w="2537" w:type="dxa"/>
          </w:tcPr>
          <w:p w:rsidR="00B879E4" w:rsidRPr="006414C4" w:rsidRDefault="00B879E4" w:rsidP="006414C4">
            <w:pPr>
              <w:pStyle w:val="NoSpacing"/>
              <w:rPr>
                <w:rFonts w:ascii="Lato Black" w:hAnsi="Lato Black"/>
              </w:rPr>
            </w:pPr>
            <w:r w:rsidRPr="006414C4">
              <w:rPr>
                <w:rFonts w:ascii="Lato Black" w:hAnsi="Lato Black"/>
              </w:rPr>
              <w:t>Author</w:t>
            </w:r>
          </w:p>
        </w:tc>
        <w:tc>
          <w:tcPr>
            <w:tcW w:w="3828" w:type="dxa"/>
          </w:tcPr>
          <w:p w:rsidR="00B879E4" w:rsidRPr="006414C4" w:rsidRDefault="00B879E4" w:rsidP="006414C4">
            <w:pPr>
              <w:pStyle w:val="NoSpacing"/>
              <w:rPr>
                <w:rFonts w:ascii="Lato Black" w:hAnsi="Lato Black"/>
              </w:rPr>
            </w:pPr>
            <w:r w:rsidRPr="006414C4">
              <w:rPr>
                <w:rFonts w:ascii="Lato Black" w:hAnsi="Lato Black"/>
              </w:rPr>
              <w:t>Change details</w:t>
            </w:r>
          </w:p>
        </w:tc>
      </w:tr>
      <w:tr w:rsidR="006B595A" w:rsidRPr="002155A1" w:rsidTr="00B05DC2">
        <w:trPr>
          <w:cantSplit/>
          <w:trHeight w:val="523"/>
        </w:trPr>
        <w:tc>
          <w:tcPr>
            <w:tcW w:w="1092" w:type="dxa"/>
          </w:tcPr>
          <w:p w:rsidR="006B595A" w:rsidRPr="002155A1" w:rsidRDefault="006B595A" w:rsidP="006414C4">
            <w:pPr>
              <w:pStyle w:val="NoSpacing"/>
            </w:pPr>
            <w:r>
              <w:t>1.0</w:t>
            </w:r>
          </w:p>
        </w:tc>
        <w:tc>
          <w:tcPr>
            <w:tcW w:w="2149" w:type="dxa"/>
          </w:tcPr>
          <w:p w:rsidR="006B595A" w:rsidRPr="002155A1" w:rsidRDefault="006B595A" w:rsidP="006414C4">
            <w:pPr>
              <w:pStyle w:val="NoSpacing"/>
            </w:pPr>
            <w:r>
              <w:t>14 Dec 2017</w:t>
            </w:r>
          </w:p>
        </w:tc>
        <w:tc>
          <w:tcPr>
            <w:tcW w:w="2537" w:type="dxa"/>
          </w:tcPr>
          <w:p w:rsidR="006B595A" w:rsidRDefault="006B595A" w:rsidP="006414C4">
            <w:pPr>
              <w:pStyle w:val="NoSpacing"/>
            </w:pPr>
            <w:r>
              <w:t>Mehrdad Rezazadeh</w:t>
            </w:r>
          </w:p>
        </w:tc>
        <w:tc>
          <w:tcPr>
            <w:tcW w:w="3828" w:type="dxa"/>
          </w:tcPr>
          <w:p w:rsidR="006B595A" w:rsidRDefault="006B595A" w:rsidP="006414C4">
            <w:pPr>
              <w:pStyle w:val="NoSpacing"/>
            </w:pPr>
            <w:r>
              <w:t>NA</w:t>
            </w:r>
          </w:p>
        </w:tc>
      </w:tr>
      <w:tr w:rsidR="00B879E4" w:rsidRPr="002155A1" w:rsidTr="00B05DC2">
        <w:trPr>
          <w:cantSplit/>
          <w:trHeight w:val="523"/>
        </w:trPr>
        <w:tc>
          <w:tcPr>
            <w:tcW w:w="1092" w:type="dxa"/>
          </w:tcPr>
          <w:p w:rsidR="00B879E4" w:rsidRPr="002155A1" w:rsidRDefault="006B595A" w:rsidP="006414C4">
            <w:pPr>
              <w:pStyle w:val="NoSpacing"/>
            </w:pPr>
            <w:r>
              <w:t>1.1</w:t>
            </w:r>
          </w:p>
        </w:tc>
        <w:tc>
          <w:tcPr>
            <w:tcW w:w="2149" w:type="dxa"/>
          </w:tcPr>
          <w:p w:rsidR="00B879E4" w:rsidRPr="002155A1" w:rsidRDefault="006B595A" w:rsidP="006414C4">
            <w:pPr>
              <w:pStyle w:val="NoSpacing"/>
            </w:pPr>
            <w:r>
              <w:t>9 April 2018</w:t>
            </w:r>
          </w:p>
        </w:tc>
        <w:tc>
          <w:tcPr>
            <w:tcW w:w="2537" w:type="dxa"/>
          </w:tcPr>
          <w:p w:rsidR="00B879E4" w:rsidRPr="002155A1" w:rsidRDefault="00E428D4" w:rsidP="006414C4">
            <w:pPr>
              <w:pStyle w:val="NoSpacing"/>
            </w:pPr>
            <w:r>
              <w:t>Mehrdad Rezazadeh</w:t>
            </w:r>
          </w:p>
        </w:tc>
        <w:tc>
          <w:tcPr>
            <w:tcW w:w="3828" w:type="dxa"/>
          </w:tcPr>
          <w:p w:rsidR="00B879E4" w:rsidRPr="002155A1" w:rsidRDefault="006B595A" w:rsidP="006414C4">
            <w:pPr>
              <w:pStyle w:val="NoSpacing"/>
            </w:pPr>
            <w:r>
              <w:t>Update post-review</w:t>
            </w:r>
          </w:p>
        </w:tc>
      </w:tr>
      <w:tr w:rsidR="00E428D4" w:rsidRPr="002155A1" w:rsidTr="00B05DC2">
        <w:trPr>
          <w:cantSplit/>
          <w:trHeight w:val="523"/>
        </w:trPr>
        <w:tc>
          <w:tcPr>
            <w:tcW w:w="1092" w:type="dxa"/>
          </w:tcPr>
          <w:p w:rsidR="00E428D4" w:rsidRPr="002155A1" w:rsidRDefault="00E428D4" w:rsidP="006414C4">
            <w:pPr>
              <w:pStyle w:val="NoSpacing"/>
            </w:pPr>
            <w:r>
              <w:t>2.0</w:t>
            </w:r>
          </w:p>
        </w:tc>
        <w:tc>
          <w:tcPr>
            <w:tcW w:w="2149" w:type="dxa"/>
          </w:tcPr>
          <w:p w:rsidR="00E428D4" w:rsidRDefault="00931514" w:rsidP="006414C4">
            <w:pPr>
              <w:pStyle w:val="NoSpacing"/>
            </w:pPr>
            <w:r>
              <w:t>21 May 2018</w:t>
            </w:r>
          </w:p>
        </w:tc>
        <w:tc>
          <w:tcPr>
            <w:tcW w:w="2537" w:type="dxa"/>
          </w:tcPr>
          <w:p w:rsidR="00E428D4" w:rsidRDefault="00E428D4" w:rsidP="006414C4">
            <w:pPr>
              <w:pStyle w:val="NoSpacing"/>
            </w:pPr>
            <w:r>
              <w:t>Mehrdad Rezazadeh</w:t>
            </w:r>
          </w:p>
        </w:tc>
        <w:tc>
          <w:tcPr>
            <w:tcW w:w="3828" w:type="dxa"/>
          </w:tcPr>
          <w:p w:rsidR="00E428D4" w:rsidRDefault="00931514" w:rsidP="006414C4">
            <w:pPr>
              <w:pStyle w:val="NoSpacing"/>
            </w:pPr>
            <w:r>
              <w:t>Update post-review</w:t>
            </w:r>
          </w:p>
        </w:tc>
      </w:tr>
      <w:tr w:rsidR="00E428D4" w:rsidRPr="002155A1" w:rsidTr="00B05DC2">
        <w:trPr>
          <w:cantSplit/>
          <w:trHeight w:val="523"/>
        </w:trPr>
        <w:tc>
          <w:tcPr>
            <w:tcW w:w="1092" w:type="dxa"/>
          </w:tcPr>
          <w:p w:rsidR="00E428D4" w:rsidRDefault="00E428D4" w:rsidP="006414C4">
            <w:pPr>
              <w:pStyle w:val="NoSpacing"/>
            </w:pPr>
            <w:r>
              <w:t>3.0</w:t>
            </w:r>
          </w:p>
        </w:tc>
        <w:tc>
          <w:tcPr>
            <w:tcW w:w="2149" w:type="dxa"/>
          </w:tcPr>
          <w:p w:rsidR="00E428D4" w:rsidRDefault="00F61F57" w:rsidP="006414C4">
            <w:pPr>
              <w:pStyle w:val="NoSpacing"/>
            </w:pPr>
            <w:r>
              <w:t>10</w:t>
            </w:r>
            <w:r w:rsidR="00E428D4">
              <w:t xml:space="preserve"> August 2018</w:t>
            </w:r>
          </w:p>
        </w:tc>
        <w:tc>
          <w:tcPr>
            <w:tcW w:w="2537" w:type="dxa"/>
          </w:tcPr>
          <w:p w:rsidR="00E428D4" w:rsidRDefault="00E428D4" w:rsidP="006414C4">
            <w:pPr>
              <w:pStyle w:val="NoSpacing"/>
            </w:pPr>
            <w:r>
              <w:t>Christine Cakebread</w:t>
            </w:r>
          </w:p>
        </w:tc>
        <w:tc>
          <w:tcPr>
            <w:tcW w:w="3828" w:type="dxa"/>
          </w:tcPr>
          <w:p w:rsidR="00E428D4" w:rsidRDefault="00931514" w:rsidP="006414C4">
            <w:pPr>
              <w:pStyle w:val="NoSpacing"/>
            </w:pPr>
            <w:r>
              <w:t>Formatting</w:t>
            </w:r>
          </w:p>
        </w:tc>
      </w:tr>
      <w:tr w:rsidR="008C5A9B" w:rsidRPr="002155A1" w:rsidTr="00B05DC2">
        <w:trPr>
          <w:cantSplit/>
          <w:trHeight w:val="523"/>
        </w:trPr>
        <w:tc>
          <w:tcPr>
            <w:tcW w:w="1092" w:type="dxa"/>
          </w:tcPr>
          <w:p w:rsidR="008C5A9B" w:rsidRDefault="008C5A9B" w:rsidP="006414C4">
            <w:pPr>
              <w:pStyle w:val="NoSpacing"/>
            </w:pPr>
            <w:r>
              <w:t>4.0</w:t>
            </w:r>
          </w:p>
        </w:tc>
        <w:tc>
          <w:tcPr>
            <w:tcW w:w="2149" w:type="dxa"/>
          </w:tcPr>
          <w:p w:rsidR="008C5A9B" w:rsidRDefault="008C5A9B" w:rsidP="006414C4">
            <w:pPr>
              <w:pStyle w:val="NoSpacing"/>
            </w:pPr>
            <w:r>
              <w:t>5 October 2018</w:t>
            </w:r>
          </w:p>
        </w:tc>
        <w:tc>
          <w:tcPr>
            <w:tcW w:w="2537" w:type="dxa"/>
          </w:tcPr>
          <w:p w:rsidR="008C5A9B" w:rsidRDefault="008C5A9B" w:rsidP="006414C4">
            <w:pPr>
              <w:pStyle w:val="NoSpacing"/>
            </w:pPr>
            <w:r>
              <w:t>Mehrdad Rezazadeh</w:t>
            </w:r>
          </w:p>
        </w:tc>
        <w:tc>
          <w:tcPr>
            <w:tcW w:w="3828" w:type="dxa"/>
          </w:tcPr>
          <w:p w:rsidR="008C5A9B" w:rsidRDefault="008C5A9B" w:rsidP="006414C4">
            <w:pPr>
              <w:pStyle w:val="NoSpacing"/>
            </w:pPr>
            <w:r>
              <w:t>Update post-review</w:t>
            </w:r>
          </w:p>
        </w:tc>
      </w:tr>
    </w:tbl>
    <w:p w:rsidR="00B879E4" w:rsidRPr="0068114B" w:rsidRDefault="00B879E4" w:rsidP="00E01348"/>
    <w:tbl>
      <w:tblPr>
        <w:tblStyle w:val="TableGrid"/>
        <w:tblW w:w="0" w:type="auto"/>
        <w:tblCellMar>
          <w:top w:w="57" w:type="dxa"/>
          <w:bottom w:w="57" w:type="dxa"/>
        </w:tblCellMar>
        <w:tblLook w:val="06A0" w:firstRow="1" w:lastRow="0" w:firstColumn="1" w:lastColumn="0" w:noHBand="1" w:noVBand="1"/>
        <w:tblDescription w:val="Acronyms used in the document showing Acronym and full form"/>
      </w:tblPr>
      <w:tblGrid>
        <w:gridCol w:w="2376"/>
        <w:gridCol w:w="7194"/>
      </w:tblGrid>
      <w:tr w:rsidR="00B879E4" w:rsidRPr="0068114B" w:rsidTr="00B05DC2">
        <w:trPr>
          <w:cantSplit/>
          <w:tblHeader/>
        </w:trPr>
        <w:tc>
          <w:tcPr>
            <w:tcW w:w="9570" w:type="dxa"/>
            <w:gridSpan w:val="2"/>
            <w:shd w:val="clear" w:color="auto" w:fill="BFBFBF" w:themeFill="background1" w:themeFillShade="BF"/>
          </w:tcPr>
          <w:p w:rsidR="00B879E4" w:rsidRPr="0068114B" w:rsidRDefault="00B879E4" w:rsidP="006414C4">
            <w:pPr>
              <w:pStyle w:val="NoSpacing"/>
              <w:rPr>
                <w:b/>
              </w:rPr>
            </w:pPr>
            <w:r w:rsidRPr="006414C4">
              <w:rPr>
                <w:rFonts w:ascii="Lato Black" w:hAnsi="Lato Black"/>
                <w:b/>
              </w:rPr>
              <w:t>Acronyms</w:t>
            </w:r>
            <w:r w:rsidRPr="006414C4">
              <w:rPr>
                <w:rFonts w:ascii="Lato Black" w:hAnsi="Lato Black"/>
                <w:b/>
              </w:rPr>
              <w:br/>
            </w:r>
            <w:r w:rsidRPr="0068114B">
              <w:t>The following acronyms are used in this document</w:t>
            </w:r>
          </w:p>
        </w:tc>
      </w:tr>
      <w:tr w:rsidR="00B879E4" w:rsidRPr="0068114B" w:rsidTr="00B05DC2">
        <w:trPr>
          <w:cantSplit/>
        </w:trPr>
        <w:tc>
          <w:tcPr>
            <w:tcW w:w="2376" w:type="dxa"/>
          </w:tcPr>
          <w:p w:rsidR="00B879E4" w:rsidRPr="0068114B" w:rsidRDefault="00865482" w:rsidP="006414C4">
            <w:pPr>
              <w:pStyle w:val="NoSpacing"/>
            </w:pPr>
            <w:r>
              <w:t>NTG</w:t>
            </w:r>
          </w:p>
        </w:tc>
        <w:tc>
          <w:tcPr>
            <w:tcW w:w="7194" w:type="dxa"/>
          </w:tcPr>
          <w:p w:rsidR="00B879E4" w:rsidRPr="0068114B" w:rsidRDefault="00865482" w:rsidP="006414C4">
            <w:pPr>
              <w:pStyle w:val="NoSpacing"/>
            </w:pPr>
            <w:r>
              <w:t>Northern Territory Government</w:t>
            </w:r>
          </w:p>
        </w:tc>
      </w:tr>
    </w:tbl>
    <w:p w:rsidR="00B879E4" w:rsidRDefault="004F3DD3" w:rsidP="00E01348">
      <w:pPr>
        <w:pStyle w:val="TOCHeading"/>
      </w:pPr>
      <w:r>
        <w:br w:type="page"/>
      </w:r>
    </w:p>
    <w:sdt>
      <w:sdtPr>
        <w:rPr>
          <w:rFonts w:ascii="Lato" w:eastAsia="Times New Roman" w:hAnsi="Lato" w:cs="Times New Roman"/>
          <w:b/>
          <w:bCs w:val="0"/>
          <w:sz w:val="22"/>
          <w:szCs w:val="20"/>
          <w:lang w:val="en-AU" w:eastAsia="en-AU"/>
        </w:rPr>
        <w:id w:val="-88318220"/>
        <w:docPartObj>
          <w:docPartGallery w:val="Table of Contents"/>
          <w:docPartUnique/>
        </w:docPartObj>
      </w:sdtPr>
      <w:sdtEndPr>
        <w:rPr>
          <w:rFonts w:cs="Arial"/>
          <w:b w:val="0"/>
          <w:noProof/>
        </w:rPr>
      </w:sdtEndPr>
      <w:sdtContent>
        <w:p w:rsidR="00B879E4" w:rsidRPr="00E01348" w:rsidRDefault="00B879E4" w:rsidP="00E01348">
          <w:pPr>
            <w:pStyle w:val="TOCHeading"/>
          </w:pPr>
          <w:r w:rsidRPr="00E01348">
            <w:t>Contents</w:t>
          </w:r>
        </w:p>
        <w:p w:rsidR="00C879A8" w:rsidRDefault="00B879E4">
          <w:pPr>
            <w:pStyle w:val="TOC1"/>
            <w:rPr>
              <w:rFonts w:asciiTheme="minorHAnsi" w:eastAsiaTheme="minorEastAsia" w:hAnsiTheme="minorHAnsi" w:cstheme="minorBidi"/>
              <w:b w:val="0"/>
              <w:noProof/>
              <w:szCs w:val="22"/>
            </w:rPr>
          </w:pPr>
          <w:r w:rsidRPr="00E01348">
            <w:fldChar w:fldCharType="begin"/>
          </w:r>
          <w:r w:rsidRPr="00E01348">
            <w:instrText xml:space="preserve"> TOC \o "1-3" \h \z \u </w:instrText>
          </w:r>
          <w:r w:rsidRPr="00E01348">
            <w:fldChar w:fldCharType="separate"/>
          </w:r>
          <w:hyperlink w:anchor="_Toc522179267" w:history="1">
            <w:r w:rsidR="00C879A8" w:rsidRPr="00EC6E90">
              <w:rPr>
                <w:rStyle w:val="Hyperlink"/>
                <w:noProof/>
              </w:rPr>
              <w:t>Purpose</w:t>
            </w:r>
            <w:r w:rsidR="00C879A8">
              <w:rPr>
                <w:noProof/>
                <w:webHidden/>
              </w:rPr>
              <w:tab/>
            </w:r>
            <w:r w:rsidR="00C879A8">
              <w:rPr>
                <w:noProof/>
                <w:webHidden/>
              </w:rPr>
              <w:fldChar w:fldCharType="begin"/>
            </w:r>
            <w:r w:rsidR="00C879A8">
              <w:rPr>
                <w:noProof/>
                <w:webHidden/>
              </w:rPr>
              <w:instrText xml:space="preserve"> PAGEREF _Toc522179267 \h </w:instrText>
            </w:r>
            <w:r w:rsidR="00C879A8">
              <w:rPr>
                <w:noProof/>
                <w:webHidden/>
              </w:rPr>
            </w:r>
            <w:r w:rsidR="00C879A8">
              <w:rPr>
                <w:noProof/>
                <w:webHidden/>
              </w:rPr>
              <w:fldChar w:fldCharType="separate"/>
            </w:r>
            <w:r w:rsidR="00500831">
              <w:rPr>
                <w:noProof/>
                <w:webHidden/>
              </w:rPr>
              <w:t>4</w:t>
            </w:r>
            <w:r w:rsidR="00C879A8">
              <w:rPr>
                <w:noProof/>
                <w:webHidden/>
              </w:rPr>
              <w:fldChar w:fldCharType="end"/>
            </w:r>
          </w:hyperlink>
        </w:p>
        <w:p w:rsidR="00C879A8" w:rsidRDefault="001714DA">
          <w:pPr>
            <w:pStyle w:val="TOC1"/>
            <w:rPr>
              <w:rFonts w:asciiTheme="minorHAnsi" w:eastAsiaTheme="minorEastAsia" w:hAnsiTheme="minorHAnsi" w:cstheme="minorBidi"/>
              <w:b w:val="0"/>
              <w:noProof/>
              <w:szCs w:val="22"/>
            </w:rPr>
          </w:pPr>
          <w:hyperlink w:anchor="_Toc522179268" w:history="1">
            <w:r w:rsidR="00C879A8" w:rsidRPr="00EC6E90">
              <w:rPr>
                <w:rStyle w:val="Hyperlink"/>
                <w:noProof/>
              </w:rPr>
              <w:t>Variation of Technical Work Program</w:t>
            </w:r>
            <w:r w:rsidR="00C879A8">
              <w:rPr>
                <w:noProof/>
                <w:webHidden/>
              </w:rPr>
              <w:tab/>
            </w:r>
            <w:r w:rsidR="00C879A8">
              <w:rPr>
                <w:noProof/>
                <w:webHidden/>
              </w:rPr>
              <w:fldChar w:fldCharType="begin"/>
            </w:r>
            <w:r w:rsidR="00C879A8">
              <w:rPr>
                <w:noProof/>
                <w:webHidden/>
              </w:rPr>
              <w:instrText xml:space="preserve"> PAGEREF _Toc522179268 \h </w:instrText>
            </w:r>
            <w:r w:rsidR="00C879A8">
              <w:rPr>
                <w:noProof/>
                <w:webHidden/>
              </w:rPr>
            </w:r>
            <w:r w:rsidR="00C879A8">
              <w:rPr>
                <w:noProof/>
                <w:webHidden/>
              </w:rPr>
              <w:fldChar w:fldCharType="separate"/>
            </w:r>
            <w:r w:rsidR="00500831">
              <w:rPr>
                <w:noProof/>
                <w:webHidden/>
              </w:rPr>
              <w:t>4</w:t>
            </w:r>
            <w:r w:rsidR="00C879A8">
              <w:rPr>
                <w:noProof/>
                <w:webHidden/>
              </w:rPr>
              <w:fldChar w:fldCharType="end"/>
            </w:r>
          </w:hyperlink>
        </w:p>
        <w:p w:rsidR="00C879A8" w:rsidRDefault="001714DA">
          <w:pPr>
            <w:pStyle w:val="TOC1"/>
            <w:rPr>
              <w:rFonts w:asciiTheme="minorHAnsi" w:eastAsiaTheme="minorEastAsia" w:hAnsiTheme="minorHAnsi" w:cstheme="minorBidi"/>
              <w:b w:val="0"/>
              <w:noProof/>
              <w:szCs w:val="22"/>
            </w:rPr>
          </w:pPr>
          <w:hyperlink w:anchor="_Toc522179269" w:history="1">
            <w:r w:rsidR="00C879A8" w:rsidRPr="00EC6E90">
              <w:rPr>
                <w:rStyle w:val="Hyperlink"/>
                <w:noProof/>
              </w:rPr>
              <w:t>Suspension and/or Extension of Technical Work Program</w:t>
            </w:r>
            <w:r w:rsidR="00C879A8">
              <w:rPr>
                <w:noProof/>
                <w:webHidden/>
              </w:rPr>
              <w:tab/>
            </w:r>
            <w:r w:rsidR="00C879A8">
              <w:rPr>
                <w:noProof/>
                <w:webHidden/>
              </w:rPr>
              <w:fldChar w:fldCharType="begin"/>
            </w:r>
            <w:r w:rsidR="00C879A8">
              <w:rPr>
                <w:noProof/>
                <w:webHidden/>
              </w:rPr>
              <w:instrText xml:space="preserve"> PAGEREF _Toc522179269 \h </w:instrText>
            </w:r>
            <w:r w:rsidR="00C879A8">
              <w:rPr>
                <w:noProof/>
                <w:webHidden/>
              </w:rPr>
            </w:r>
            <w:r w:rsidR="00C879A8">
              <w:rPr>
                <w:noProof/>
                <w:webHidden/>
              </w:rPr>
              <w:fldChar w:fldCharType="separate"/>
            </w:r>
            <w:r w:rsidR="00500831">
              <w:rPr>
                <w:noProof/>
                <w:webHidden/>
              </w:rPr>
              <w:t>5</w:t>
            </w:r>
            <w:r w:rsidR="00C879A8">
              <w:rPr>
                <w:noProof/>
                <w:webHidden/>
              </w:rPr>
              <w:fldChar w:fldCharType="end"/>
            </w:r>
          </w:hyperlink>
        </w:p>
        <w:p w:rsidR="00C879A8" w:rsidRDefault="001714DA">
          <w:pPr>
            <w:pStyle w:val="TOC1"/>
            <w:rPr>
              <w:rFonts w:asciiTheme="minorHAnsi" w:eastAsiaTheme="minorEastAsia" w:hAnsiTheme="minorHAnsi" w:cstheme="minorBidi"/>
              <w:b w:val="0"/>
              <w:noProof/>
              <w:szCs w:val="22"/>
            </w:rPr>
          </w:pPr>
          <w:hyperlink w:anchor="_Toc522179270" w:history="1">
            <w:r w:rsidR="00C879A8" w:rsidRPr="00EC6E90">
              <w:rPr>
                <w:rStyle w:val="Hyperlink"/>
                <w:noProof/>
              </w:rPr>
              <w:t>Force Majeure</w:t>
            </w:r>
            <w:r w:rsidR="00C879A8">
              <w:rPr>
                <w:noProof/>
                <w:webHidden/>
              </w:rPr>
              <w:tab/>
            </w:r>
            <w:r w:rsidR="00C879A8">
              <w:rPr>
                <w:noProof/>
                <w:webHidden/>
              </w:rPr>
              <w:fldChar w:fldCharType="begin"/>
            </w:r>
            <w:r w:rsidR="00C879A8">
              <w:rPr>
                <w:noProof/>
                <w:webHidden/>
              </w:rPr>
              <w:instrText xml:space="preserve"> PAGEREF _Toc522179270 \h </w:instrText>
            </w:r>
            <w:r w:rsidR="00C879A8">
              <w:rPr>
                <w:noProof/>
                <w:webHidden/>
              </w:rPr>
            </w:r>
            <w:r w:rsidR="00C879A8">
              <w:rPr>
                <w:noProof/>
                <w:webHidden/>
              </w:rPr>
              <w:fldChar w:fldCharType="separate"/>
            </w:r>
            <w:r w:rsidR="00500831">
              <w:rPr>
                <w:noProof/>
                <w:webHidden/>
              </w:rPr>
              <w:t>6</w:t>
            </w:r>
            <w:r w:rsidR="00C879A8">
              <w:rPr>
                <w:noProof/>
                <w:webHidden/>
              </w:rPr>
              <w:fldChar w:fldCharType="end"/>
            </w:r>
          </w:hyperlink>
        </w:p>
        <w:p w:rsidR="00C879A8" w:rsidRDefault="001714DA">
          <w:pPr>
            <w:pStyle w:val="TOC1"/>
            <w:rPr>
              <w:rFonts w:asciiTheme="minorHAnsi" w:eastAsiaTheme="minorEastAsia" w:hAnsiTheme="minorHAnsi" w:cstheme="minorBidi"/>
              <w:b w:val="0"/>
              <w:noProof/>
              <w:szCs w:val="22"/>
            </w:rPr>
          </w:pPr>
          <w:hyperlink w:anchor="_Toc522179271" w:history="1">
            <w:r w:rsidR="00C879A8" w:rsidRPr="00EC6E90">
              <w:rPr>
                <w:rStyle w:val="Hyperlink"/>
                <w:noProof/>
              </w:rPr>
              <w:t>Related Legislation</w:t>
            </w:r>
            <w:r w:rsidR="00C879A8">
              <w:rPr>
                <w:noProof/>
                <w:webHidden/>
              </w:rPr>
              <w:tab/>
            </w:r>
            <w:r w:rsidR="00C879A8">
              <w:rPr>
                <w:noProof/>
                <w:webHidden/>
              </w:rPr>
              <w:fldChar w:fldCharType="begin"/>
            </w:r>
            <w:r w:rsidR="00C879A8">
              <w:rPr>
                <w:noProof/>
                <w:webHidden/>
              </w:rPr>
              <w:instrText xml:space="preserve"> PAGEREF _Toc522179271 \h </w:instrText>
            </w:r>
            <w:r w:rsidR="00C879A8">
              <w:rPr>
                <w:noProof/>
                <w:webHidden/>
              </w:rPr>
            </w:r>
            <w:r w:rsidR="00C879A8">
              <w:rPr>
                <w:noProof/>
                <w:webHidden/>
              </w:rPr>
              <w:fldChar w:fldCharType="separate"/>
            </w:r>
            <w:r w:rsidR="00500831">
              <w:rPr>
                <w:noProof/>
                <w:webHidden/>
              </w:rPr>
              <w:t>6</w:t>
            </w:r>
            <w:r w:rsidR="00C879A8">
              <w:rPr>
                <w:noProof/>
                <w:webHidden/>
              </w:rPr>
              <w:fldChar w:fldCharType="end"/>
            </w:r>
          </w:hyperlink>
        </w:p>
        <w:p w:rsidR="00C879A8" w:rsidRDefault="001714DA">
          <w:pPr>
            <w:pStyle w:val="TOC1"/>
            <w:rPr>
              <w:rFonts w:asciiTheme="minorHAnsi" w:eastAsiaTheme="minorEastAsia" w:hAnsiTheme="minorHAnsi" w:cstheme="minorBidi"/>
              <w:b w:val="0"/>
              <w:noProof/>
              <w:szCs w:val="22"/>
            </w:rPr>
          </w:pPr>
          <w:hyperlink w:anchor="_Toc522179272" w:history="1">
            <w:r w:rsidR="00C879A8" w:rsidRPr="00EC6E90">
              <w:rPr>
                <w:rStyle w:val="Hyperlink"/>
                <w:noProof/>
              </w:rPr>
              <w:t>Further Information</w:t>
            </w:r>
            <w:r w:rsidR="00C879A8">
              <w:rPr>
                <w:noProof/>
                <w:webHidden/>
              </w:rPr>
              <w:tab/>
            </w:r>
            <w:r w:rsidR="00C879A8">
              <w:rPr>
                <w:noProof/>
                <w:webHidden/>
              </w:rPr>
              <w:fldChar w:fldCharType="begin"/>
            </w:r>
            <w:r w:rsidR="00C879A8">
              <w:rPr>
                <w:noProof/>
                <w:webHidden/>
              </w:rPr>
              <w:instrText xml:space="preserve"> PAGEREF _Toc522179272 \h </w:instrText>
            </w:r>
            <w:r w:rsidR="00C879A8">
              <w:rPr>
                <w:noProof/>
                <w:webHidden/>
              </w:rPr>
            </w:r>
            <w:r w:rsidR="00C879A8">
              <w:rPr>
                <w:noProof/>
                <w:webHidden/>
              </w:rPr>
              <w:fldChar w:fldCharType="separate"/>
            </w:r>
            <w:r w:rsidR="00500831">
              <w:rPr>
                <w:noProof/>
                <w:webHidden/>
              </w:rPr>
              <w:t>6</w:t>
            </w:r>
            <w:r w:rsidR="00C879A8">
              <w:rPr>
                <w:noProof/>
                <w:webHidden/>
              </w:rPr>
              <w:fldChar w:fldCharType="end"/>
            </w:r>
          </w:hyperlink>
        </w:p>
        <w:p w:rsidR="00B879E4" w:rsidRPr="00E01348" w:rsidRDefault="00B879E4" w:rsidP="00E01348">
          <w:pPr>
            <w:rPr>
              <w:noProof/>
            </w:rPr>
          </w:pPr>
          <w:r w:rsidRPr="00E01348">
            <w:rPr>
              <w:b/>
              <w:bCs/>
              <w:noProof/>
              <w:sz w:val="24"/>
              <w:szCs w:val="24"/>
            </w:rPr>
            <w:fldChar w:fldCharType="end"/>
          </w:r>
        </w:p>
      </w:sdtContent>
    </w:sdt>
    <w:p w:rsidR="00B879E4" w:rsidRDefault="00B879E4" w:rsidP="00E01348">
      <w:r>
        <w:br w:type="page"/>
      </w:r>
    </w:p>
    <w:p w:rsidR="00B879E4" w:rsidRPr="00E01348" w:rsidRDefault="00B879E4" w:rsidP="00E01348">
      <w:pPr>
        <w:pStyle w:val="Heading1"/>
      </w:pPr>
      <w:bookmarkStart w:id="1" w:name="_Toc522179267"/>
      <w:r w:rsidRPr="00E01348">
        <w:lastRenderedPageBreak/>
        <w:t>Purpose</w:t>
      </w:r>
      <w:bookmarkEnd w:id="1"/>
    </w:p>
    <w:p w:rsidR="008A2452" w:rsidRDefault="008A2452" w:rsidP="008A2452">
      <w:r w:rsidRPr="00E01348">
        <w:t xml:space="preserve">This </w:t>
      </w:r>
      <w:r>
        <w:t>guideline</w:t>
      </w:r>
      <w:r w:rsidRPr="00E01348">
        <w:t xml:space="preserve"> aims to ensure that</w:t>
      </w:r>
      <w:r>
        <w:t xml:space="preserve"> the</w:t>
      </w:r>
      <w:r w:rsidRPr="00E01348">
        <w:t xml:space="preserve"> Northern Territory Government (</w:t>
      </w:r>
      <w:smartTag w:uri="urn:schemas-microsoft-com:office:smarttags" w:element="stockticker">
        <w:r w:rsidRPr="00E01348">
          <w:t>NTG</w:t>
        </w:r>
      </w:smartTag>
      <w:r w:rsidRPr="00E01348">
        <w:t>)</w:t>
      </w:r>
      <w:r>
        <w:t xml:space="preserve"> continues to assist oil and gas explorers to carry out effective exploration and to ultimately develop petroleum </w:t>
      </w:r>
      <w:r w:rsidR="00DA7BA0">
        <w:t>resources</w:t>
      </w:r>
      <w:r>
        <w:t xml:space="preserve"> for the benefit of the Territory economy</w:t>
      </w:r>
      <w:r w:rsidRPr="00E01348">
        <w:t>, while still meeting legislative requirements and providing t</w:t>
      </w:r>
      <w:r>
        <w:t>ransparency and accountability.</w:t>
      </w:r>
    </w:p>
    <w:p w:rsidR="008A2452" w:rsidRDefault="008A2452" w:rsidP="008A2452">
      <w:r w:rsidRPr="00E01348">
        <w:t xml:space="preserve">The </w:t>
      </w:r>
      <w:r>
        <w:t>guideline</w:t>
      </w:r>
      <w:r w:rsidRPr="00E01348">
        <w:t xml:space="preserve"> applies to all </w:t>
      </w:r>
      <w:r>
        <w:t xml:space="preserve">exploration permit holders or their representatives who wish to apply for a variation, suspension and/or extension to their </w:t>
      </w:r>
      <w:r w:rsidR="009A6763">
        <w:t>technical work program</w:t>
      </w:r>
      <w:r w:rsidRPr="00E01348">
        <w:t>.</w:t>
      </w:r>
    </w:p>
    <w:p w:rsidR="008A2452" w:rsidRPr="00E01348" w:rsidRDefault="008A2452" w:rsidP="008A2452">
      <w:r>
        <w:t>By following the requirements in this guideline you will ensure that your application is processed in a timely way with minimal disruption to you.</w:t>
      </w:r>
    </w:p>
    <w:p w:rsidR="00B879E4" w:rsidRPr="0068114B" w:rsidRDefault="009A6763" w:rsidP="00E01348">
      <w:pPr>
        <w:pStyle w:val="Heading1"/>
      </w:pPr>
      <w:bookmarkStart w:id="2" w:name="_Toc522179268"/>
      <w:r>
        <w:t>Variation of Technical Work Program</w:t>
      </w:r>
      <w:bookmarkEnd w:id="2"/>
    </w:p>
    <w:p w:rsidR="007B63FE" w:rsidRDefault="007B63FE" w:rsidP="007B63FE">
      <w:r>
        <w:t>You may lodge an application for a variation</w:t>
      </w:r>
      <w:r w:rsidR="00A95E20">
        <w:t xml:space="preserve"> to your technical work program</w:t>
      </w:r>
      <w:r>
        <w:t xml:space="preserve"> at any time, however you must ensure </w:t>
      </w:r>
      <w:r w:rsidR="005919ED">
        <w:t>adequate time is given for an assessment to be made before entering the next year/period.</w:t>
      </w:r>
    </w:p>
    <w:p w:rsidR="007B63FE" w:rsidRDefault="005919ED" w:rsidP="007B63FE">
      <w:r>
        <w:t>It is recommended that you lodge your application two months prior to entering the year the variation is proposed, e.g. if the variation is to apply to Year 4 the application should be lodged two months prior to entering Year 4.</w:t>
      </w:r>
    </w:p>
    <w:p w:rsidR="007B63FE" w:rsidRDefault="005919ED" w:rsidP="007B63FE">
      <w:r>
        <w:t xml:space="preserve">While a variation may be necessary to meet your exploration activities in light of new information, </w:t>
      </w:r>
      <w:r w:rsidR="00676A0C">
        <w:t>the program must</w:t>
      </w:r>
      <w:r>
        <w:t xml:space="preserve"> continue to be beneficial to the understanding of the permit resource potential.</w:t>
      </w:r>
    </w:p>
    <w:p w:rsidR="007B63FE" w:rsidRDefault="00676A0C" w:rsidP="007B63FE">
      <w:r>
        <w:t>Generally, only variations that are equivalent to or exceed the original work program will be approved.</w:t>
      </w:r>
    </w:p>
    <w:p w:rsidR="00676A0C" w:rsidRDefault="00910487" w:rsidP="007B63FE">
      <w:r>
        <w:t xml:space="preserve">A variation </w:t>
      </w:r>
      <w:r w:rsidR="00A95E20">
        <w:t>to</w:t>
      </w:r>
      <w:r>
        <w:t xml:space="preserve"> reduc</w:t>
      </w:r>
      <w:r w:rsidR="00A95E20">
        <w:t>e</w:t>
      </w:r>
      <w:r>
        <w:t xml:space="preserve"> a work program will only be approved in special circumstances.</w:t>
      </w:r>
    </w:p>
    <w:p w:rsidR="00910487" w:rsidRDefault="00910487" w:rsidP="007B63FE">
      <w:r>
        <w:t>If a work p</w:t>
      </w:r>
      <w:r w:rsidR="00A95E20">
        <w:t>rogram consists of</w:t>
      </w:r>
      <w:r>
        <w:t xml:space="preserve"> one well, the program cannot be varied to drop that well as this will significantly impact </w:t>
      </w:r>
      <w:r w:rsidR="00A95E20">
        <w:t>the</w:t>
      </w:r>
      <w:r>
        <w:t xml:space="preserve"> chance of making a commercial petroleum discovery. If you believe that there is no drillable prospect in an exploration permit, you should consider</w:t>
      </w:r>
      <w:r w:rsidR="005B0922">
        <w:t xml:space="preserve"> surrendering it.</w:t>
      </w:r>
    </w:p>
    <w:p w:rsidR="005B0922" w:rsidRDefault="005B0922" w:rsidP="007B63FE">
      <w:r>
        <w:t>If a work program consists of more than one well, you may apply to reduce the number of wells.</w:t>
      </w:r>
    </w:p>
    <w:p w:rsidR="005B0922" w:rsidRDefault="005B0922" w:rsidP="007B63FE">
      <w:r>
        <w:t>You may also apply to reduce a seismic acquisition/processing or airborne geophysical survey commitment in your work program.</w:t>
      </w:r>
    </w:p>
    <w:p w:rsidR="005B0922" w:rsidRDefault="005B0922" w:rsidP="007B63FE">
      <w:r>
        <w:t>When assessing your application for a variation, the following will be considered:</w:t>
      </w:r>
    </w:p>
    <w:p w:rsidR="005B0922" w:rsidRDefault="005B0922" w:rsidP="005B0922">
      <w:pPr>
        <w:pStyle w:val="ListParagraph"/>
        <w:numPr>
          <w:ilvl w:val="0"/>
          <w:numId w:val="4"/>
        </w:numPr>
        <w:spacing w:after="120"/>
        <w:ind w:left="1077" w:hanging="357"/>
        <w:contextualSpacing w:val="0"/>
      </w:pPr>
      <w:r>
        <w:t>whether your varied work program meets or exceeds the objectives of the original program</w:t>
      </w:r>
    </w:p>
    <w:p w:rsidR="005B0922" w:rsidRDefault="005B0922" w:rsidP="005B0922">
      <w:pPr>
        <w:pStyle w:val="ListParagraph"/>
        <w:numPr>
          <w:ilvl w:val="0"/>
          <w:numId w:val="4"/>
        </w:numPr>
        <w:spacing w:after="120"/>
        <w:ind w:left="1077" w:hanging="357"/>
        <w:contextualSpacing w:val="0"/>
      </w:pPr>
      <w:r>
        <w:t xml:space="preserve">if you have demonstrated that significant effort has been made to identify and assess the petroleum potential of the permit </w:t>
      </w:r>
      <w:r w:rsidR="003C4148">
        <w:t>and have</w:t>
      </w:r>
      <w:r>
        <w:t xml:space="preserve"> provid</w:t>
      </w:r>
      <w:r w:rsidR="003C4148">
        <w:t>ed</w:t>
      </w:r>
      <w:r>
        <w:t xml:space="preserve"> compelling supportive documentary evidence</w:t>
      </w:r>
    </w:p>
    <w:p w:rsidR="005B0922" w:rsidRDefault="005B0922" w:rsidP="005B0922">
      <w:pPr>
        <w:pStyle w:val="ListParagraph"/>
        <w:numPr>
          <w:ilvl w:val="0"/>
          <w:numId w:val="4"/>
        </w:numPr>
        <w:spacing w:after="120"/>
        <w:ind w:left="1077" w:hanging="357"/>
        <w:contextualSpacing w:val="0"/>
      </w:pPr>
      <w:r>
        <w:t>if the geological and technical evaluation demonstrates that identified drillable prospects are less than the number of exploration wells proposed in the original work program.</w:t>
      </w:r>
    </w:p>
    <w:p w:rsidR="009A6763" w:rsidRPr="0068114B" w:rsidRDefault="009A6763" w:rsidP="009A6763">
      <w:pPr>
        <w:pStyle w:val="Heading1"/>
      </w:pPr>
      <w:bookmarkStart w:id="3" w:name="_Toc522179269"/>
      <w:r>
        <w:lastRenderedPageBreak/>
        <w:t>Suspension and/or Extension of Technical Work Program</w:t>
      </w:r>
      <w:bookmarkEnd w:id="3"/>
    </w:p>
    <w:p w:rsidR="009A6763" w:rsidRDefault="008B4847" w:rsidP="009A6763">
      <w:r>
        <w:t>You may lodge an application for a suspension and/or an extension of your</w:t>
      </w:r>
      <w:r w:rsidR="00C06A5B">
        <w:t xml:space="preserve"> technical</w:t>
      </w:r>
      <w:r>
        <w:t xml:space="preserve"> work program commitments where:</w:t>
      </w:r>
    </w:p>
    <w:p w:rsidR="008B4847" w:rsidRDefault="008B4847" w:rsidP="008B4847">
      <w:pPr>
        <w:pStyle w:val="ListParagraph"/>
        <w:numPr>
          <w:ilvl w:val="0"/>
          <w:numId w:val="4"/>
        </w:numPr>
        <w:spacing w:after="120"/>
        <w:ind w:left="1077" w:hanging="357"/>
        <w:contextualSpacing w:val="0"/>
      </w:pPr>
      <w:r>
        <w:t>geological knowledge is gained, i.e. you have technical and geological justification</w:t>
      </w:r>
    </w:p>
    <w:p w:rsidR="008B4847" w:rsidRDefault="008B4847" w:rsidP="008B4847">
      <w:pPr>
        <w:pStyle w:val="ListParagraph"/>
        <w:numPr>
          <w:ilvl w:val="0"/>
          <w:numId w:val="4"/>
        </w:numPr>
        <w:spacing w:after="120"/>
        <w:ind w:left="1077" w:hanging="357"/>
        <w:contextualSpacing w:val="0"/>
      </w:pPr>
      <w:r>
        <w:t>the timing of an activity is af</w:t>
      </w:r>
      <w:r w:rsidR="009A025F">
        <w:t xml:space="preserve">fected by a force majeure </w:t>
      </w:r>
      <w:r w:rsidR="008C5A9B">
        <w:t>circumstance</w:t>
      </w:r>
    </w:p>
    <w:p w:rsidR="009A025F" w:rsidRDefault="009A025F" w:rsidP="009A025F">
      <w:pPr>
        <w:pStyle w:val="ListParagraph"/>
        <w:numPr>
          <w:ilvl w:val="0"/>
          <w:numId w:val="4"/>
        </w:numPr>
        <w:spacing w:after="120"/>
        <w:contextualSpacing w:val="0"/>
      </w:pPr>
      <w:proofErr w:type="gramStart"/>
      <w:r>
        <w:t>the</w:t>
      </w:r>
      <w:proofErr w:type="gramEnd"/>
      <w:r>
        <w:t xml:space="preserve"> suspension </w:t>
      </w:r>
      <w:r w:rsidRPr="009A025F">
        <w:t>and/or an extension of your technical work program commitments</w:t>
      </w:r>
      <w:r>
        <w:t xml:space="preserve"> is in the best interests of the Territory.</w:t>
      </w:r>
    </w:p>
    <w:p w:rsidR="009A6763" w:rsidRDefault="00B4601E" w:rsidP="009A6763">
      <w:r>
        <w:t xml:space="preserve">A </w:t>
      </w:r>
      <w:r w:rsidRPr="00F61F57">
        <w:rPr>
          <w:u w:val="single"/>
        </w:rPr>
        <w:t>suspension</w:t>
      </w:r>
      <w:r>
        <w:t xml:space="preserve"> will defer the end date of a current permit year but will not change the end date of subsequent </w:t>
      </w:r>
      <w:r w:rsidR="00C06A5B">
        <w:t>permit years. That is</w:t>
      </w:r>
      <w:r w:rsidR="00F61F57">
        <w:t>,</w:t>
      </w:r>
      <w:r w:rsidR="00C06A5B">
        <w:t xml:space="preserve"> a suspension of a permit year suspends the deadline for compliance with a work program condition.</w:t>
      </w:r>
    </w:p>
    <w:p w:rsidR="00C06A5B" w:rsidRDefault="00C06A5B" w:rsidP="009A6763">
      <w:r>
        <w:t>An example of a 12 month suspension of permit year 3 is below.</w:t>
      </w:r>
    </w:p>
    <w:tbl>
      <w:tblPr>
        <w:tblW w:w="4595"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71"/>
        <w:gridCol w:w="1750"/>
        <w:gridCol w:w="1752"/>
        <w:gridCol w:w="4675"/>
      </w:tblGrid>
      <w:tr w:rsidR="00C06A5B" w:rsidRPr="00C06A5B" w:rsidTr="00C06A5B">
        <w:trPr>
          <w:trHeight w:val="552"/>
        </w:trPr>
        <w:tc>
          <w:tcPr>
            <w:tcW w:w="379" w:type="pct"/>
            <w:tcBorders>
              <w:top w:val="single" w:sz="4" w:space="0" w:color="auto"/>
              <w:left w:val="single" w:sz="4" w:space="0" w:color="auto"/>
              <w:bottom w:val="single" w:sz="4" w:space="0" w:color="auto"/>
              <w:right w:val="single" w:sz="4" w:space="0" w:color="auto"/>
            </w:tcBorders>
            <w:vAlign w:val="center"/>
            <w:hideMark/>
          </w:tcPr>
          <w:p w:rsidR="00C06A5B" w:rsidRPr="00C06A5B" w:rsidRDefault="00C06A5B" w:rsidP="00C06A5B">
            <w:pPr>
              <w:spacing w:after="0"/>
              <w:ind w:left="0"/>
              <w:jc w:val="center"/>
              <w:rPr>
                <w:b/>
              </w:rPr>
            </w:pPr>
            <w:r w:rsidRPr="00C06A5B">
              <w:rPr>
                <w:b/>
              </w:rPr>
              <w:t>Year</w:t>
            </w:r>
          </w:p>
        </w:tc>
        <w:tc>
          <w:tcPr>
            <w:tcW w:w="989" w:type="pct"/>
            <w:tcBorders>
              <w:top w:val="single" w:sz="4" w:space="0" w:color="auto"/>
              <w:left w:val="single" w:sz="4" w:space="0" w:color="auto"/>
              <w:bottom w:val="single" w:sz="4" w:space="0" w:color="auto"/>
              <w:right w:val="single" w:sz="4" w:space="0" w:color="auto"/>
            </w:tcBorders>
            <w:vAlign w:val="center"/>
            <w:hideMark/>
          </w:tcPr>
          <w:p w:rsidR="00C06A5B" w:rsidRPr="00C06A5B" w:rsidRDefault="00C06A5B" w:rsidP="00C06A5B">
            <w:pPr>
              <w:spacing w:after="0"/>
              <w:ind w:left="-102"/>
              <w:jc w:val="center"/>
              <w:rPr>
                <w:b/>
              </w:rPr>
            </w:pPr>
            <w:r w:rsidRPr="00C06A5B">
              <w:rPr>
                <w:b/>
              </w:rPr>
              <w:t>Permit Year Starts</w:t>
            </w:r>
          </w:p>
        </w:tc>
        <w:tc>
          <w:tcPr>
            <w:tcW w:w="990" w:type="pct"/>
            <w:tcBorders>
              <w:top w:val="single" w:sz="4" w:space="0" w:color="auto"/>
              <w:left w:val="single" w:sz="4" w:space="0" w:color="auto"/>
              <w:bottom w:val="single" w:sz="4" w:space="0" w:color="auto"/>
              <w:right w:val="single" w:sz="4" w:space="0" w:color="auto"/>
            </w:tcBorders>
            <w:vAlign w:val="center"/>
            <w:hideMark/>
          </w:tcPr>
          <w:p w:rsidR="00C06A5B" w:rsidRPr="00C06A5B" w:rsidRDefault="00C06A5B" w:rsidP="00C06A5B">
            <w:pPr>
              <w:spacing w:after="0"/>
              <w:ind w:left="-121"/>
              <w:jc w:val="center"/>
              <w:rPr>
                <w:b/>
              </w:rPr>
            </w:pPr>
            <w:r w:rsidRPr="00C06A5B">
              <w:rPr>
                <w:b/>
              </w:rPr>
              <w:t>Permit Year Ends</w:t>
            </w:r>
          </w:p>
        </w:tc>
        <w:tc>
          <w:tcPr>
            <w:tcW w:w="2642" w:type="pct"/>
            <w:tcBorders>
              <w:top w:val="single" w:sz="4" w:space="0" w:color="auto"/>
              <w:left w:val="single" w:sz="4" w:space="0" w:color="auto"/>
              <w:bottom w:val="single" w:sz="4" w:space="0" w:color="auto"/>
              <w:right w:val="single" w:sz="4" w:space="0" w:color="auto"/>
            </w:tcBorders>
            <w:vAlign w:val="center"/>
            <w:hideMark/>
          </w:tcPr>
          <w:p w:rsidR="00C06A5B" w:rsidRPr="00C06A5B" w:rsidRDefault="00C06A5B" w:rsidP="00C06A5B">
            <w:pPr>
              <w:spacing w:after="0"/>
              <w:ind w:left="-139"/>
              <w:jc w:val="center"/>
              <w:rPr>
                <w:b/>
              </w:rPr>
            </w:pPr>
            <w:r w:rsidRPr="00C06A5B">
              <w:rPr>
                <w:b/>
              </w:rPr>
              <w:t>Minimum Work Requirements</w:t>
            </w:r>
          </w:p>
        </w:tc>
      </w:tr>
      <w:tr w:rsidR="00C06A5B" w:rsidRPr="00C06A5B" w:rsidTr="00C06A5B">
        <w:trPr>
          <w:trHeight w:val="504"/>
        </w:trPr>
        <w:tc>
          <w:tcPr>
            <w:tcW w:w="379"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3</w:t>
            </w:r>
          </w:p>
        </w:tc>
        <w:tc>
          <w:tcPr>
            <w:tcW w:w="989"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10/01/2015</w:t>
            </w:r>
          </w:p>
        </w:tc>
        <w:tc>
          <w:tcPr>
            <w:tcW w:w="990"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rPr>
                <w:strike/>
                <w:color w:val="FF0000"/>
              </w:rPr>
            </w:pPr>
            <w:r w:rsidRPr="00C06A5B">
              <w:rPr>
                <w:strike/>
                <w:color w:val="FF0000"/>
              </w:rPr>
              <w:t>09/01/2016</w:t>
            </w:r>
          </w:p>
          <w:p w:rsidR="00C06A5B" w:rsidRPr="00C06A5B" w:rsidRDefault="00C06A5B" w:rsidP="00C06A5B">
            <w:pPr>
              <w:spacing w:after="0"/>
              <w:ind w:left="0"/>
              <w:jc w:val="center"/>
            </w:pPr>
            <w:r w:rsidRPr="00C06A5B">
              <w:rPr>
                <w:color w:val="00B050"/>
              </w:rPr>
              <w:t>09/01/2017</w:t>
            </w:r>
          </w:p>
        </w:tc>
        <w:tc>
          <w:tcPr>
            <w:tcW w:w="2642"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500km 2D Seismic Survey;</w:t>
            </w:r>
          </w:p>
          <w:p w:rsidR="00C06A5B" w:rsidRPr="00C06A5B" w:rsidRDefault="00C06A5B" w:rsidP="00C06A5B">
            <w:pPr>
              <w:spacing w:after="0"/>
              <w:ind w:left="0"/>
              <w:jc w:val="center"/>
            </w:pPr>
            <w:r w:rsidRPr="00C06A5B">
              <w:t>Drill two wells</w:t>
            </w:r>
          </w:p>
        </w:tc>
      </w:tr>
      <w:tr w:rsidR="00C06A5B" w:rsidRPr="00C06A5B" w:rsidTr="00C06A5B">
        <w:trPr>
          <w:trHeight w:val="350"/>
        </w:trPr>
        <w:tc>
          <w:tcPr>
            <w:tcW w:w="379"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4</w:t>
            </w:r>
          </w:p>
        </w:tc>
        <w:tc>
          <w:tcPr>
            <w:tcW w:w="989"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10/01/2016</w:t>
            </w:r>
          </w:p>
        </w:tc>
        <w:tc>
          <w:tcPr>
            <w:tcW w:w="990"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09/01/2017</w:t>
            </w:r>
          </w:p>
        </w:tc>
        <w:tc>
          <w:tcPr>
            <w:tcW w:w="2642"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Drill one well</w:t>
            </w:r>
          </w:p>
        </w:tc>
      </w:tr>
      <w:tr w:rsidR="00C06A5B" w:rsidRPr="00C06A5B" w:rsidTr="00C06A5B">
        <w:trPr>
          <w:trHeight w:val="105"/>
        </w:trPr>
        <w:tc>
          <w:tcPr>
            <w:tcW w:w="379"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5</w:t>
            </w:r>
          </w:p>
        </w:tc>
        <w:tc>
          <w:tcPr>
            <w:tcW w:w="989"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10/01/2017</w:t>
            </w:r>
          </w:p>
        </w:tc>
        <w:tc>
          <w:tcPr>
            <w:tcW w:w="990"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09/01/2018</w:t>
            </w:r>
          </w:p>
        </w:tc>
        <w:tc>
          <w:tcPr>
            <w:tcW w:w="2642" w:type="pct"/>
            <w:tcBorders>
              <w:top w:val="single" w:sz="4" w:space="0" w:color="auto"/>
              <w:left w:val="single" w:sz="4" w:space="0" w:color="auto"/>
              <w:bottom w:val="single" w:sz="4" w:space="0" w:color="auto"/>
              <w:right w:val="single" w:sz="4" w:space="0" w:color="auto"/>
            </w:tcBorders>
            <w:vAlign w:val="center"/>
          </w:tcPr>
          <w:p w:rsidR="00C06A5B" w:rsidRPr="00C06A5B" w:rsidRDefault="00C06A5B" w:rsidP="00C06A5B">
            <w:pPr>
              <w:spacing w:after="0"/>
              <w:ind w:left="0"/>
              <w:jc w:val="center"/>
            </w:pPr>
            <w:r w:rsidRPr="00C06A5B">
              <w:t>Assessment of petroleum resource potential</w:t>
            </w:r>
          </w:p>
        </w:tc>
      </w:tr>
    </w:tbl>
    <w:p w:rsidR="00C06A5B" w:rsidRDefault="00C91AD6" w:rsidP="00F61F57">
      <w:pPr>
        <w:spacing w:before="240"/>
      </w:pPr>
      <w:r>
        <w:t xml:space="preserve">A </w:t>
      </w:r>
      <w:r w:rsidRPr="00F61F57">
        <w:rPr>
          <w:u w:val="single"/>
        </w:rPr>
        <w:t>suspension and extension</w:t>
      </w:r>
      <w:r>
        <w:t xml:space="preserve"> will defer the end date of the current permit year and all subsequent permit years.</w:t>
      </w:r>
    </w:p>
    <w:p w:rsidR="00C91AD6" w:rsidRDefault="00C91AD6" w:rsidP="009A6763">
      <w:r>
        <w:t>An example of a 12 month suspension of permit year 4 and extension of the permit term is below.</w:t>
      </w:r>
    </w:p>
    <w:tbl>
      <w:tblPr>
        <w:tblW w:w="4595"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71"/>
        <w:gridCol w:w="1750"/>
        <w:gridCol w:w="1752"/>
        <w:gridCol w:w="4675"/>
      </w:tblGrid>
      <w:tr w:rsidR="00C91AD6" w:rsidRPr="00C91AD6" w:rsidTr="00C91AD6">
        <w:trPr>
          <w:trHeight w:val="552"/>
        </w:trPr>
        <w:tc>
          <w:tcPr>
            <w:tcW w:w="379" w:type="pct"/>
            <w:tcBorders>
              <w:top w:val="single" w:sz="4" w:space="0" w:color="auto"/>
              <w:left w:val="single" w:sz="4" w:space="0" w:color="auto"/>
              <w:bottom w:val="single" w:sz="4" w:space="0" w:color="auto"/>
              <w:right w:val="single" w:sz="4" w:space="0" w:color="auto"/>
            </w:tcBorders>
            <w:hideMark/>
          </w:tcPr>
          <w:p w:rsidR="00C91AD6" w:rsidRPr="00C91AD6" w:rsidRDefault="00C91AD6" w:rsidP="00C91AD6">
            <w:pPr>
              <w:spacing w:after="0"/>
              <w:ind w:left="0"/>
              <w:jc w:val="center"/>
              <w:rPr>
                <w:b/>
              </w:rPr>
            </w:pPr>
            <w:r w:rsidRPr="00C91AD6">
              <w:rPr>
                <w:b/>
              </w:rPr>
              <w:t>Year</w:t>
            </w:r>
          </w:p>
        </w:tc>
        <w:tc>
          <w:tcPr>
            <w:tcW w:w="989" w:type="pct"/>
            <w:tcBorders>
              <w:top w:val="single" w:sz="4" w:space="0" w:color="auto"/>
              <w:left w:val="single" w:sz="4" w:space="0" w:color="auto"/>
              <w:bottom w:val="single" w:sz="4" w:space="0" w:color="auto"/>
              <w:right w:val="single" w:sz="4" w:space="0" w:color="auto"/>
            </w:tcBorders>
            <w:hideMark/>
          </w:tcPr>
          <w:p w:rsidR="00C91AD6" w:rsidRPr="00C91AD6" w:rsidRDefault="00C91AD6" w:rsidP="00C91AD6">
            <w:pPr>
              <w:spacing w:after="0"/>
              <w:ind w:left="0"/>
              <w:jc w:val="center"/>
              <w:rPr>
                <w:b/>
              </w:rPr>
            </w:pPr>
            <w:r w:rsidRPr="00C91AD6">
              <w:rPr>
                <w:b/>
              </w:rPr>
              <w:t>Permit Year Starts</w:t>
            </w:r>
          </w:p>
        </w:tc>
        <w:tc>
          <w:tcPr>
            <w:tcW w:w="990" w:type="pct"/>
            <w:tcBorders>
              <w:top w:val="single" w:sz="4" w:space="0" w:color="auto"/>
              <w:left w:val="single" w:sz="4" w:space="0" w:color="auto"/>
              <w:bottom w:val="single" w:sz="4" w:space="0" w:color="auto"/>
              <w:right w:val="single" w:sz="4" w:space="0" w:color="auto"/>
            </w:tcBorders>
            <w:hideMark/>
          </w:tcPr>
          <w:p w:rsidR="00C91AD6" w:rsidRPr="00C91AD6" w:rsidRDefault="00C91AD6" w:rsidP="00C91AD6">
            <w:pPr>
              <w:spacing w:after="0"/>
              <w:ind w:left="0"/>
              <w:jc w:val="center"/>
              <w:rPr>
                <w:b/>
              </w:rPr>
            </w:pPr>
            <w:r w:rsidRPr="00C91AD6">
              <w:rPr>
                <w:b/>
              </w:rPr>
              <w:t>Permit Year Ends</w:t>
            </w:r>
          </w:p>
        </w:tc>
        <w:tc>
          <w:tcPr>
            <w:tcW w:w="2642" w:type="pct"/>
            <w:tcBorders>
              <w:top w:val="single" w:sz="4" w:space="0" w:color="auto"/>
              <w:left w:val="single" w:sz="4" w:space="0" w:color="auto"/>
              <w:bottom w:val="single" w:sz="4" w:space="0" w:color="auto"/>
              <w:right w:val="single" w:sz="4" w:space="0" w:color="auto"/>
            </w:tcBorders>
            <w:hideMark/>
          </w:tcPr>
          <w:p w:rsidR="00C91AD6" w:rsidRPr="00C91AD6" w:rsidRDefault="00C91AD6" w:rsidP="00C91AD6">
            <w:pPr>
              <w:spacing w:after="0"/>
              <w:ind w:left="0"/>
              <w:jc w:val="center"/>
              <w:rPr>
                <w:b/>
              </w:rPr>
            </w:pPr>
            <w:r w:rsidRPr="00C91AD6">
              <w:rPr>
                <w:b/>
              </w:rPr>
              <w:t>Minimum Work Requirements</w:t>
            </w:r>
          </w:p>
        </w:tc>
      </w:tr>
      <w:tr w:rsidR="00C91AD6" w:rsidRPr="00C91AD6" w:rsidTr="00C91AD6">
        <w:trPr>
          <w:trHeight w:val="504"/>
        </w:trPr>
        <w:tc>
          <w:tcPr>
            <w:tcW w:w="379"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pPr>
            <w:r w:rsidRPr="00C91AD6">
              <w:t>3</w:t>
            </w:r>
          </w:p>
        </w:tc>
        <w:tc>
          <w:tcPr>
            <w:tcW w:w="989"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pPr>
            <w:r w:rsidRPr="00C91AD6">
              <w:t>10/01/2015</w:t>
            </w:r>
          </w:p>
        </w:tc>
        <w:tc>
          <w:tcPr>
            <w:tcW w:w="990"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rPr>
                <w:strike/>
                <w:color w:val="FF0000"/>
              </w:rPr>
            </w:pPr>
            <w:r w:rsidRPr="00C91AD6">
              <w:rPr>
                <w:strike/>
                <w:color w:val="FF0000"/>
              </w:rPr>
              <w:t>09/01/2016</w:t>
            </w:r>
          </w:p>
          <w:p w:rsidR="00C91AD6" w:rsidRPr="00C91AD6" w:rsidRDefault="00C91AD6" w:rsidP="00C91AD6">
            <w:pPr>
              <w:spacing w:after="0"/>
              <w:ind w:left="0"/>
              <w:jc w:val="center"/>
            </w:pPr>
            <w:r w:rsidRPr="00C91AD6">
              <w:rPr>
                <w:color w:val="00B050"/>
              </w:rPr>
              <w:t>09/01/2017</w:t>
            </w:r>
          </w:p>
        </w:tc>
        <w:tc>
          <w:tcPr>
            <w:tcW w:w="2642"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pPr>
            <w:r w:rsidRPr="00C91AD6">
              <w:t xml:space="preserve">500km 2D Seismic Survey; </w:t>
            </w:r>
          </w:p>
          <w:p w:rsidR="00C91AD6" w:rsidRPr="00C91AD6" w:rsidRDefault="00C91AD6" w:rsidP="00C91AD6">
            <w:pPr>
              <w:spacing w:after="0"/>
              <w:ind w:left="0"/>
              <w:jc w:val="center"/>
            </w:pPr>
            <w:r w:rsidRPr="00C91AD6">
              <w:t>Drill two wells</w:t>
            </w:r>
          </w:p>
        </w:tc>
      </w:tr>
      <w:tr w:rsidR="00C91AD6" w:rsidRPr="00C91AD6" w:rsidTr="00C91AD6">
        <w:trPr>
          <w:trHeight w:val="350"/>
        </w:trPr>
        <w:tc>
          <w:tcPr>
            <w:tcW w:w="379"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pPr>
            <w:r w:rsidRPr="00C91AD6">
              <w:t>4</w:t>
            </w:r>
          </w:p>
        </w:tc>
        <w:tc>
          <w:tcPr>
            <w:tcW w:w="989"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rPr>
                <w:strike/>
                <w:color w:val="FF0000"/>
              </w:rPr>
            </w:pPr>
            <w:r w:rsidRPr="00C91AD6">
              <w:rPr>
                <w:strike/>
                <w:color w:val="FF0000"/>
              </w:rPr>
              <w:t>10/01/2016</w:t>
            </w:r>
          </w:p>
          <w:p w:rsidR="00C91AD6" w:rsidRPr="00C91AD6" w:rsidRDefault="00C91AD6" w:rsidP="00C91AD6">
            <w:pPr>
              <w:spacing w:after="0"/>
              <w:ind w:left="0"/>
              <w:jc w:val="center"/>
            </w:pPr>
            <w:r w:rsidRPr="00C91AD6">
              <w:rPr>
                <w:color w:val="00B050"/>
              </w:rPr>
              <w:t>10/01/2017</w:t>
            </w:r>
          </w:p>
        </w:tc>
        <w:tc>
          <w:tcPr>
            <w:tcW w:w="990"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rPr>
                <w:strike/>
                <w:color w:val="FF0000"/>
              </w:rPr>
            </w:pPr>
            <w:r w:rsidRPr="00C91AD6">
              <w:rPr>
                <w:strike/>
                <w:color w:val="FF0000"/>
              </w:rPr>
              <w:t>09/01/2017</w:t>
            </w:r>
          </w:p>
          <w:p w:rsidR="00C91AD6" w:rsidRPr="00C91AD6" w:rsidRDefault="00C91AD6" w:rsidP="00C91AD6">
            <w:pPr>
              <w:spacing w:after="0"/>
              <w:ind w:left="0"/>
              <w:jc w:val="center"/>
            </w:pPr>
            <w:r w:rsidRPr="00C91AD6">
              <w:rPr>
                <w:color w:val="00B050"/>
              </w:rPr>
              <w:t>09/01/2018</w:t>
            </w:r>
          </w:p>
        </w:tc>
        <w:tc>
          <w:tcPr>
            <w:tcW w:w="2642"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pPr>
            <w:r w:rsidRPr="00C91AD6">
              <w:t>Drill one well</w:t>
            </w:r>
          </w:p>
        </w:tc>
      </w:tr>
      <w:tr w:rsidR="00C91AD6" w:rsidRPr="00C91AD6" w:rsidTr="00C91AD6">
        <w:trPr>
          <w:trHeight w:val="105"/>
        </w:trPr>
        <w:tc>
          <w:tcPr>
            <w:tcW w:w="379"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pPr>
            <w:r w:rsidRPr="00C91AD6">
              <w:t>5</w:t>
            </w:r>
          </w:p>
        </w:tc>
        <w:tc>
          <w:tcPr>
            <w:tcW w:w="989"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rPr>
                <w:strike/>
                <w:color w:val="FF0000"/>
              </w:rPr>
            </w:pPr>
            <w:r w:rsidRPr="00C91AD6">
              <w:rPr>
                <w:strike/>
                <w:color w:val="FF0000"/>
              </w:rPr>
              <w:t>10/01/2017</w:t>
            </w:r>
          </w:p>
          <w:p w:rsidR="00C91AD6" w:rsidRPr="00C91AD6" w:rsidRDefault="00C91AD6" w:rsidP="00C91AD6">
            <w:pPr>
              <w:spacing w:after="0"/>
              <w:ind w:left="0"/>
              <w:jc w:val="center"/>
            </w:pPr>
            <w:r w:rsidRPr="00C91AD6">
              <w:rPr>
                <w:color w:val="00B050"/>
              </w:rPr>
              <w:t>10/01/2018</w:t>
            </w:r>
          </w:p>
        </w:tc>
        <w:tc>
          <w:tcPr>
            <w:tcW w:w="990"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rPr>
                <w:strike/>
                <w:color w:val="FF0000"/>
              </w:rPr>
            </w:pPr>
            <w:r w:rsidRPr="00C91AD6">
              <w:rPr>
                <w:strike/>
                <w:color w:val="FF0000"/>
              </w:rPr>
              <w:t>09/01/2018</w:t>
            </w:r>
          </w:p>
          <w:p w:rsidR="00C91AD6" w:rsidRPr="00C91AD6" w:rsidRDefault="00C91AD6" w:rsidP="00C91AD6">
            <w:pPr>
              <w:spacing w:after="0"/>
              <w:ind w:left="0"/>
              <w:jc w:val="center"/>
            </w:pPr>
            <w:r w:rsidRPr="00C91AD6">
              <w:rPr>
                <w:color w:val="00B050"/>
              </w:rPr>
              <w:t>09/01/2019</w:t>
            </w:r>
          </w:p>
        </w:tc>
        <w:tc>
          <w:tcPr>
            <w:tcW w:w="2642" w:type="pct"/>
            <w:tcBorders>
              <w:top w:val="single" w:sz="4" w:space="0" w:color="auto"/>
              <w:left w:val="single" w:sz="4" w:space="0" w:color="auto"/>
              <w:bottom w:val="single" w:sz="4" w:space="0" w:color="auto"/>
              <w:right w:val="single" w:sz="4" w:space="0" w:color="auto"/>
            </w:tcBorders>
          </w:tcPr>
          <w:p w:rsidR="00C91AD6" w:rsidRPr="00C91AD6" w:rsidRDefault="00C91AD6" w:rsidP="00C91AD6">
            <w:pPr>
              <w:spacing w:after="0"/>
              <w:ind w:left="0"/>
              <w:jc w:val="center"/>
            </w:pPr>
            <w:r w:rsidRPr="00C91AD6">
              <w:t>Assessment of petroleum resource potential</w:t>
            </w:r>
          </w:p>
        </w:tc>
      </w:tr>
    </w:tbl>
    <w:p w:rsidR="00DA7BA0" w:rsidRDefault="00DA7BA0" w:rsidP="00DA7BA0"/>
    <w:p w:rsidR="00DA7BA0" w:rsidRDefault="00DA7BA0" w:rsidP="00DA7BA0">
      <w:r>
        <w:t>It is recommended that you lodge your application prior to entering the year the suspension and extension or suspension is proposed or as soon as possible. Timely lodgement of the application will reduce the risk of falling in non-compliance if the application gets refused.</w:t>
      </w:r>
    </w:p>
    <w:p w:rsidR="009A6763" w:rsidRPr="0068114B" w:rsidRDefault="009A6763" w:rsidP="00DA7BA0">
      <w:pPr>
        <w:pStyle w:val="Heading1"/>
        <w:tabs>
          <w:tab w:val="right" w:pos="9638"/>
        </w:tabs>
      </w:pPr>
      <w:bookmarkStart w:id="4" w:name="_Toc522179270"/>
      <w:r>
        <w:lastRenderedPageBreak/>
        <w:t>Force Majeure</w:t>
      </w:r>
      <w:bookmarkEnd w:id="4"/>
      <w:r w:rsidR="00DA7BA0">
        <w:tab/>
      </w:r>
    </w:p>
    <w:p w:rsidR="009A6763" w:rsidRDefault="007B1D24" w:rsidP="009A6763">
      <w:r>
        <w:t>If your technical work program commitment</w:t>
      </w:r>
      <w:r w:rsidR="00A859C8">
        <w:t>s</w:t>
      </w:r>
      <w:r>
        <w:t xml:space="preserve"> </w:t>
      </w:r>
      <w:r w:rsidR="00A859C8">
        <w:t>are</w:t>
      </w:r>
      <w:r>
        <w:t xml:space="preserve"> adversely impacted by an event that could not have reasonably been anticipated or controlled, you may apply for a suspension and/or extension on grounds of force majeure.</w:t>
      </w:r>
    </w:p>
    <w:p w:rsidR="009A6763" w:rsidRDefault="00A859C8" w:rsidP="009A6763">
      <w:r>
        <w:t>Your application must include substantial and compelling documentary evidence to demonstrate the impact of the event on your ability to complete your work program.</w:t>
      </w:r>
    </w:p>
    <w:p w:rsidR="00A859C8" w:rsidRDefault="00A859C8" w:rsidP="009A6763">
      <w:r>
        <w:t>Commercial circumstances and risks common to the industry are not considered force majeure. These factors may affect the perceived commercial viability of an activity but generally do not prevent you from adhering to your commitments.</w:t>
      </w:r>
    </w:p>
    <w:p w:rsidR="00A859C8" w:rsidRDefault="007C7BEE" w:rsidP="009A6763">
      <w:r>
        <w:t>E</w:t>
      </w:r>
      <w:r w:rsidR="00A859C8">
        <w:t>vents that are not considered force majeure include but are not limited to:</w:t>
      </w:r>
    </w:p>
    <w:p w:rsidR="00A859C8" w:rsidRDefault="00A859C8" w:rsidP="00A859C8">
      <w:pPr>
        <w:pStyle w:val="ListParagraph"/>
        <w:numPr>
          <w:ilvl w:val="0"/>
          <w:numId w:val="4"/>
        </w:numPr>
        <w:spacing w:after="120"/>
        <w:ind w:left="1077" w:hanging="357"/>
        <w:contextualSpacing w:val="0"/>
      </w:pPr>
      <w:r>
        <w:t>avoidable delays in receiving processed/reprocessed data from contractors</w:t>
      </w:r>
    </w:p>
    <w:p w:rsidR="00A859C8" w:rsidRDefault="00A859C8" w:rsidP="00A859C8">
      <w:pPr>
        <w:pStyle w:val="ListParagraph"/>
        <w:numPr>
          <w:ilvl w:val="0"/>
          <w:numId w:val="4"/>
        </w:numPr>
        <w:spacing w:after="120"/>
        <w:ind w:left="1077" w:hanging="357"/>
        <w:contextualSpacing w:val="0"/>
      </w:pPr>
      <w:r>
        <w:t>failure to mature a drillable prospect</w:t>
      </w:r>
    </w:p>
    <w:p w:rsidR="00A859C8" w:rsidRDefault="00A859C8" w:rsidP="00A859C8">
      <w:pPr>
        <w:pStyle w:val="ListParagraph"/>
        <w:numPr>
          <w:ilvl w:val="0"/>
          <w:numId w:val="4"/>
        </w:numPr>
        <w:spacing w:after="120"/>
        <w:ind w:left="1077" w:hanging="357"/>
        <w:contextualSpacing w:val="0"/>
      </w:pPr>
      <w:r>
        <w:t>changes in oil price</w:t>
      </w:r>
    </w:p>
    <w:p w:rsidR="00A859C8" w:rsidRDefault="00A859C8" w:rsidP="00A859C8">
      <w:pPr>
        <w:pStyle w:val="ListParagraph"/>
        <w:numPr>
          <w:ilvl w:val="0"/>
          <w:numId w:val="4"/>
        </w:numPr>
        <w:spacing w:after="120"/>
        <w:ind w:left="1077" w:hanging="357"/>
        <w:contextualSpacing w:val="0"/>
      </w:pPr>
      <w:r>
        <w:t>poor quality seismic data</w:t>
      </w:r>
    </w:p>
    <w:p w:rsidR="00A859C8" w:rsidRDefault="00A859C8" w:rsidP="00A859C8">
      <w:pPr>
        <w:pStyle w:val="ListParagraph"/>
        <w:numPr>
          <w:ilvl w:val="0"/>
          <w:numId w:val="4"/>
        </w:numPr>
        <w:spacing w:after="120"/>
        <w:ind w:left="1077" w:hanging="357"/>
        <w:contextualSpacing w:val="0"/>
      </w:pPr>
      <w:r>
        <w:t>difficulty attracting a farm-in partner</w:t>
      </w:r>
    </w:p>
    <w:p w:rsidR="00A859C8" w:rsidRDefault="00A859C8" w:rsidP="00A859C8">
      <w:pPr>
        <w:pStyle w:val="ListParagraph"/>
        <w:numPr>
          <w:ilvl w:val="0"/>
          <w:numId w:val="4"/>
        </w:numPr>
        <w:spacing w:after="120"/>
        <w:ind w:left="1077" w:hanging="357"/>
        <w:contextualSpacing w:val="0"/>
      </w:pPr>
      <w:r>
        <w:t>avoidable delays in contracting a drilling rig/seismic acquisition equipment</w:t>
      </w:r>
    </w:p>
    <w:p w:rsidR="00A859C8" w:rsidRDefault="00A859C8" w:rsidP="00A859C8">
      <w:pPr>
        <w:pStyle w:val="ListParagraph"/>
        <w:numPr>
          <w:ilvl w:val="0"/>
          <w:numId w:val="4"/>
        </w:numPr>
        <w:spacing w:after="120"/>
        <w:ind w:left="1077" w:hanging="357"/>
        <w:contextualSpacing w:val="0"/>
      </w:pPr>
      <w:r>
        <w:t>difficulty in raising capital</w:t>
      </w:r>
    </w:p>
    <w:p w:rsidR="00A859C8" w:rsidRDefault="00A859C8" w:rsidP="00A859C8">
      <w:pPr>
        <w:pStyle w:val="ListParagraph"/>
        <w:numPr>
          <w:ilvl w:val="0"/>
          <w:numId w:val="4"/>
        </w:numPr>
        <w:spacing w:after="120"/>
        <w:ind w:left="1077" w:hanging="357"/>
        <w:contextualSpacing w:val="0"/>
      </w:pPr>
      <w:r>
        <w:t>disappointing exploration results</w:t>
      </w:r>
    </w:p>
    <w:p w:rsidR="00A859C8" w:rsidRDefault="00A859C8" w:rsidP="00A859C8">
      <w:pPr>
        <w:pStyle w:val="ListParagraph"/>
        <w:numPr>
          <w:ilvl w:val="0"/>
          <w:numId w:val="4"/>
        </w:numPr>
        <w:spacing w:after="120"/>
        <w:ind w:left="1077" w:hanging="357"/>
        <w:contextualSpacing w:val="0"/>
      </w:pPr>
      <w:r>
        <w:t>the need to wait for the results of exploration work undertaken outside the permit area</w:t>
      </w:r>
    </w:p>
    <w:p w:rsidR="00A859C8" w:rsidRDefault="00A859C8" w:rsidP="00A859C8">
      <w:pPr>
        <w:pStyle w:val="ListParagraph"/>
        <w:numPr>
          <w:ilvl w:val="0"/>
          <w:numId w:val="4"/>
        </w:numPr>
      </w:pPr>
      <w:r>
        <w:t>rescheduling of appraisal/development wells ahead of exploration wells.</w:t>
      </w:r>
    </w:p>
    <w:p w:rsidR="00B879E4" w:rsidRPr="0068114B" w:rsidRDefault="00B879E4" w:rsidP="00E01348">
      <w:pPr>
        <w:pStyle w:val="Heading1"/>
      </w:pPr>
      <w:bookmarkStart w:id="5" w:name="_Toc522179271"/>
      <w:r w:rsidRPr="0068114B">
        <w:t>Rela</w:t>
      </w:r>
      <w:r w:rsidR="00CB5794">
        <w:t>ted L</w:t>
      </w:r>
      <w:r w:rsidRPr="0068114B">
        <w:t>egislation</w:t>
      </w:r>
      <w:bookmarkEnd w:id="5"/>
    </w:p>
    <w:p w:rsidR="00CB5794" w:rsidRPr="00C879A8" w:rsidRDefault="001714DA" w:rsidP="00351035">
      <w:pPr>
        <w:pStyle w:val="ListParagraph"/>
        <w:numPr>
          <w:ilvl w:val="0"/>
          <w:numId w:val="3"/>
        </w:numPr>
        <w:spacing w:after="120"/>
        <w:ind w:left="1077" w:hanging="357"/>
        <w:contextualSpacing w:val="0"/>
        <w:rPr>
          <w:i/>
        </w:rPr>
      </w:pPr>
      <w:hyperlink r:id="rId14" w:history="1">
        <w:r w:rsidR="00CB5794" w:rsidRPr="00C879A8">
          <w:rPr>
            <w:rStyle w:val="Hyperlink"/>
            <w:i/>
            <w:u w:val="none"/>
          </w:rPr>
          <w:t>Petroleum Act</w:t>
        </w:r>
      </w:hyperlink>
    </w:p>
    <w:p w:rsidR="00CB5794" w:rsidRPr="00C879A8" w:rsidRDefault="001714DA" w:rsidP="00351035">
      <w:pPr>
        <w:pStyle w:val="ListParagraph"/>
        <w:numPr>
          <w:ilvl w:val="0"/>
          <w:numId w:val="3"/>
        </w:numPr>
        <w:spacing w:after="120"/>
        <w:ind w:left="1077" w:hanging="357"/>
        <w:contextualSpacing w:val="0"/>
      </w:pPr>
      <w:hyperlink r:id="rId15" w:history="1">
        <w:r w:rsidR="00CB5794" w:rsidRPr="00C879A8">
          <w:rPr>
            <w:rStyle w:val="Hyperlink"/>
            <w:u w:val="none"/>
          </w:rPr>
          <w:t>Petroleum Regulations</w:t>
        </w:r>
      </w:hyperlink>
    </w:p>
    <w:p w:rsidR="00B879E4" w:rsidRPr="0068114B" w:rsidRDefault="00CB5794" w:rsidP="00E01348">
      <w:pPr>
        <w:pStyle w:val="Heading1"/>
      </w:pPr>
      <w:bookmarkStart w:id="6" w:name="_Toc522179272"/>
      <w:r>
        <w:t>Further I</w:t>
      </w:r>
      <w:r w:rsidR="00B879E4" w:rsidRPr="0068114B">
        <w:t>nformation</w:t>
      </w:r>
      <w:bookmarkEnd w:id="6"/>
    </w:p>
    <w:p w:rsidR="00B879E4" w:rsidRPr="00E01348" w:rsidRDefault="00B879E4" w:rsidP="00E01348">
      <w:pPr>
        <w:rPr>
          <w:rStyle w:val="Hyperlink"/>
        </w:rPr>
      </w:pPr>
      <w:r w:rsidRPr="00E01348">
        <w:t xml:space="preserve">Email </w:t>
      </w:r>
      <w:hyperlink r:id="rId16" w:history="1">
        <w:r w:rsidR="00CA0FF4" w:rsidRPr="00410B61">
          <w:rPr>
            <w:rStyle w:val="Hyperlink"/>
          </w:rPr>
          <w:t>petroleum.operations@nt.gov.au</w:t>
        </w:r>
      </w:hyperlink>
    </w:p>
    <w:p w:rsidR="00B25A81" w:rsidRPr="0068114B" w:rsidRDefault="00B25A81" w:rsidP="00E01348"/>
    <w:sectPr w:rsidR="00B25A81" w:rsidRPr="0068114B" w:rsidSect="00B25A81">
      <w:footerReference w:type="default" r:id="rId17"/>
      <w:pgSz w:w="11906" w:h="16838"/>
      <w:pgMar w:top="1375" w:right="1134" w:bottom="1701"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DA" w:rsidRDefault="001714DA" w:rsidP="00E01348">
      <w:r>
        <w:separator/>
      </w:r>
    </w:p>
  </w:endnote>
  <w:endnote w:type="continuationSeparator" w:id="0">
    <w:p w:rsidR="001714DA" w:rsidRDefault="001714DA" w:rsidP="00E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EB" w:rsidRPr="006414C4" w:rsidRDefault="000B744F" w:rsidP="006414C4">
    <w:pPr>
      <w:pStyle w:val="Footer"/>
      <w:rPr>
        <w:sz w:val="16"/>
        <w:szCs w:val="16"/>
      </w:rPr>
    </w:pPr>
    <w:r w:rsidRPr="006414C4">
      <w:rPr>
        <w:sz w:val="16"/>
        <w:szCs w:val="16"/>
      </w:rPr>
      <w:drawing>
        <wp:anchor distT="0" distB="0" distL="114300" distR="114300" simplePos="0" relativeHeight="251670528" behindDoc="1" locked="0" layoutInCell="1" allowOverlap="1" wp14:anchorId="1A405B9E" wp14:editId="1A405B9F">
          <wp:simplePos x="0" y="0"/>
          <wp:positionH relativeFrom="column">
            <wp:posOffset>4947585</wp:posOffset>
          </wp:positionH>
          <wp:positionV relativeFrom="paragraph">
            <wp:posOffset>222885</wp:posOffset>
          </wp:positionV>
          <wp:extent cx="1348740" cy="477520"/>
          <wp:effectExtent l="0" t="0" r="3810" b="0"/>
          <wp:wrapNone/>
          <wp:docPr id="10" name="Picture 10" descr="NTG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740" cy="477520"/>
                  </a:xfrm>
                  <a:prstGeom prst="rect">
                    <a:avLst/>
                  </a:prstGeom>
                </pic:spPr>
              </pic:pic>
            </a:graphicData>
          </a:graphic>
          <wp14:sizeRelH relativeFrom="page">
            <wp14:pctWidth>0</wp14:pctWidth>
          </wp14:sizeRelH>
          <wp14:sizeRelV relativeFrom="page">
            <wp14:pctHeight>0</wp14:pctHeight>
          </wp14:sizeRelV>
        </wp:anchor>
      </w:drawing>
    </w:r>
  </w:p>
  <w:p w:rsidR="005129EB" w:rsidRPr="006414C4" w:rsidRDefault="005129EB" w:rsidP="006414C4">
    <w:pPr>
      <w:pStyle w:val="Footer"/>
      <w:rPr>
        <w:sz w:val="16"/>
        <w:szCs w:val="16"/>
      </w:rPr>
    </w:pPr>
    <w:r w:rsidRPr="006414C4">
      <w:rPr>
        <w:sz w:val="16"/>
        <w:szCs w:val="16"/>
      </w:rPr>
      <w:t xml:space="preserve">DEPARTMENT OF </w:t>
    </w:r>
    <w:r w:rsidR="001A3E7D">
      <w:rPr>
        <w:rFonts w:ascii="Lato Black" w:hAnsi="Lato Black"/>
        <w:sz w:val="16"/>
        <w:szCs w:val="16"/>
      </w:rPr>
      <w:t xml:space="preserve">PRIMARY INDUSTRY AND </w:t>
    </w:r>
    <w:r w:rsidR="003F6A34">
      <w:rPr>
        <w:rFonts w:ascii="Lato Black" w:hAnsi="Lato Black"/>
        <w:sz w:val="16"/>
        <w:szCs w:val="16"/>
      </w:rPr>
      <w:t>RESOURCES</w:t>
    </w:r>
  </w:p>
  <w:p w:rsidR="001D19D0" w:rsidRPr="006414C4" w:rsidRDefault="001714DA" w:rsidP="006414C4">
    <w:pPr>
      <w:pStyle w:val="Footer"/>
      <w:rPr>
        <w:sz w:val="16"/>
        <w:szCs w:val="16"/>
      </w:rPr>
    </w:pPr>
    <w:sdt>
      <w:sdtPr>
        <w:rPr>
          <w:sz w:val="16"/>
          <w:szCs w:val="16"/>
        </w:rPr>
        <w:id w:val="-880628186"/>
        <w:docPartObj>
          <w:docPartGallery w:val="Page Numbers (Top of Page)"/>
          <w:docPartUnique/>
        </w:docPartObj>
      </w:sdtPr>
      <w:sdtEndPr/>
      <w:sdtContent>
        <w:r w:rsidR="005129EB" w:rsidRPr="006414C4">
          <w:rPr>
            <w:sz w:val="16"/>
            <w:szCs w:val="16"/>
          </w:rPr>
          <w:t xml:space="preserve">Page </w:t>
        </w:r>
        <w:r w:rsidR="005129EB" w:rsidRPr="006414C4">
          <w:rPr>
            <w:sz w:val="16"/>
            <w:szCs w:val="16"/>
          </w:rPr>
          <w:fldChar w:fldCharType="begin"/>
        </w:r>
        <w:r w:rsidR="005129EB" w:rsidRPr="006414C4">
          <w:rPr>
            <w:sz w:val="16"/>
            <w:szCs w:val="16"/>
          </w:rPr>
          <w:instrText xml:space="preserve"> PAGE </w:instrText>
        </w:r>
        <w:r w:rsidR="005129EB" w:rsidRPr="006414C4">
          <w:rPr>
            <w:sz w:val="16"/>
            <w:szCs w:val="16"/>
          </w:rPr>
          <w:fldChar w:fldCharType="separate"/>
        </w:r>
        <w:r w:rsidR="00457CC2">
          <w:rPr>
            <w:sz w:val="16"/>
            <w:szCs w:val="16"/>
          </w:rPr>
          <w:t>1</w:t>
        </w:r>
        <w:r w:rsidR="005129EB" w:rsidRPr="006414C4">
          <w:rPr>
            <w:sz w:val="16"/>
            <w:szCs w:val="16"/>
          </w:rPr>
          <w:fldChar w:fldCharType="end"/>
        </w:r>
        <w:r w:rsidR="005129EB" w:rsidRPr="006414C4">
          <w:rPr>
            <w:sz w:val="16"/>
            <w:szCs w:val="16"/>
          </w:rPr>
          <w:t xml:space="preserve"> of </w:t>
        </w:r>
        <w:r w:rsidR="005129EB" w:rsidRPr="006414C4">
          <w:rPr>
            <w:sz w:val="16"/>
            <w:szCs w:val="16"/>
          </w:rPr>
          <w:fldChar w:fldCharType="begin"/>
        </w:r>
        <w:r w:rsidR="005129EB" w:rsidRPr="006414C4">
          <w:rPr>
            <w:sz w:val="16"/>
            <w:szCs w:val="16"/>
          </w:rPr>
          <w:instrText xml:space="preserve"> NUMPAGES  </w:instrText>
        </w:r>
        <w:r w:rsidR="005129EB" w:rsidRPr="006414C4">
          <w:rPr>
            <w:sz w:val="16"/>
            <w:szCs w:val="16"/>
          </w:rPr>
          <w:fldChar w:fldCharType="separate"/>
        </w:r>
        <w:r w:rsidR="00457CC2">
          <w:rPr>
            <w:sz w:val="16"/>
            <w:szCs w:val="16"/>
          </w:rPr>
          <w:t>6</w:t>
        </w:r>
        <w:r w:rsidR="005129EB" w:rsidRPr="006414C4">
          <w:rPr>
            <w:sz w:val="16"/>
            <w:szCs w:val="16"/>
          </w:rPr>
          <w:fldChar w:fldCharType="end"/>
        </w:r>
      </w:sdtContent>
    </w:sdt>
    <w:r w:rsidR="005129EB" w:rsidRPr="006414C4">
      <w:rPr>
        <w:sz w:val="16"/>
        <w:szCs w:val="16"/>
      </w:rPr>
      <w:t xml:space="preserve"> </w:t>
    </w:r>
    <w:r w:rsidR="006414C4">
      <w:rPr>
        <w:sz w:val="16"/>
        <w:szCs w:val="16"/>
      </w:rPr>
      <w:t xml:space="preserve">          </w:t>
    </w:r>
    <w:r w:rsidR="008C5A9B">
      <w:rPr>
        <w:sz w:val="16"/>
        <w:szCs w:val="16"/>
      </w:rPr>
      <w:t>5 October</w:t>
    </w:r>
    <w:r w:rsidR="008A2452">
      <w:rPr>
        <w:sz w:val="16"/>
        <w:szCs w:val="16"/>
      </w:rPr>
      <w:t xml:space="preserve"> 2018</w:t>
    </w:r>
    <w:r w:rsidR="005129EB" w:rsidRPr="006414C4">
      <w:rPr>
        <w:sz w:val="16"/>
        <w:szCs w:val="16"/>
      </w:rPr>
      <w:t xml:space="preserve">, version </w:t>
    </w:r>
    <w:r w:rsidR="008C5A9B">
      <w:rPr>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81" w:rsidRPr="006414C4" w:rsidRDefault="001A3E7D" w:rsidP="006414C4">
    <w:pPr>
      <w:pStyle w:val="Footer2"/>
    </w:pPr>
    <w:r>
      <w:t>DEPARTMENT OF</w:t>
    </w:r>
    <w:r>
      <w:rPr>
        <w:rFonts w:ascii="Lato Black" w:hAnsi="Lato Black"/>
      </w:rPr>
      <w:t xml:space="preserve"> PRIMARY INDUSTRY AND </w:t>
    </w:r>
    <w:r w:rsidR="003F6A34">
      <w:rPr>
        <w:rFonts w:ascii="Lato Black" w:hAnsi="Lato Black"/>
      </w:rPr>
      <w:t>RESOURCES</w:t>
    </w:r>
  </w:p>
  <w:p w:rsidR="00B25A81" w:rsidRPr="006414C4" w:rsidRDefault="001714DA" w:rsidP="006414C4">
    <w:pPr>
      <w:pStyle w:val="Footer2"/>
    </w:pPr>
    <w:sdt>
      <w:sdtPr>
        <w:id w:val="-2042661739"/>
        <w:docPartObj>
          <w:docPartGallery w:val="Page Numbers (Top of Page)"/>
          <w:docPartUnique/>
        </w:docPartObj>
      </w:sdtPr>
      <w:sdtEndPr/>
      <w:sdtContent>
        <w:r w:rsidR="00B25A81" w:rsidRPr="006414C4">
          <w:t xml:space="preserve">Page </w:t>
        </w:r>
        <w:r w:rsidR="00B25A81" w:rsidRPr="006414C4">
          <w:fldChar w:fldCharType="begin"/>
        </w:r>
        <w:r w:rsidR="00B25A81" w:rsidRPr="006414C4">
          <w:instrText xml:space="preserve"> PAGE </w:instrText>
        </w:r>
        <w:r w:rsidR="00B25A81" w:rsidRPr="006414C4">
          <w:fldChar w:fldCharType="separate"/>
        </w:r>
        <w:r w:rsidR="00457CC2">
          <w:t>6</w:t>
        </w:r>
        <w:r w:rsidR="00B25A81" w:rsidRPr="006414C4">
          <w:fldChar w:fldCharType="end"/>
        </w:r>
        <w:r w:rsidR="00B25A81" w:rsidRPr="006414C4">
          <w:t xml:space="preserve"> of </w:t>
        </w:r>
        <w:r w:rsidR="00B25A81" w:rsidRPr="006414C4">
          <w:fldChar w:fldCharType="begin"/>
        </w:r>
        <w:r w:rsidR="00B25A81" w:rsidRPr="006414C4">
          <w:instrText xml:space="preserve"> NUMPAGES  </w:instrText>
        </w:r>
        <w:r w:rsidR="00B25A81" w:rsidRPr="006414C4">
          <w:fldChar w:fldCharType="separate"/>
        </w:r>
        <w:r w:rsidR="00457CC2">
          <w:t>6</w:t>
        </w:r>
        <w:r w:rsidR="00B25A81" w:rsidRPr="006414C4">
          <w:fldChar w:fldCharType="end"/>
        </w:r>
        <w:r w:rsidR="006414C4" w:rsidRPr="006414C4">
          <w:t xml:space="preserve"> </w:t>
        </w:r>
        <w:r w:rsidR="006414C4">
          <w:t xml:space="preserve">          </w:t>
        </w:r>
      </w:sdtContent>
    </w:sdt>
    <w:r w:rsidR="00F61F57">
      <w:t xml:space="preserve"> </w:t>
    </w:r>
    <w:r w:rsidR="008C5A9B">
      <w:t>5 October</w:t>
    </w:r>
    <w:r w:rsidR="008A2452">
      <w:t xml:space="preserve"> 2018, version </w:t>
    </w:r>
    <w:r w:rsidR="008C5A9B">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DA" w:rsidRDefault="001714DA" w:rsidP="00E01348">
      <w:r>
        <w:separator/>
      </w:r>
    </w:p>
  </w:footnote>
  <w:footnote w:type="continuationSeparator" w:id="0">
    <w:p w:rsidR="001714DA" w:rsidRDefault="001714DA" w:rsidP="00E01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47CE"/>
    <w:multiLevelType w:val="hybridMultilevel"/>
    <w:tmpl w:val="D850F1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7632FA"/>
    <w:multiLevelType w:val="hybridMultilevel"/>
    <w:tmpl w:val="E17CDF90"/>
    <w:lvl w:ilvl="0" w:tplc="9C92F628">
      <w:start w:val="2"/>
      <w:numFmt w:val="bullet"/>
      <w:lvlText w:val="-"/>
      <w:lvlJc w:val="left"/>
      <w:pPr>
        <w:ind w:left="2214" w:hanging="360"/>
      </w:pPr>
      <w:rPr>
        <w:rFonts w:ascii="Lato" w:eastAsia="Times New Roman" w:hAnsi="Lato" w:cs="Aria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 w15:restartNumberingAfterBreak="0">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9B49A7"/>
    <w:multiLevelType w:val="hybridMultilevel"/>
    <w:tmpl w:val="D1FE9BD2"/>
    <w:lvl w:ilvl="0" w:tplc="525AC92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D4"/>
    <w:rsid w:val="00011A0E"/>
    <w:rsid w:val="000410F0"/>
    <w:rsid w:val="000B744F"/>
    <w:rsid w:val="000E20B1"/>
    <w:rsid w:val="001102F2"/>
    <w:rsid w:val="001416E3"/>
    <w:rsid w:val="00165EEF"/>
    <w:rsid w:val="00167D47"/>
    <w:rsid w:val="001714DA"/>
    <w:rsid w:val="00181660"/>
    <w:rsid w:val="001A3E7D"/>
    <w:rsid w:val="001D19D0"/>
    <w:rsid w:val="001D5407"/>
    <w:rsid w:val="002155A1"/>
    <w:rsid w:val="00264313"/>
    <w:rsid w:val="00276837"/>
    <w:rsid w:val="002877CA"/>
    <w:rsid w:val="002B68E9"/>
    <w:rsid w:val="003458A5"/>
    <w:rsid w:val="00345F19"/>
    <w:rsid w:val="00351035"/>
    <w:rsid w:val="0037514C"/>
    <w:rsid w:val="0038201C"/>
    <w:rsid w:val="00387556"/>
    <w:rsid w:val="003C4148"/>
    <w:rsid w:val="003E5DB8"/>
    <w:rsid w:val="003F6A34"/>
    <w:rsid w:val="004021F6"/>
    <w:rsid w:val="0042638E"/>
    <w:rsid w:val="004410D0"/>
    <w:rsid w:val="00457CC2"/>
    <w:rsid w:val="00462499"/>
    <w:rsid w:val="00471240"/>
    <w:rsid w:val="00495E23"/>
    <w:rsid w:val="004A6AE9"/>
    <w:rsid w:val="004A701A"/>
    <w:rsid w:val="004F3DD3"/>
    <w:rsid w:val="00500831"/>
    <w:rsid w:val="005129EB"/>
    <w:rsid w:val="005919ED"/>
    <w:rsid w:val="005B0922"/>
    <w:rsid w:val="005B2B13"/>
    <w:rsid w:val="005F3739"/>
    <w:rsid w:val="005F3F49"/>
    <w:rsid w:val="006414C4"/>
    <w:rsid w:val="00676A0C"/>
    <w:rsid w:val="0068114B"/>
    <w:rsid w:val="006B595A"/>
    <w:rsid w:val="006E54AD"/>
    <w:rsid w:val="007314F4"/>
    <w:rsid w:val="00745C62"/>
    <w:rsid w:val="0075422C"/>
    <w:rsid w:val="007A5A09"/>
    <w:rsid w:val="007B1D24"/>
    <w:rsid w:val="007B63FE"/>
    <w:rsid w:val="007C7BEE"/>
    <w:rsid w:val="007D119C"/>
    <w:rsid w:val="007F2639"/>
    <w:rsid w:val="00803697"/>
    <w:rsid w:val="00842F46"/>
    <w:rsid w:val="00844BDF"/>
    <w:rsid w:val="008513BE"/>
    <w:rsid w:val="0086083A"/>
    <w:rsid w:val="00863189"/>
    <w:rsid w:val="00865482"/>
    <w:rsid w:val="00885C79"/>
    <w:rsid w:val="008A2452"/>
    <w:rsid w:val="008B4847"/>
    <w:rsid w:val="008C5A9B"/>
    <w:rsid w:val="008E5022"/>
    <w:rsid w:val="00903161"/>
    <w:rsid w:val="00910487"/>
    <w:rsid w:val="00923EA4"/>
    <w:rsid w:val="009271FD"/>
    <w:rsid w:val="00931514"/>
    <w:rsid w:val="00952924"/>
    <w:rsid w:val="009A025F"/>
    <w:rsid w:val="009A6763"/>
    <w:rsid w:val="009C325A"/>
    <w:rsid w:val="009E5740"/>
    <w:rsid w:val="00A15FEF"/>
    <w:rsid w:val="00A455AF"/>
    <w:rsid w:val="00A553B0"/>
    <w:rsid w:val="00A60142"/>
    <w:rsid w:val="00A70A18"/>
    <w:rsid w:val="00A859C8"/>
    <w:rsid w:val="00A95E20"/>
    <w:rsid w:val="00AA06BE"/>
    <w:rsid w:val="00AA542C"/>
    <w:rsid w:val="00AC6656"/>
    <w:rsid w:val="00B203BE"/>
    <w:rsid w:val="00B25A81"/>
    <w:rsid w:val="00B33F60"/>
    <w:rsid w:val="00B4601E"/>
    <w:rsid w:val="00B74E36"/>
    <w:rsid w:val="00B879E4"/>
    <w:rsid w:val="00B942E3"/>
    <w:rsid w:val="00BA4691"/>
    <w:rsid w:val="00BA5CCC"/>
    <w:rsid w:val="00BE3EEA"/>
    <w:rsid w:val="00C06A5B"/>
    <w:rsid w:val="00C23305"/>
    <w:rsid w:val="00C53CD1"/>
    <w:rsid w:val="00C559D5"/>
    <w:rsid w:val="00C62A53"/>
    <w:rsid w:val="00C73033"/>
    <w:rsid w:val="00C76D59"/>
    <w:rsid w:val="00C845BE"/>
    <w:rsid w:val="00C879A8"/>
    <w:rsid w:val="00C91AD6"/>
    <w:rsid w:val="00CA0FF4"/>
    <w:rsid w:val="00CB285D"/>
    <w:rsid w:val="00CB459A"/>
    <w:rsid w:val="00CB5794"/>
    <w:rsid w:val="00CF71AD"/>
    <w:rsid w:val="00D1204B"/>
    <w:rsid w:val="00D16FD6"/>
    <w:rsid w:val="00D70C8A"/>
    <w:rsid w:val="00DA5E29"/>
    <w:rsid w:val="00DA7BA0"/>
    <w:rsid w:val="00E01348"/>
    <w:rsid w:val="00E34761"/>
    <w:rsid w:val="00E428D4"/>
    <w:rsid w:val="00EC386F"/>
    <w:rsid w:val="00EF44DD"/>
    <w:rsid w:val="00F61F57"/>
    <w:rsid w:val="00F6530F"/>
    <w:rsid w:val="00F822B7"/>
    <w:rsid w:val="00F842A6"/>
    <w:rsid w:val="00F969CB"/>
    <w:rsid w:val="00FE07BC"/>
    <w:rsid w:val="00FF2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B486AE60-561D-4EB1-9D44-F8325F0C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48"/>
    <w:pPr>
      <w:spacing w:after="160" w:line="252" w:lineRule="auto"/>
      <w:ind w:left="709"/>
    </w:pPr>
    <w:rPr>
      <w:rFonts w:ascii="Lato" w:eastAsia="Times New Roman" w:hAnsi="Lato" w:cs="Arial"/>
      <w:szCs w:val="20"/>
      <w:lang w:eastAsia="en-AU"/>
    </w:rPr>
  </w:style>
  <w:style w:type="paragraph" w:styleId="Heading1">
    <w:name w:val="heading 1"/>
    <w:next w:val="Normal"/>
    <w:link w:val="Heading1Char"/>
    <w:uiPriority w:val="9"/>
    <w:qFormat/>
    <w:rsid w:val="00E01348"/>
    <w:pPr>
      <w:keepNext/>
      <w:tabs>
        <w:tab w:val="left" w:pos="720"/>
      </w:tabs>
      <w:spacing w:before="240" w:line="240" w:lineRule="auto"/>
      <w:ind w:left="720" w:hanging="720"/>
      <w:outlineLvl w:val="0"/>
    </w:pPr>
    <w:rPr>
      <w:rFonts w:ascii="Lato Black" w:hAnsi="Lato Black" w:cs="Arial"/>
      <w:b/>
      <w:sz w:val="36"/>
      <w:szCs w:val="36"/>
      <w:lang w:eastAsia="en-AU"/>
    </w:rPr>
  </w:style>
  <w:style w:type="paragraph" w:styleId="Heading2">
    <w:name w:val="heading 2"/>
    <w:next w:val="Normal"/>
    <w:link w:val="Heading2Char"/>
    <w:uiPriority w:val="9"/>
    <w:unhideWhenUsed/>
    <w:qFormat/>
    <w:rsid w:val="00D70C8A"/>
    <w:pPr>
      <w:keepNext/>
      <w:spacing w:before="360" w:after="60" w:line="240" w:lineRule="auto"/>
      <w:outlineLvl w:val="1"/>
    </w:pPr>
    <w:rPr>
      <w:rFonts w:ascii="Lato Black" w:hAnsi="Lato Black"/>
      <w:sz w:val="26"/>
      <w:szCs w:val="26"/>
      <w:lang w:eastAsia="en-AU"/>
    </w:rPr>
  </w:style>
  <w:style w:type="paragraph" w:styleId="Heading3">
    <w:name w:val="heading 3"/>
    <w:next w:val="Normal"/>
    <w:link w:val="Heading3Char"/>
    <w:uiPriority w:val="9"/>
    <w:unhideWhenUsed/>
    <w:qFormat/>
    <w:rsid w:val="00345F19"/>
    <w:pPr>
      <w:keepNext/>
      <w:keepLines/>
      <w:spacing w:before="320" w:after="60" w:line="240" w:lineRule="auto"/>
      <w:outlineLvl w:val="2"/>
    </w:pPr>
    <w:rPr>
      <w:rFonts w:ascii="Lato Black" w:eastAsiaTheme="majorEastAsia" w:hAnsi="Lato Black" w:cstheme="majorBidi"/>
      <w:b/>
      <w:bCs/>
      <w:color w:val="4F81BD" w:themeColor="accent1"/>
      <w:sz w:val="24"/>
      <w:szCs w:val="24"/>
    </w:rPr>
  </w:style>
  <w:style w:type="paragraph" w:styleId="Heading4">
    <w:name w:val="heading 4"/>
    <w:next w:val="Normal"/>
    <w:link w:val="Heading4Char"/>
    <w:uiPriority w:val="9"/>
    <w:unhideWhenUsed/>
    <w:qFormat/>
    <w:rsid w:val="00345F19"/>
    <w:pPr>
      <w:keepNext/>
      <w:keepLines/>
      <w:spacing w:before="320" w:after="60" w:line="240" w:lineRule="auto"/>
      <w:outlineLvl w:val="3"/>
    </w:pPr>
    <w:rPr>
      <w:rFonts w:ascii="Lato Black" w:eastAsiaTheme="majorEastAsia" w:hAnsi="Lato Black" w:cstheme="majorBidi"/>
      <w:b/>
      <w:bCs/>
      <w:iCs/>
      <w:color w:val="808080" w:themeColor="background1" w:themeShade="8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6414C4"/>
    <w:pPr>
      <w:pBdr>
        <w:top w:val="single" w:sz="8" w:space="15" w:color="auto"/>
      </w:pBdr>
      <w:tabs>
        <w:tab w:val="right" w:pos="9639"/>
        <w:tab w:val="right" w:pos="14459"/>
      </w:tabs>
      <w:spacing w:after="0" w:line="240" w:lineRule="auto"/>
      <w:ind w:left="-284" w:right="-340"/>
    </w:pPr>
    <w:rPr>
      <w:rFonts w:ascii="Lato" w:eastAsia="Times New Roman" w:hAnsi="Lato" w:cs="Times New Roman"/>
      <w:noProof/>
      <w:sz w:val="18"/>
      <w:szCs w:val="18"/>
      <w:lang w:eastAsia="en-AU"/>
    </w:rPr>
  </w:style>
  <w:style w:type="character" w:customStyle="1" w:styleId="FooterChar">
    <w:name w:val="Footer Char"/>
    <w:basedOn w:val="DefaultParagraphFont"/>
    <w:link w:val="Footer"/>
    <w:uiPriority w:val="99"/>
    <w:rsid w:val="006414C4"/>
    <w:rPr>
      <w:rFonts w:ascii="Lato" w:eastAsia="Times New Roman" w:hAnsi="Lato" w:cs="Times New Roman"/>
      <w:noProof/>
      <w:sz w:val="18"/>
      <w:szCs w:val="18"/>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6414C4"/>
    <w:pPr>
      <w:tabs>
        <w:tab w:val="left" w:pos="2805"/>
      </w:tabs>
      <w:autoSpaceDE w:val="0"/>
      <w:autoSpaceDN w:val="0"/>
      <w:adjustRightInd w:val="0"/>
      <w:spacing w:after="0" w:line="700" w:lineRule="atLeast"/>
      <w:textAlignment w:val="center"/>
    </w:pPr>
    <w:rPr>
      <w:rFonts w:ascii="Lato Black" w:hAnsi="Lato Black" w:cs="Lato Black"/>
      <w:color w:val="CB6015"/>
      <w:sz w:val="66"/>
      <w:szCs w:val="66"/>
      <w:lang w:val="en-GB"/>
    </w:rPr>
  </w:style>
  <w:style w:type="paragraph" w:customStyle="1" w:styleId="Subheading">
    <w:name w:val="Subheading"/>
    <w:uiPriority w:val="99"/>
    <w:rsid w:val="00CB285D"/>
    <w:pPr>
      <w:autoSpaceDE w:val="0"/>
      <w:autoSpaceDN w:val="0"/>
      <w:adjustRightInd w:val="0"/>
      <w:spacing w:after="0" w:line="700" w:lineRule="atLeast"/>
      <w:ind w:left="567"/>
      <w:textAlignment w:val="center"/>
    </w:pPr>
    <w:rPr>
      <w:rFonts w:ascii="Lato" w:hAnsi="Lato" w:cs="Lato Light"/>
      <w:color w:val="FFFFFF"/>
      <w:sz w:val="66"/>
      <w:szCs w:val="66"/>
      <w:lang w:val="en-GB"/>
    </w:rPr>
  </w:style>
  <w:style w:type="paragraph" w:styleId="NoSpacing">
    <w:name w:val="No Spacing"/>
    <w:uiPriority w:val="1"/>
    <w:qFormat/>
    <w:rsid w:val="006414C4"/>
    <w:pPr>
      <w:spacing w:after="0" w:line="240" w:lineRule="auto"/>
      <w:ind w:left="284"/>
    </w:pPr>
    <w:rPr>
      <w:rFonts w:ascii="Lato" w:eastAsia="Calibri" w:hAnsi="Lato" w:cs="Arial"/>
      <w:sz w:val="20"/>
      <w:szCs w:val="20"/>
    </w:rPr>
  </w:style>
  <w:style w:type="character" w:customStyle="1" w:styleId="Heading1Char">
    <w:name w:val="Heading 1 Char"/>
    <w:basedOn w:val="DefaultParagraphFont"/>
    <w:link w:val="Heading1"/>
    <w:uiPriority w:val="9"/>
    <w:rsid w:val="00E01348"/>
    <w:rPr>
      <w:rFonts w:ascii="Lato Black" w:hAnsi="Lato Black" w:cs="Arial"/>
      <w:b/>
      <w:sz w:val="36"/>
      <w:szCs w:val="36"/>
      <w:lang w:eastAsia="en-AU"/>
    </w:rPr>
  </w:style>
  <w:style w:type="character" w:customStyle="1" w:styleId="Heading2Char">
    <w:name w:val="Heading 2 Char"/>
    <w:basedOn w:val="DefaultParagraphFont"/>
    <w:link w:val="Heading2"/>
    <w:uiPriority w:val="9"/>
    <w:rsid w:val="00D70C8A"/>
    <w:rPr>
      <w:rFonts w:ascii="Lato Black" w:hAnsi="Lato Black"/>
      <w:sz w:val="26"/>
      <w:szCs w:val="26"/>
      <w:lang w:eastAsia="en-AU"/>
    </w:rPr>
  </w:style>
  <w:style w:type="character" w:customStyle="1" w:styleId="Heading3Char">
    <w:name w:val="Heading 3 Char"/>
    <w:basedOn w:val="DefaultParagraphFont"/>
    <w:link w:val="Heading3"/>
    <w:uiPriority w:val="9"/>
    <w:rsid w:val="00345F19"/>
    <w:rPr>
      <w:rFonts w:ascii="Lato Black" w:eastAsiaTheme="majorEastAsia" w:hAnsi="Lato Black" w:cstheme="majorBidi"/>
      <w:b/>
      <w:bCs/>
      <w:color w:val="4F81BD" w:themeColor="accent1"/>
      <w:sz w:val="24"/>
      <w:szCs w:val="24"/>
    </w:rPr>
  </w:style>
  <w:style w:type="character" w:customStyle="1" w:styleId="Heading4Char">
    <w:name w:val="Heading 4 Char"/>
    <w:basedOn w:val="DefaultParagraphFont"/>
    <w:link w:val="Heading4"/>
    <w:uiPriority w:val="9"/>
    <w:rsid w:val="00345F19"/>
    <w:rPr>
      <w:rFonts w:ascii="Lato Black" w:eastAsiaTheme="majorEastAsia" w:hAnsi="Lato Black" w:cstheme="majorBidi"/>
      <w:b/>
      <w:bCs/>
      <w:iCs/>
      <w:color w:val="808080" w:themeColor="background1" w:themeShade="80"/>
      <w:lang w:eastAsia="en-AU"/>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345F19"/>
    <w:rPr>
      <w:rFonts w:ascii="Lato" w:eastAsia="Times New Roman" w:hAnsi="Lato" w:cs="Times New Roman"/>
      <w:b/>
      <w:noProof/>
      <w:lang w:eastAsia="en-AU"/>
    </w:rPr>
  </w:style>
  <w:style w:type="character" w:styleId="Hyperlink">
    <w:name w:val="Hyperlink"/>
    <w:uiPriority w:val="99"/>
    <w:rsid w:val="004F3DD3"/>
    <w:rPr>
      <w:color w:val="0000FF"/>
      <w:u w:val="single"/>
    </w:rPr>
  </w:style>
  <w:style w:type="table" w:styleId="TableGrid">
    <w:name w:val="Table Grid"/>
    <w:basedOn w:val="TableNormal"/>
    <w:uiPriority w:val="59"/>
    <w:rsid w:val="004F3DD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F3DD3"/>
    <w:pPr>
      <w:tabs>
        <w:tab w:val="left" w:pos="720"/>
        <w:tab w:val="right" w:leader="dot" w:pos="9060"/>
      </w:tabs>
      <w:spacing w:before="240" w:after="120" w:line="240" w:lineRule="auto"/>
    </w:pPr>
    <w:rPr>
      <w:rFonts w:ascii="Arial" w:hAnsi="Arial"/>
      <w:b/>
      <w:szCs w:val="24"/>
    </w:rPr>
  </w:style>
  <w:style w:type="paragraph" w:styleId="TOCHeading">
    <w:name w:val="TOC Heading"/>
    <w:basedOn w:val="Heading1"/>
    <w:next w:val="Normal"/>
    <w:uiPriority w:val="39"/>
    <w:unhideWhenUsed/>
    <w:qFormat/>
    <w:rsid w:val="004F3DD3"/>
    <w:pPr>
      <w:keepLines/>
      <w:spacing w:before="480" w:after="0" w:line="276" w:lineRule="auto"/>
      <w:outlineLvl w:val="9"/>
    </w:pPr>
    <w:rPr>
      <w:rFonts w:ascii="Arial" w:eastAsiaTheme="majorEastAsia" w:hAnsi="Arial" w:cstheme="majorBidi"/>
      <w:b w:val="0"/>
      <w:bCs/>
      <w:sz w:val="32"/>
      <w:szCs w:val="28"/>
      <w:lang w:val="en-US" w:eastAsia="ja-JP"/>
    </w:rPr>
  </w:style>
  <w:style w:type="paragraph" w:customStyle="1" w:styleId="DateVersion">
    <w:name w:val="Date &amp; Version"/>
    <w:next w:val="Normal"/>
    <w:rsid w:val="006414C4"/>
    <w:pPr>
      <w:spacing w:before="1400" w:line="240" w:lineRule="auto"/>
      <w:jc w:val="right"/>
    </w:pPr>
    <w:rPr>
      <w:rFonts w:ascii="Arial" w:eastAsia="Times New Roman" w:hAnsi="Arial" w:cs="Times New Roman"/>
      <w:sz w:val="28"/>
      <w:szCs w:val="20"/>
      <w:lang w:eastAsia="en-AU"/>
    </w:rPr>
  </w:style>
  <w:style w:type="paragraph" w:customStyle="1" w:styleId="Footer2">
    <w:name w:val="Footer2"/>
    <w:qFormat/>
    <w:rsid w:val="006414C4"/>
    <w:pPr>
      <w:spacing w:after="0" w:line="240" w:lineRule="auto"/>
    </w:pPr>
    <w:rPr>
      <w:rFonts w:ascii="Lato" w:eastAsia="Times New Roman" w:hAnsi="Lato" w:cs="Times New Roman"/>
      <w:noProof/>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etroleum.operations@nt.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gislation.nt.gov.au/en/Legislation/PETROLEUM-REGULA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islation.nt.gov.au/Legislation/PETROLEUM-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uideline%20Template%20%5bExternal%20Us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Label" staticId="0x0101003E9D233C771AF0478503F87640D936DE|-2094414987" UniqueId="2355d4b9-e83b-4232-a96a-1d02a026b2b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42" ma:contentTypeDescription="Create a new document." ma:contentTypeScope="" ma:versionID="83e715c05fdd6e7de4a5adda239757a8">
  <xsd:schema xmlns:xsd="http://www.w3.org/2001/XMLSchema" xmlns:xs="http://www.w3.org/2001/XMLSchema" xmlns:p="http://schemas.microsoft.com/office/2006/metadata/properties" xmlns:ns1="http://schemas.microsoft.com/sharepoint/v3" xmlns:ns2="d83430f0-8359-4395-9add-22baaf37beb6" xmlns:ns3="http://schemas.microsoft.com/sharepoint/v4" xmlns:ns4="564b9e4e-37ca-486c-bb1e-eea7f9c9db13" xmlns:ns5="b67e3ff5-cc42-4af3-a392-aa7c502473c8" targetNamespace="http://schemas.microsoft.com/office/2006/metadata/properties" ma:root="true" ma:fieldsID="e56d2700fd5f9b286218947633600a20" ns1:_="" ns2:_="" ns3:_="" ns4:_="" ns5:_="">
    <xsd:import namespace="http://schemas.microsoft.com/sharepoint/v3"/>
    <xsd:import namespace="d83430f0-8359-4395-9add-22baaf37beb6"/>
    <xsd:import namespace="http://schemas.microsoft.com/sharepoint/v4"/>
    <xsd:import namespace="564b9e4e-37ca-486c-bb1e-eea7f9c9db13"/>
    <xsd:import namespace="b67e3ff5-cc42-4af3-a392-aa7c502473c8"/>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2:c722ddb066e7422890ee35619b8f9596" minOccurs="0"/>
                <xsd:element ref="ns2:i9872f54c486430e981ddaed50c94c00" minOccurs="0"/>
                <xsd:element ref="ns3:IconOverlay" minOccurs="0"/>
                <xsd:element ref="ns2:i3ed308eaa074b30a9b11df0211d5cef" minOccurs="0"/>
                <xsd:element ref="ns2:cb3ed5136ac742929884da01be409dee" minOccurs="0"/>
                <xsd:element ref="ns4:_dlc_DocId" minOccurs="0"/>
                <xsd:element ref="ns2:Core_x0020_Positions_ID" minOccurs="0"/>
                <xsd:element ref="ns4:_dlc_DocIdUrl" minOccurs="0"/>
                <xsd:element ref="ns4:_dlc_DocIdPersistId" minOccurs="0"/>
                <xsd:element ref="ns1:_dlc_Exempt" minOccurs="0"/>
                <xsd:element ref="ns2:DLCPolicyLabelValue" minOccurs="0"/>
                <xsd:element ref="ns2:DLCPolicyLabelClientValue" minOccurs="0"/>
                <xsd:element ref="ns2:DLCPolicyLabelLock" minOccurs="0"/>
                <xsd:element ref="ns5:TaxCatchAll" minOccurs="0"/>
                <xsd:element ref="ns5:TaxCatchAllLabel"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ma:readOnly="false">
      <xsd:simpleType>
        <xsd:restriction base="dms:Unknown"/>
      </xsd:simpleType>
    </xsd:element>
    <xsd:element name="PublishingExpirationDate" ma:index="12" nillable="true" ma:displayName="Scheduling End Date" ma:description="" ma:hidden="true" ma:internalName="PublishingExpirationDate" ma:readOnly="false">
      <xsd:simpleType>
        <xsd:restriction base="dms:Unknown"/>
      </xsd:simpleType>
    </xsd:element>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6"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8"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2"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4"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6"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Division" ma:index="35" nillable="true" ma:displayName="Division" ma:default="Strategic Services" ma:format="Dropdown" ma:internalName="Division">
      <xsd:simpleType>
        <xsd:restriction base="dms:Choice">
          <xsd:enumeration value="Executive Services"/>
          <xsd:enumeration value="Strategic Services"/>
          <xsd:enumeration value="Infrastructure and Assets Services"/>
          <xsd:enumeration value="Emergency Management"/>
          <xsd:enumeration value="Corporate Communication"/>
          <xsd:enumeration value="Financial Services"/>
          <xsd:enumeration value="Human Resources/ Risk and Audit"/>
          <xsd:enumeration value="Information Management"/>
          <xsd:enumeration value="Information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368f0c3d-1fbd-4980-9ab7-9c6ee3b597b2}" ma:internalName="TaxCatchAllLabel" ma:readOnly="true" ma:showField="CatchAllDataLabel"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39e3910c-c32f-4be3-b3a2-0936703878dc</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Department of Primary Industry and Resources</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451</Value>
      <Value>104</Value>
      <Value>19</Value>
      <Value>293</Value>
      <Value>505</Value>
    </TaxCatchAll>
    <_dlc_DocId xmlns="564b9e4e-37ca-486c-bb1e-eea7f9c9db13">92INTRANET-61-3183</_dlc_DocId>
    <_dlc_DocIdUrl xmlns="564b9e4e-37ca-486c-bb1e-eea7f9c9db13">
      <Url>http://intranet.dor.nt.gov.au/service-centre/_layouts/DocIdRedir.aspx?ID=92INTRANET-61-3183</Url>
      <Description>92INTRANET-61-3183</Description>
    </_dlc_DocIdUrl>
    <DLCPolicyLabelClientValue xmlns="d83430f0-8359-4395-9add-22baaf37beb6">Version: {_UIVersionString}</DLCPolicyLabelClientValue>
    <DLCPolicyLabelLock xmlns="d83430f0-8359-4395-9add-22baaf37beb6" xsi:nil="true"/>
    <DLCPolicyLabelValue xmlns="d83430f0-8359-4395-9add-22baaf37beb6">Version: 3.0</DLCPolicyLabelValue>
    <Division xmlns="d83430f0-8359-4395-9add-22baaf37beb6">Strategic Services</Divis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3D3A-B0A0-4367-940E-0DDD1C82D11D}">
  <ds:schemaRefs>
    <ds:schemaRef ds:uri="http://schemas.microsoft.com/sharepoint/events"/>
  </ds:schemaRefs>
</ds:datastoreItem>
</file>

<file path=customXml/itemProps2.xml><?xml version="1.0" encoding="utf-8"?>
<ds:datastoreItem xmlns:ds="http://schemas.openxmlformats.org/officeDocument/2006/customXml" ds:itemID="{9B8CB085-C4BD-4BD0-920E-EA30B6D3C302}">
  <ds:schemaRefs>
    <ds:schemaRef ds:uri="office.server.policy"/>
  </ds:schemaRefs>
</ds:datastoreItem>
</file>

<file path=customXml/itemProps3.xml><?xml version="1.0" encoding="utf-8"?>
<ds:datastoreItem xmlns:ds="http://schemas.openxmlformats.org/officeDocument/2006/customXml" ds:itemID="{95A3BDA3-21B3-4738-BFB8-6B466D1CC71A}">
  <ds:schemaRefs>
    <ds:schemaRef ds:uri="http://schemas.microsoft.com/sharepoint/v3/contenttype/forms"/>
  </ds:schemaRefs>
</ds:datastoreItem>
</file>

<file path=customXml/itemProps4.xml><?xml version="1.0" encoding="utf-8"?>
<ds:datastoreItem xmlns:ds="http://schemas.openxmlformats.org/officeDocument/2006/customXml" ds:itemID="{3DA07CE4-47AF-4F66-9661-B0682D88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http://schemas.microsoft.com/sharepoint/v4"/>
    <ds:schemaRef ds:uri="564b9e4e-37ca-486c-bb1e-eea7f9c9db13"/>
    <ds:schemaRef ds:uri="b67e3ff5-cc42-4af3-a392-aa7c5024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BB696F-C898-4D45-9327-C60A7693673D}">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6.xml><?xml version="1.0" encoding="utf-8"?>
<ds:datastoreItem xmlns:ds="http://schemas.openxmlformats.org/officeDocument/2006/customXml" ds:itemID="{808C324B-C2BD-44FC-8457-5A944475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 Template [External Use].dotx</Template>
  <TotalTime>3</TotalTime>
  <Pages>6</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Guideline for Applying for a Variation, Suspension or Extension - Petroleum Exploration Permit</vt:lpstr>
    </vt:vector>
  </TitlesOfParts>
  <Company>NTG</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Applying for a Variation, Suspension or Extension - Petroleum Exploration Permit</dc:title>
  <dc:creator>Northern Territory Government</dc:creator>
  <cp:lastModifiedBy>Nicola Kalmar</cp:lastModifiedBy>
  <cp:revision>2</cp:revision>
  <cp:lastPrinted>2019-01-15T01:35:00Z</cp:lastPrinted>
  <dcterms:created xsi:type="dcterms:W3CDTF">2019-01-17T02:05:00Z</dcterms:created>
  <dcterms:modified xsi:type="dcterms:W3CDTF">2019-01-17T02:05:00Z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0x0101003E9D233C771AF0478503F87640D936DE</vt:lpwstr>
  </property>
  <property fmtid="{D5CDD505-2E9C-101B-9397-08002B2CF9AE}" pid="3" name="_dlc_DocIdItemGuid">
    <vt:lpwstr>7a6d8597-6dfc-485d-a246-5ea82a414654</vt:lpwstr>
  </property>
  <property fmtid="{D5CDD505-2E9C-101B-9397-08002B2CF9AE}" pid="4" name="Section">
    <vt:lpwstr>104</vt:lpwstr>
  </property>
  <property fmtid="{D5CDD505-2E9C-101B-9397-08002B2CF9AE}" pid="5" name="Category">
    <vt:lpwstr>451</vt:lpwstr>
  </property>
  <property fmtid="{D5CDD505-2E9C-101B-9397-08002B2CF9AE}" pid="6" name="Document_x0020_Type">
    <vt:lpwstr>19;#Template|2cbd10d1-5f22-4f0d-b400-97412f160da9</vt:lpwstr>
  </property>
  <property fmtid="{D5CDD505-2E9C-101B-9397-08002B2CF9AE}" pid="7" name="Category0">
    <vt:lpwstr>505</vt:lpwstr>
  </property>
  <property fmtid="{D5CDD505-2E9C-101B-9397-08002B2CF9AE}" pid="8" name="Department">
    <vt:lpwstr>293;#Department of Primary Industry and Resources|39a2110d-6ad1-4371-9fe5-90585948bb85</vt:lpwstr>
  </property>
  <property fmtid="{D5CDD505-2E9C-101B-9397-08002B2CF9AE}" pid="9" name="Document Type">
    <vt:lpwstr>19</vt:lpwstr>
  </property>
  <property fmtid="{D5CDD505-2E9C-101B-9397-08002B2CF9AE}" pid="10" name="Order">
    <vt:r8>318300</vt:r8>
  </property>
</Properties>
</file>