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A4742" w:rsidP="00E125BA">
      <w:pPr>
        <w:pStyle w:val="NTCrest"/>
        <w:spacing w:before="100" w:beforeAutospacing="1"/>
      </w:pPr>
      <w:r w:rsidRPr="001403C8">
        <w:drawing>
          <wp:inline distT="0" distB="0" distL="0" distR="0">
            <wp:extent cx="1399540" cy="1097280"/>
            <wp:effectExtent l="0" t="0" r="0" b="762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2503B2">
      <w:pPr>
        <w:pStyle w:val="Gazettenoanddate"/>
        <w:tabs>
          <w:tab w:val="left" w:pos="6663"/>
        </w:tabs>
      </w:pPr>
      <w:r>
        <w:t>No.</w:t>
      </w:r>
      <w:r w:rsidR="00282700">
        <w:t xml:space="preserve"> </w:t>
      </w:r>
      <w:r w:rsidR="00D66D67">
        <w:t>G</w:t>
      </w:r>
      <w:r w:rsidR="0036400A">
        <w:t>32</w:t>
      </w:r>
      <w:r w:rsidR="0036400A">
        <w:tab/>
        <w:t>8</w:t>
      </w:r>
      <w:r w:rsidR="002503B2">
        <w:t xml:space="preserve"> August</w:t>
      </w:r>
      <w:r w:rsidR="008537AA">
        <w:t xml:space="preserve"> 2018</w:t>
      </w:r>
    </w:p>
    <w:p w:rsidR="008537AA" w:rsidRPr="00E532F0" w:rsidRDefault="008537AA" w:rsidP="008537AA">
      <w:pPr>
        <w:pStyle w:val="Heading1"/>
        <w:spacing w:before="200"/>
      </w:pPr>
      <w:r w:rsidRPr="00E532F0">
        <w:t>General information</w:t>
      </w:r>
    </w:p>
    <w:p w:rsidR="008537AA" w:rsidRPr="0030463D" w:rsidRDefault="008537AA" w:rsidP="008537AA">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The Gazette is published by the Office of the Parliamentary Counsel.</w:t>
      </w:r>
    </w:p>
    <w:p w:rsidR="008537AA" w:rsidRDefault="008537AA" w:rsidP="008537AA">
      <w:pPr>
        <w:jc w:val="both"/>
      </w:pPr>
      <w:r>
        <w:t xml:space="preserve">The Gazette will be published every </w:t>
      </w:r>
      <w:r w:rsidRPr="00860858">
        <w:rPr>
          <w:b/>
        </w:rPr>
        <w:t>Wednesday</w:t>
      </w:r>
      <w:r>
        <w:t>, with the closing date for notices being the previous Friday at 4.00 pm.</w:t>
      </w:r>
    </w:p>
    <w:p w:rsidR="008537AA" w:rsidRDefault="008537AA" w:rsidP="008537AA">
      <w:pPr>
        <w:jc w:val="both"/>
      </w:pPr>
      <w:r>
        <w:t>Notices not received by the closing time will be held over until the next issue.</w:t>
      </w:r>
    </w:p>
    <w:p w:rsidR="008537AA" w:rsidRDefault="008537AA" w:rsidP="008537AA">
      <w:pPr>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537AA" w:rsidRDefault="008537AA" w:rsidP="008537AA">
      <w:pPr>
        <w:jc w:val="both"/>
      </w:pPr>
      <w:r>
        <w:t>Notices will be published in the next issue, unless urgent publication is requested.</w:t>
      </w:r>
    </w:p>
    <w:p w:rsidR="008537AA" w:rsidRDefault="008537AA" w:rsidP="008537AA">
      <w:pPr>
        <w:pStyle w:val="Heading1"/>
        <w:spacing w:before="200"/>
        <w:jc w:val="both"/>
      </w:pPr>
      <w:r>
        <w:t>Availability</w:t>
      </w:r>
    </w:p>
    <w:p w:rsidR="008537AA" w:rsidRDefault="008537AA" w:rsidP="008537AA">
      <w:pPr>
        <w:jc w:val="both"/>
      </w:pPr>
      <w:r>
        <w:t xml:space="preserve">The Gazette will be available online at 12 Noon on the day of publication at </w:t>
      </w:r>
      <w:hyperlink r:id="rId10" w:history="1">
        <w:r w:rsidRPr="00DF7848">
          <w:rPr>
            <w:rStyle w:val="Hyperlink"/>
          </w:rPr>
          <w:t>https://nt.gov.au/about-government/gazettes</w:t>
        </w:r>
      </w:hyperlink>
    </w:p>
    <w:p w:rsidR="00217476" w:rsidRPr="008537AA" w:rsidRDefault="008537AA" w:rsidP="008537AA">
      <w:pPr>
        <w:jc w:val="both"/>
        <w:rPr>
          <w:color w:val="0000FF"/>
          <w:u w:val="single"/>
        </w:rPr>
      </w:pPr>
      <w:r>
        <w:t xml:space="preserve">Unauthorised versions of </w:t>
      </w:r>
      <w:r w:rsidRPr="00860858">
        <w:t>Northern Territory Acts</w:t>
      </w:r>
      <w:r>
        <w:t xml:space="preserve"> and Subordinate legislation are available online at </w:t>
      </w:r>
      <w:hyperlink r:id="rId11" w:history="1">
        <w:r w:rsidRPr="00DF7848">
          <w:rPr>
            <w:rStyle w:val="Hyperlink"/>
          </w:rPr>
          <w:t>https://legislation.nt.gov.au/</w:t>
        </w:r>
      </w:hyperlink>
    </w:p>
    <w:p w:rsidR="00217476" w:rsidRPr="005C602B" w:rsidRDefault="00217476" w:rsidP="00217476">
      <w:pPr>
        <w:tabs>
          <w:tab w:val="left" w:pos="2127"/>
        </w:tabs>
        <w:jc w:val="center"/>
        <w:sectPr w:rsidR="00217476" w:rsidRPr="005C602B" w:rsidSect="004E3F71">
          <w:headerReference w:type="default" r:id="rId12"/>
          <w:footerReference w:type="even" r:id="rId13"/>
          <w:footerReference w:type="default" r:id="rId14"/>
          <w:footerReference w:type="first" r:id="rId15"/>
          <w:pgSz w:w="11906" w:h="16838"/>
          <w:pgMar w:top="1440" w:right="1800" w:bottom="1440" w:left="1800" w:header="720" w:footer="720" w:gutter="0"/>
          <w:cols w:space="720"/>
          <w:titlePg/>
          <w:docGrid w:linePitch="326"/>
        </w:sectPr>
      </w:pPr>
    </w:p>
    <w:p w:rsidR="001B5B89" w:rsidRPr="001B5B89" w:rsidRDefault="001B5B89" w:rsidP="001B5B89">
      <w:pPr>
        <w:spacing w:before="0" w:after="0" w:line="360" w:lineRule="auto"/>
        <w:jc w:val="center"/>
        <w:rPr>
          <w:rFonts w:cs="Helvetica"/>
          <w:b/>
          <w:i/>
          <w:szCs w:val="24"/>
        </w:rPr>
      </w:pPr>
      <w:r w:rsidRPr="001B5B89">
        <w:rPr>
          <w:rFonts w:cs="Helvetica"/>
          <w:b/>
          <w:i/>
          <w:szCs w:val="24"/>
        </w:rPr>
        <w:lastRenderedPageBreak/>
        <w:t>Crown Lands Act</w:t>
      </w:r>
    </w:p>
    <w:p w:rsidR="001B5B89" w:rsidRPr="001B5B89" w:rsidRDefault="001B5B89" w:rsidP="001B5B89">
      <w:pPr>
        <w:spacing w:before="0" w:after="0" w:line="360" w:lineRule="auto"/>
        <w:jc w:val="center"/>
        <w:rPr>
          <w:rFonts w:cs="Helvetica"/>
          <w:szCs w:val="24"/>
        </w:rPr>
      </w:pPr>
      <w:r w:rsidRPr="001B5B89">
        <w:rPr>
          <w:rFonts w:cs="Helvetica"/>
          <w:szCs w:val="24"/>
        </w:rPr>
        <w:t>Notice of Temporary Closure of Reserve</w:t>
      </w:r>
    </w:p>
    <w:p w:rsidR="001B5B89" w:rsidRPr="001B5B89" w:rsidRDefault="001B5B89" w:rsidP="001B5B89">
      <w:pPr>
        <w:spacing w:before="0" w:after="0" w:line="360" w:lineRule="auto"/>
        <w:jc w:val="center"/>
        <w:rPr>
          <w:rFonts w:cs="Helvetica"/>
          <w:b/>
          <w:szCs w:val="24"/>
        </w:rPr>
      </w:pPr>
      <w:r w:rsidRPr="001B5B89">
        <w:rPr>
          <w:rFonts w:cs="Helvetica"/>
          <w:b/>
          <w:szCs w:val="24"/>
        </w:rPr>
        <w:t>Robbie Robbins Reserve</w:t>
      </w:r>
    </w:p>
    <w:p w:rsidR="001B5B89" w:rsidRPr="001B5B89" w:rsidRDefault="001B5B89" w:rsidP="001B5B89">
      <w:pPr>
        <w:jc w:val="both"/>
        <w:rPr>
          <w:rFonts w:cs="Helvetica"/>
          <w:szCs w:val="24"/>
        </w:rPr>
      </w:pPr>
      <w:r w:rsidRPr="001B5B89">
        <w:rPr>
          <w:rFonts w:cs="Helvetica"/>
          <w:szCs w:val="24"/>
        </w:rPr>
        <w:t xml:space="preserve">Notice is hereby given in accordance with the </w:t>
      </w:r>
      <w:r w:rsidRPr="001B5B89">
        <w:rPr>
          <w:rFonts w:cs="Helvetica"/>
          <w:i/>
          <w:szCs w:val="24"/>
        </w:rPr>
        <w:t>Crown Lands Act</w:t>
      </w:r>
      <w:r w:rsidRPr="001B5B89">
        <w:rPr>
          <w:rFonts w:cs="Helvetica"/>
          <w:szCs w:val="24"/>
        </w:rPr>
        <w:t xml:space="preserve"> and Section 8 (b) of the </w:t>
      </w:r>
      <w:r w:rsidRPr="001B5B89">
        <w:rPr>
          <w:rFonts w:cs="Helvetica"/>
          <w:i/>
          <w:szCs w:val="24"/>
        </w:rPr>
        <w:t>Crown Lands (Recreation Reserve) Regulations</w:t>
      </w:r>
      <w:r w:rsidRPr="001B5B89">
        <w:rPr>
          <w:rFonts w:cs="Helvetica"/>
          <w:szCs w:val="24"/>
        </w:rPr>
        <w:t>, that Robbie Robbins Reserve will be closed to the public on 17, 18 and 19 August 2018, for the purpose of conducting the Top End Rodeo Circuit.</w:t>
      </w:r>
    </w:p>
    <w:p w:rsidR="001B5B89" w:rsidRPr="001B5B89" w:rsidRDefault="001B5B89" w:rsidP="001B5B89">
      <w:pPr>
        <w:spacing w:before="240" w:after="240"/>
        <w:jc w:val="both"/>
        <w:rPr>
          <w:rFonts w:cs="Helvetica"/>
          <w:szCs w:val="24"/>
        </w:rPr>
      </w:pPr>
      <w:r w:rsidRPr="001B5B89">
        <w:rPr>
          <w:rFonts w:cs="Helvetica"/>
          <w:szCs w:val="24"/>
        </w:rPr>
        <w:t>Dated 31</w:t>
      </w:r>
      <w:r>
        <w:rPr>
          <w:rFonts w:cs="Helvetica"/>
          <w:szCs w:val="24"/>
          <w:vertAlign w:val="superscript"/>
        </w:rPr>
        <w:t xml:space="preserve"> </w:t>
      </w:r>
      <w:r w:rsidRPr="001B5B89">
        <w:rPr>
          <w:rFonts w:cs="Helvetica"/>
          <w:szCs w:val="24"/>
        </w:rPr>
        <w:t>July 2018</w:t>
      </w:r>
    </w:p>
    <w:p w:rsidR="001B5B89" w:rsidRPr="001B5B89" w:rsidRDefault="001B5B89" w:rsidP="001B5B89">
      <w:pPr>
        <w:spacing w:before="240" w:after="0"/>
        <w:jc w:val="right"/>
        <w:rPr>
          <w:rFonts w:cs="Helvetica"/>
          <w:szCs w:val="24"/>
        </w:rPr>
      </w:pPr>
      <w:r w:rsidRPr="001B5B89">
        <w:rPr>
          <w:rFonts w:cs="Helvetica"/>
          <w:szCs w:val="24"/>
        </w:rPr>
        <w:t>John McLaren</w:t>
      </w:r>
    </w:p>
    <w:p w:rsidR="001B5B89" w:rsidRPr="001B5B89" w:rsidRDefault="001B5B89" w:rsidP="001B5B89">
      <w:pPr>
        <w:spacing w:before="0" w:after="0"/>
        <w:jc w:val="right"/>
        <w:rPr>
          <w:rFonts w:cs="Helvetica"/>
          <w:szCs w:val="24"/>
        </w:rPr>
      </w:pPr>
      <w:r w:rsidRPr="001B5B89">
        <w:rPr>
          <w:rFonts w:cs="Helvetica"/>
          <w:szCs w:val="24"/>
        </w:rPr>
        <w:t>Chairman</w:t>
      </w:r>
    </w:p>
    <w:p w:rsidR="001B5B89" w:rsidRPr="001B5B89" w:rsidRDefault="001B5B89" w:rsidP="001B5B89">
      <w:pPr>
        <w:spacing w:before="0"/>
        <w:jc w:val="right"/>
        <w:rPr>
          <w:rFonts w:cs="Helvetica"/>
          <w:szCs w:val="24"/>
        </w:rPr>
      </w:pPr>
      <w:r w:rsidRPr="001B5B89">
        <w:rPr>
          <w:rFonts w:cs="Helvetica"/>
          <w:szCs w:val="24"/>
        </w:rPr>
        <w:t>Board of Trustees</w:t>
      </w:r>
    </w:p>
    <w:p w:rsidR="001B5B89" w:rsidRPr="001F2D88" w:rsidRDefault="001B5B89" w:rsidP="001B5B89">
      <w:pPr>
        <w:tabs>
          <w:tab w:val="left" w:pos="8640"/>
        </w:tabs>
        <w:spacing w:before="1200" w:after="0" w:line="360" w:lineRule="auto"/>
        <w:jc w:val="center"/>
        <w:rPr>
          <w:spacing w:val="-3"/>
        </w:rPr>
      </w:pPr>
      <w:r w:rsidRPr="00CE1DB8">
        <w:rPr>
          <w:spacing w:val="-3"/>
        </w:rPr>
        <w:t>Northern Territory of Australia</w:t>
      </w:r>
    </w:p>
    <w:p w:rsidR="001B5B89" w:rsidRPr="004C196F" w:rsidRDefault="001B5B89" w:rsidP="001B5B89">
      <w:pPr>
        <w:spacing w:before="0" w:after="0" w:line="360" w:lineRule="auto"/>
        <w:jc w:val="center"/>
        <w:outlineLvl w:val="0"/>
        <w:rPr>
          <w:rFonts w:cs="Helvetica"/>
          <w:i/>
        </w:rPr>
      </w:pPr>
      <w:r>
        <w:rPr>
          <w:rFonts w:cs="Helvetica"/>
          <w:i/>
        </w:rPr>
        <w:t>Notifiable Diseases Act</w:t>
      </w:r>
    </w:p>
    <w:p w:rsidR="001B5B89" w:rsidRPr="005D2BCA" w:rsidRDefault="001B5B89" w:rsidP="001B5B89">
      <w:pPr>
        <w:spacing w:before="0"/>
        <w:jc w:val="center"/>
        <w:rPr>
          <w:b/>
          <w:spacing w:val="-3"/>
        </w:rPr>
      </w:pPr>
      <w:r>
        <w:rPr>
          <w:b/>
          <w:spacing w:val="-3"/>
        </w:rPr>
        <w:t>Revocation of Approval and</w:t>
      </w:r>
      <w:r>
        <w:rPr>
          <w:b/>
          <w:spacing w:val="-3"/>
        </w:rPr>
        <w:br/>
        <w:t>Approval of Form of Declaration</w:t>
      </w:r>
    </w:p>
    <w:p w:rsidR="001B5B89" w:rsidRDefault="001B5B89" w:rsidP="001B5B89">
      <w:pPr>
        <w:spacing w:line="360" w:lineRule="auto"/>
        <w:jc w:val="both"/>
      </w:pPr>
      <w:r w:rsidRPr="00CE1DB8">
        <w:t xml:space="preserve">I, </w:t>
      </w:r>
      <w:r>
        <w:t>Natasha Kate Fyles</w:t>
      </w:r>
      <w:r w:rsidRPr="00CE1DB8">
        <w:t xml:space="preserve">, </w:t>
      </w:r>
      <w:r>
        <w:t>Minister for Health</w:t>
      </w:r>
      <w:r w:rsidRPr="00CE1DB8">
        <w:t xml:space="preserve">, </w:t>
      </w:r>
      <w:r>
        <w:t>with effect on and from 9 September 2018:</w:t>
      </w:r>
    </w:p>
    <w:p w:rsidR="001B5B89" w:rsidRDefault="001B5B89" w:rsidP="001B5B89">
      <w:pPr>
        <w:spacing w:line="360" w:lineRule="auto"/>
        <w:ind w:left="720" w:hanging="720"/>
        <w:jc w:val="both"/>
      </w:pPr>
      <w:r>
        <w:t>(a)</w:t>
      </w:r>
      <w:r>
        <w:tab/>
        <w:t xml:space="preserve">under section 26A(3) of the </w:t>
      </w:r>
      <w:r>
        <w:rPr>
          <w:i/>
        </w:rPr>
        <w:t>Notifiable Diseases Act</w:t>
      </w:r>
      <w:r>
        <w:t xml:space="preserve"> and with reference to section 43 of the </w:t>
      </w:r>
      <w:r>
        <w:rPr>
          <w:i/>
        </w:rPr>
        <w:t>Interpretation Act</w:t>
      </w:r>
      <w:r>
        <w:t xml:space="preserve">, revoke the approval titled "Approval of Form of Declaration" dated 14 July 2016 and published in </w:t>
      </w:r>
      <w:r>
        <w:rPr>
          <w:i/>
        </w:rPr>
        <w:t>Gazette</w:t>
      </w:r>
      <w:r>
        <w:t xml:space="preserve"> No. S73 of 27 July 2016; and</w:t>
      </w:r>
    </w:p>
    <w:p w:rsidR="001B5B89" w:rsidRPr="00D71F08" w:rsidRDefault="001B5B89" w:rsidP="001B5B89">
      <w:pPr>
        <w:spacing w:line="360" w:lineRule="auto"/>
        <w:ind w:left="720" w:hanging="720"/>
        <w:jc w:val="both"/>
      </w:pPr>
      <w:r>
        <w:t>(b)</w:t>
      </w:r>
      <w:r>
        <w:tab/>
        <w:t xml:space="preserve">under section 26A(3) of the </w:t>
      </w:r>
      <w:r>
        <w:rPr>
          <w:i/>
        </w:rPr>
        <w:t>Notifiable Diseases Act</w:t>
      </w:r>
      <w:r>
        <w:t>, approve for section 26A(2)(a) of the Act, the form of declaration set out in the Schedule.</w:t>
      </w:r>
    </w:p>
    <w:p w:rsidR="001B5B89" w:rsidRPr="00CE1DB8" w:rsidRDefault="001B5B89" w:rsidP="001B5B89">
      <w:pPr>
        <w:spacing w:line="360" w:lineRule="auto"/>
      </w:pPr>
      <w:r w:rsidRPr="00CE1DB8">
        <w:t>Dated</w:t>
      </w:r>
      <w:r>
        <w:t xml:space="preserve"> 16 July 2018</w:t>
      </w:r>
    </w:p>
    <w:p w:rsidR="001B5B89" w:rsidRPr="00CE1DB8" w:rsidRDefault="001B5B89" w:rsidP="001B5B89">
      <w:pPr>
        <w:tabs>
          <w:tab w:val="left" w:pos="8640"/>
        </w:tabs>
        <w:spacing w:before="240" w:after="0"/>
        <w:jc w:val="right"/>
        <w:rPr>
          <w:spacing w:val="-3"/>
        </w:rPr>
      </w:pPr>
      <w:r>
        <w:rPr>
          <w:spacing w:val="-3"/>
        </w:rPr>
        <w:t>N. K. Fyles</w:t>
      </w:r>
    </w:p>
    <w:p w:rsidR="001B5B89" w:rsidRDefault="001B5B89" w:rsidP="001B5B89">
      <w:pPr>
        <w:tabs>
          <w:tab w:val="left" w:pos="8640"/>
        </w:tabs>
        <w:spacing w:before="0"/>
        <w:jc w:val="right"/>
        <w:rPr>
          <w:spacing w:val="-3"/>
        </w:rPr>
      </w:pPr>
      <w:r>
        <w:rPr>
          <w:spacing w:val="-3"/>
        </w:rPr>
        <w:t>Minister for Health</w:t>
      </w:r>
    </w:p>
    <w:p w:rsidR="001B5B89" w:rsidRDefault="001B5B89" w:rsidP="001B5B89">
      <w:pPr>
        <w:tabs>
          <w:tab w:val="left" w:pos="8640"/>
        </w:tabs>
        <w:spacing w:before="0"/>
        <w:jc w:val="right"/>
        <w:rPr>
          <w:spacing w:val="-3"/>
        </w:rPr>
      </w:pPr>
    </w:p>
    <w:p w:rsidR="00B030C8" w:rsidRDefault="00B030C8" w:rsidP="001B5B89">
      <w:pPr>
        <w:tabs>
          <w:tab w:val="left" w:pos="8640"/>
        </w:tabs>
        <w:spacing w:before="0"/>
        <w:jc w:val="right"/>
        <w:rPr>
          <w:spacing w:val="-3"/>
        </w:rPr>
      </w:pPr>
    </w:p>
    <w:p w:rsidR="00B030C8" w:rsidRDefault="00B030C8" w:rsidP="00E758CF">
      <w:pPr>
        <w:tabs>
          <w:tab w:val="left" w:pos="8640"/>
        </w:tabs>
        <w:spacing w:before="0"/>
        <w:rPr>
          <w:spacing w:val="-3"/>
        </w:rPr>
      </w:pPr>
      <w:r w:rsidRPr="00B030C8">
        <w:rPr>
          <w:noProof/>
          <w:spacing w:val="-3"/>
          <w:lang w:val="en-AU" w:eastAsia="en-AU"/>
        </w:rPr>
        <w:drawing>
          <wp:inline distT="0" distB="0" distL="0" distR="0">
            <wp:extent cx="4751705" cy="6674485"/>
            <wp:effectExtent l="0" t="0" r="0" b="0"/>
            <wp:docPr id="2" name="Picture 2" descr="Page 1" title="Blood Donor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1705" cy="6674485"/>
                    </a:xfrm>
                    <a:prstGeom prst="rect">
                      <a:avLst/>
                    </a:prstGeom>
                    <a:noFill/>
                    <a:ln>
                      <a:noFill/>
                    </a:ln>
                  </pic:spPr>
                </pic:pic>
              </a:graphicData>
            </a:graphic>
          </wp:inline>
        </w:drawing>
      </w:r>
    </w:p>
    <w:p w:rsidR="001B5B89" w:rsidRDefault="00B030C8" w:rsidP="001B5B89">
      <w:pPr>
        <w:tabs>
          <w:tab w:val="left" w:pos="8640"/>
        </w:tabs>
        <w:spacing w:before="0"/>
        <w:rPr>
          <w:spacing w:val="-3"/>
        </w:rPr>
      </w:pPr>
      <w:r w:rsidRPr="00B030C8">
        <w:rPr>
          <w:noProof/>
          <w:spacing w:val="-3"/>
          <w:lang w:val="en-AU" w:eastAsia="en-AU"/>
        </w:rPr>
        <w:lastRenderedPageBreak/>
        <w:drawing>
          <wp:inline distT="0" distB="0" distL="0" distR="0">
            <wp:extent cx="4751705" cy="6529070"/>
            <wp:effectExtent l="0" t="0" r="0" b="5080"/>
            <wp:docPr id="3" name="Picture 3" descr="Page 2" title="Blood Donor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1705" cy="6529070"/>
                    </a:xfrm>
                    <a:prstGeom prst="rect">
                      <a:avLst/>
                    </a:prstGeom>
                    <a:noFill/>
                    <a:ln>
                      <a:noFill/>
                    </a:ln>
                  </pic:spPr>
                </pic:pic>
              </a:graphicData>
            </a:graphic>
          </wp:inline>
        </w:drawing>
      </w:r>
    </w:p>
    <w:p w:rsidR="00B030C8" w:rsidRDefault="00B030C8" w:rsidP="001B5B89">
      <w:pPr>
        <w:tabs>
          <w:tab w:val="left" w:pos="8640"/>
        </w:tabs>
        <w:spacing w:before="0"/>
        <w:rPr>
          <w:spacing w:val="-3"/>
        </w:rPr>
      </w:pPr>
      <w:bookmarkStart w:id="0" w:name="_GoBack"/>
      <w:bookmarkEnd w:id="0"/>
      <w:r w:rsidRPr="00B030C8">
        <w:rPr>
          <w:noProof/>
          <w:spacing w:val="-3"/>
          <w:lang w:val="en-AU" w:eastAsia="en-AU"/>
        </w:rPr>
        <w:lastRenderedPageBreak/>
        <w:drawing>
          <wp:inline distT="0" distB="0" distL="0" distR="0">
            <wp:extent cx="4751705" cy="6657340"/>
            <wp:effectExtent l="0" t="0" r="0" b="0"/>
            <wp:docPr id="4" name="Picture 4" descr="Page 3" title="Blood Donor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1705" cy="6657340"/>
                    </a:xfrm>
                    <a:prstGeom prst="rect">
                      <a:avLst/>
                    </a:prstGeom>
                    <a:noFill/>
                    <a:ln>
                      <a:noFill/>
                    </a:ln>
                  </pic:spPr>
                </pic:pic>
              </a:graphicData>
            </a:graphic>
          </wp:inline>
        </w:drawing>
      </w:r>
    </w:p>
    <w:p w:rsidR="00B030C8" w:rsidRDefault="00B030C8" w:rsidP="001B5B89">
      <w:pPr>
        <w:tabs>
          <w:tab w:val="left" w:pos="8640"/>
        </w:tabs>
        <w:spacing w:before="0"/>
        <w:rPr>
          <w:spacing w:val="-3"/>
        </w:rPr>
      </w:pPr>
      <w:r w:rsidRPr="00B030C8">
        <w:rPr>
          <w:noProof/>
          <w:spacing w:val="-3"/>
          <w:lang w:val="en-AU" w:eastAsia="en-AU"/>
        </w:rPr>
        <w:lastRenderedPageBreak/>
        <w:drawing>
          <wp:inline distT="0" distB="0" distL="0" distR="0">
            <wp:extent cx="4751705" cy="6546215"/>
            <wp:effectExtent l="0" t="0" r="0" b="6985"/>
            <wp:docPr id="5" name="Picture 5" descr="Page 4" title="Blood Donor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1705" cy="6546215"/>
                    </a:xfrm>
                    <a:prstGeom prst="rect">
                      <a:avLst/>
                    </a:prstGeom>
                    <a:noFill/>
                    <a:ln>
                      <a:noFill/>
                    </a:ln>
                  </pic:spPr>
                </pic:pic>
              </a:graphicData>
            </a:graphic>
          </wp:inline>
        </w:drawing>
      </w:r>
    </w:p>
    <w:p w:rsidR="00B030C8" w:rsidRDefault="00B030C8" w:rsidP="001B5B89">
      <w:pPr>
        <w:tabs>
          <w:tab w:val="left" w:pos="8640"/>
        </w:tabs>
        <w:spacing w:before="0"/>
        <w:rPr>
          <w:spacing w:val="-3"/>
        </w:rPr>
      </w:pPr>
      <w:r w:rsidRPr="00B030C8">
        <w:rPr>
          <w:noProof/>
          <w:spacing w:val="-3"/>
          <w:lang w:val="en-AU" w:eastAsia="en-AU"/>
        </w:rPr>
        <w:lastRenderedPageBreak/>
        <w:drawing>
          <wp:inline distT="0" distB="0" distL="0" distR="0">
            <wp:extent cx="4751705" cy="6648450"/>
            <wp:effectExtent l="0" t="0" r="0" b="0"/>
            <wp:docPr id="6" name="Picture 6" descr="Page 5" title="Blood Donor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1705" cy="6648450"/>
                    </a:xfrm>
                    <a:prstGeom prst="rect">
                      <a:avLst/>
                    </a:prstGeom>
                    <a:noFill/>
                    <a:ln>
                      <a:noFill/>
                    </a:ln>
                  </pic:spPr>
                </pic:pic>
              </a:graphicData>
            </a:graphic>
          </wp:inline>
        </w:drawing>
      </w:r>
    </w:p>
    <w:p w:rsidR="00B030C8" w:rsidRDefault="00B030C8" w:rsidP="001B5B89">
      <w:pPr>
        <w:tabs>
          <w:tab w:val="left" w:pos="8640"/>
        </w:tabs>
        <w:spacing w:before="0"/>
        <w:rPr>
          <w:spacing w:val="-3"/>
        </w:rPr>
      </w:pPr>
      <w:r w:rsidRPr="00B030C8">
        <w:rPr>
          <w:noProof/>
          <w:spacing w:val="-3"/>
          <w:lang w:val="en-AU" w:eastAsia="en-AU"/>
        </w:rPr>
        <w:lastRenderedPageBreak/>
        <w:drawing>
          <wp:inline distT="0" distB="0" distL="0" distR="0">
            <wp:extent cx="4751705" cy="6674485"/>
            <wp:effectExtent l="0" t="0" r="0" b="0"/>
            <wp:docPr id="7" name="Picture 7" descr="Page 6" title="Blood Donor Questionna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1705" cy="6674485"/>
                    </a:xfrm>
                    <a:prstGeom prst="rect">
                      <a:avLst/>
                    </a:prstGeom>
                    <a:noFill/>
                    <a:ln>
                      <a:noFill/>
                    </a:ln>
                  </pic:spPr>
                </pic:pic>
              </a:graphicData>
            </a:graphic>
          </wp:inline>
        </w:drawing>
      </w:r>
    </w:p>
    <w:p w:rsidR="00E40B5A" w:rsidRPr="001F2D88" w:rsidRDefault="00E40B5A" w:rsidP="00E12BD7">
      <w:pPr>
        <w:pageBreakBefore/>
        <w:tabs>
          <w:tab w:val="left" w:pos="8640"/>
        </w:tabs>
        <w:spacing w:before="0" w:after="0" w:line="360" w:lineRule="auto"/>
        <w:jc w:val="center"/>
        <w:rPr>
          <w:spacing w:val="-3"/>
        </w:rPr>
      </w:pPr>
      <w:r w:rsidRPr="00CE1DB8">
        <w:rPr>
          <w:spacing w:val="-3"/>
        </w:rPr>
        <w:lastRenderedPageBreak/>
        <w:t>Northern Territory of Australia</w:t>
      </w:r>
    </w:p>
    <w:p w:rsidR="00E40B5A" w:rsidRPr="004C196F" w:rsidRDefault="00E40B5A" w:rsidP="00E12BD7">
      <w:pPr>
        <w:spacing w:before="0" w:after="0" w:line="360" w:lineRule="auto"/>
        <w:jc w:val="center"/>
        <w:outlineLvl w:val="0"/>
        <w:rPr>
          <w:rFonts w:cs="Helvetica"/>
          <w:i/>
        </w:rPr>
      </w:pPr>
      <w:r>
        <w:rPr>
          <w:rFonts w:cs="Helvetica"/>
          <w:i/>
        </w:rPr>
        <w:t>Weeds Management Act</w:t>
      </w:r>
    </w:p>
    <w:p w:rsidR="00E40B5A" w:rsidRPr="005D2BCA" w:rsidRDefault="00E40B5A" w:rsidP="00E12BD7">
      <w:pPr>
        <w:spacing w:before="0"/>
        <w:jc w:val="center"/>
        <w:rPr>
          <w:b/>
          <w:spacing w:val="-3"/>
        </w:rPr>
      </w:pPr>
      <w:r>
        <w:rPr>
          <w:b/>
          <w:spacing w:val="-3"/>
        </w:rPr>
        <w:t xml:space="preserve">Amendment of Weed Management Plan for </w:t>
      </w:r>
      <w:r>
        <w:rPr>
          <w:b/>
          <w:spacing w:val="-3"/>
        </w:rPr>
        <w:br/>
      </w:r>
      <w:r>
        <w:rPr>
          <w:b/>
        </w:rPr>
        <w:t>Andropogon G</w:t>
      </w:r>
      <w:r w:rsidRPr="00B611C7">
        <w:rPr>
          <w:b/>
        </w:rPr>
        <w:t>ayanus</w:t>
      </w:r>
      <w:r>
        <w:t xml:space="preserve"> </w:t>
      </w:r>
      <w:r>
        <w:rPr>
          <w:b/>
          <w:spacing w:val="-3"/>
        </w:rPr>
        <w:t>(Gamba Grass)</w:t>
      </w:r>
    </w:p>
    <w:p w:rsidR="00E40B5A" w:rsidRDefault="00E40B5A" w:rsidP="00137DD1">
      <w:pPr>
        <w:spacing w:before="0" w:after="120" w:line="360" w:lineRule="auto"/>
        <w:jc w:val="both"/>
      </w:pPr>
      <w:r w:rsidRPr="00CE1DB8">
        <w:t xml:space="preserve">I, </w:t>
      </w:r>
      <w:r>
        <w:t>Eva Dina Lawler</w:t>
      </w:r>
      <w:r w:rsidRPr="00CE1DB8">
        <w:t xml:space="preserve">, </w:t>
      </w:r>
      <w:r>
        <w:t>Minister for Environment and Natural Resources</w:t>
      </w:r>
      <w:r w:rsidRPr="00CE1DB8">
        <w:t>, under section </w:t>
      </w:r>
      <w:r>
        <w:t xml:space="preserve">12(5) </w:t>
      </w:r>
      <w:r w:rsidRPr="00CE1DB8">
        <w:t xml:space="preserve">of the </w:t>
      </w:r>
      <w:r>
        <w:rPr>
          <w:i/>
        </w:rPr>
        <w:t xml:space="preserve">Weeds Management </w:t>
      </w:r>
      <w:r w:rsidRPr="00643A83">
        <w:rPr>
          <w:i/>
        </w:rPr>
        <w:t>Act</w:t>
      </w:r>
      <w:r w:rsidRPr="00CE1DB8">
        <w:t xml:space="preserve">, </w:t>
      </w:r>
      <w:r>
        <w:t xml:space="preserve">give notice of an amendment to the "Weed Management Plan for </w:t>
      </w:r>
      <w:r>
        <w:rPr>
          <w:i/>
        </w:rPr>
        <w:t xml:space="preserve">Andropogon gayanus </w:t>
      </w:r>
      <w:r>
        <w:t>(Gamba Grass) 2010".</w:t>
      </w:r>
    </w:p>
    <w:p w:rsidR="00E40B5A" w:rsidRDefault="00E40B5A" w:rsidP="00137DD1">
      <w:pPr>
        <w:spacing w:before="0" w:after="120" w:line="360" w:lineRule="auto"/>
        <w:jc w:val="both"/>
      </w:pPr>
      <w:r>
        <w:t>The reason for the amendment to the management plan is to:</w:t>
      </w:r>
    </w:p>
    <w:p w:rsidR="00E40B5A" w:rsidRDefault="00E40B5A" w:rsidP="00137DD1">
      <w:pPr>
        <w:spacing w:before="0" w:after="120" w:line="360" w:lineRule="auto"/>
        <w:jc w:val="both"/>
      </w:pPr>
      <w:r>
        <w:t>(a)</w:t>
      </w:r>
      <w:r>
        <w:tab/>
        <w:t>improve legislative rigour and implementation of the plan; and</w:t>
      </w:r>
    </w:p>
    <w:p w:rsidR="00E40B5A" w:rsidRDefault="00E40B5A" w:rsidP="00137DD1">
      <w:pPr>
        <w:spacing w:before="0" w:after="120" w:line="360" w:lineRule="auto"/>
        <w:ind w:left="720" w:hanging="720"/>
        <w:jc w:val="both"/>
      </w:pPr>
      <w:r>
        <w:t>(b)</w:t>
      </w:r>
      <w:r>
        <w:tab/>
        <w:t>provide greater transparency of compliance and enforcement programs; and</w:t>
      </w:r>
    </w:p>
    <w:p w:rsidR="00E40B5A" w:rsidRDefault="00E40B5A" w:rsidP="00137DD1">
      <w:pPr>
        <w:spacing w:before="0" w:after="120" w:line="360" w:lineRule="auto"/>
        <w:jc w:val="both"/>
      </w:pPr>
      <w:r>
        <w:t>(c)</w:t>
      </w:r>
      <w:r>
        <w:tab/>
        <w:t>clarify instructions across all land management situations; and</w:t>
      </w:r>
    </w:p>
    <w:p w:rsidR="00E40B5A" w:rsidRPr="00084391" w:rsidRDefault="00E40B5A" w:rsidP="00137DD1">
      <w:pPr>
        <w:spacing w:before="0" w:after="120" w:line="360" w:lineRule="auto"/>
        <w:jc w:val="both"/>
      </w:pPr>
      <w:r>
        <w:t>(d)</w:t>
      </w:r>
      <w:r>
        <w:tab/>
        <w:t>reflect better management outcomes.</w:t>
      </w:r>
    </w:p>
    <w:p w:rsidR="00E40B5A" w:rsidRPr="00CE1DB8" w:rsidRDefault="00E40B5A" w:rsidP="00E40B5A">
      <w:pPr>
        <w:spacing w:line="360" w:lineRule="auto"/>
      </w:pPr>
      <w:r w:rsidRPr="00CE1DB8">
        <w:t>Dated</w:t>
      </w:r>
      <w:r>
        <w:t xml:space="preserve"> 31 July 2018</w:t>
      </w:r>
    </w:p>
    <w:p w:rsidR="00E40B5A" w:rsidRPr="00CE1DB8" w:rsidRDefault="00E40B5A" w:rsidP="00E40B5A">
      <w:pPr>
        <w:tabs>
          <w:tab w:val="left" w:pos="8640"/>
        </w:tabs>
        <w:spacing w:before="240" w:after="0"/>
        <w:jc w:val="right"/>
        <w:rPr>
          <w:spacing w:val="-3"/>
        </w:rPr>
      </w:pPr>
      <w:r>
        <w:rPr>
          <w:spacing w:val="-3"/>
        </w:rPr>
        <w:t>E. D. Lawler</w:t>
      </w:r>
    </w:p>
    <w:p w:rsidR="00E40B5A" w:rsidRPr="00CE1DB8" w:rsidRDefault="00E40B5A" w:rsidP="00E40B5A">
      <w:pPr>
        <w:tabs>
          <w:tab w:val="left" w:pos="8640"/>
        </w:tabs>
        <w:spacing w:before="0"/>
        <w:jc w:val="right"/>
        <w:rPr>
          <w:spacing w:val="-3"/>
        </w:rPr>
      </w:pPr>
      <w:r>
        <w:rPr>
          <w:spacing w:val="-3"/>
        </w:rPr>
        <w:t>Minister for Environment and Natural Resources</w:t>
      </w:r>
    </w:p>
    <w:p w:rsidR="00E40B5A" w:rsidRPr="00B85670" w:rsidRDefault="00E40B5A" w:rsidP="00E40B5A">
      <w:pPr>
        <w:jc w:val="both"/>
        <w:rPr>
          <w:i/>
          <w:sz w:val="20"/>
          <w:szCs w:val="20"/>
        </w:rPr>
      </w:pPr>
      <w:r w:rsidRPr="00B85670">
        <w:rPr>
          <w:i/>
          <w:sz w:val="20"/>
          <w:szCs w:val="20"/>
        </w:rPr>
        <w:t>Note</w:t>
      </w:r>
      <w:r>
        <w:rPr>
          <w:i/>
          <w:sz w:val="20"/>
          <w:szCs w:val="20"/>
        </w:rPr>
        <w:t>s</w:t>
      </w:r>
    </w:p>
    <w:p w:rsidR="00E40B5A" w:rsidRPr="00F17515" w:rsidRDefault="00E40B5A" w:rsidP="00E40B5A">
      <w:pPr>
        <w:jc w:val="both"/>
        <w:rPr>
          <w:i/>
          <w:sz w:val="20"/>
          <w:szCs w:val="20"/>
        </w:rPr>
      </w:pPr>
      <w:r w:rsidRPr="00B85670">
        <w:rPr>
          <w:i/>
          <w:sz w:val="20"/>
          <w:szCs w:val="20"/>
        </w:rPr>
        <w:t xml:space="preserve">The </w:t>
      </w:r>
      <w:r>
        <w:rPr>
          <w:i/>
          <w:sz w:val="20"/>
          <w:szCs w:val="20"/>
        </w:rPr>
        <w:t>"</w:t>
      </w:r>
      <w:r w:rsidRPr="00B85670">
        <w:rPr>
          <w:i/>
          <w:sz w:val="20"/>
          <w:szCs w:val="20"/>
        </w:rPr>
        <w:t xml:space="preserve">Weed Management Plan for </w:t>
      </w:r>
      <w:r>
        <w:rPr>
          <w:i/>
          <w:sz w:val="20"/>
          <w:szCs w:val="20"/>
        </w:rPr>
        <w:t>Andropogon gayanus (Gamba Grass) 2010" was approved by instrument dated 6 July 2010 and published in Gazette No. G29 of 21 July 2010 and amended by the instrument entitled "Amendment of Weed Management Plan for Andropogon Gayanus (Gamba Grass)" dated 23 January 2014 and published in Gazette No. G14 of 9 April 2014.</w:t>
      </w:r>
    </w:p>
    <w:p w:rsidR="00E40B5A" w:rsidRDefault="00E40B5A" w:rsidP="00E40B5A">
      <w:pPr>
        <w:jc w:val="both"/>
        <w:rPr>
          <w:rFonts w:cs="Helvetica"/>
        </w:rPr>
      </w:pPr>
      <w:r>
        <w:rPr>
          <w:rFonts w:cs="Helvetica"/>
          <w:i/>
          <w:sz w:val="20"/>
          <w:szCs w:val="20"/>
        </w:rPr>
        <w:t xml:space="preserve">As a result of the amendments, the </w:t>
      </w:r>
      <w:r>
        <w:rPr>
          <w:i/>
          <w:sz w:val="20"/>
          <w:szCs w:val="20"/>
        </w:rPr>
        <w:t>"</w:t>
      </w:r>
      <w:r w:rsidRPr="00B85670">
        <w:rPr>
          <w:i/>
          <w:sz w:val="20"/>
          <w:szCs w:val="20"/>
        </w:rPr>
        <w:t xml:space="preserve">Weed Management Plan for </w:t>
      </w:r>
      <w:r>
        <w:rPr>
          <w:i/>
          <w:sz w:val="20"/>
          <w:szCs w:val="20"/>
        </w:rPr>
        <w:t>Andropogon gayanus (Gamba Grass) 2010"</w:t>
      </w:r>
      <w:r>
        <w:rPr>
          <w:rFonts w:cs="Helvetica"/>
          <w:i/>
          <w:sz w:val="20"/>
          <w:szCs w:val="20"/>
        </w:rPr>
        <w:t xml:space="preserve"> will be known as the "Weed Management Plan for Gamba Grass (Andropogon gayanus) 2018". </w:t>
      </w:r>
    </w:p>
    <w:sectPr w:rsidR="00E40B5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8F2" w:rsidRDefault="00B668F2" w:rsidP="00262753">
      <w:pPr>
        <w:spacing w:before="0" w:after="0"/>
      </w:pPr>
      <w:r>
        <w:separator/>
      </w:r>
    </w:p>
  </w:endnote>
  <w:endnote w:type="continuationSeparator" w:id="0">
    <w:p w:rsidR="00B668F2" w:rsidRDefault="00B668F2"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76" w:rsidRDefault="00AD5FFF">
    <w:pPr>
      <w:pStyle w:val="Footer"/>
      <w:framePr w:wrap="around" w:vAnchor="text" w:hAnchor="margin" w:xAlign="center" w:y="1"/>
    </w:pPr>
    <w:r>
      <w:fldChar w:fldCharType="begin"/>
    </w:r>
    <w:r>
      <w:instrText xml:space="preserve">PAGE  </w:instrText>
    </w:r>
    <w:r>
      <w:fldChar w:fldCharType="separate"/>
    </w:r>
    <w:r w:rsidR="00217476">
      <w:rPr>
        <w:noProof/>
      </w:rPr>
      <w:t>1</w:t>
    </w:r>
    <w:r>
      <w:fldChar w:fldCharType="end"/>
    </w:r>
  </w:p>
  <w:p w:rsidR="00217476" w:rsidRDefault="00217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E43058" w:rsidRDefault="00E43058" w:rsidP="00E43058">
        <w:pPr>
          <w:pStyle w:val="Footer"/>
        </w:pPr>
        <w:r>
          <w:t xml:space="preserve">Page </w:t>
        </w:r>
        <w:r>
          <w:fldChar w:fldCharType="begin"/>
        </w:r>
        <w:r>
          <w:instrText xml:space="preserve"> PAGE   \* MERGEFORMAT </w:instrText>
        </w:r>
        <w:r>
          <w:fldChar w:fldCharType="separate"/>
        </w:r>
        <w:r w:rsidR="00F755C6">
          <w:rPr>
            <w:noProof/>
          </w:rPr>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76" w:rsidRDefault="00217476"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8F2" w:rsidRDefault="00B668F2" w:rsidP="00262753">
      <w:pPr>
        <w:spacing w:before="0" w:after="0"/>
      </w:pPr>
      <w:r>
        <w:separator/>
      </w:r>
    </w:p>
  </w:footnote>
  <w:footnote w:type="continuationSeparator" w:id="0">
    <w:p w:rsidR="00B668F2" w:rsidRDefault="00B668F2"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BA" w:rsidRPr="00217476" w:rsidRDefault="00E125BA" w:rsidP="00E125BA">
    <w:pPr>
      <w:pStyle w:val="Header"/>
    </w:pPr>
    <w:r w:rsidRPr="00246A76">
      <w:t xml:space="preserve">Northern Territory Government Gazette No. </w:t>
    </w:r>
    <w:r w:rsidR="00F30FAD">
      <w:t>G32, 8</w:t>
    </w:r>
    <w:r w:rsidR="002503B2">
      <w:t xml:space="preserve"> August</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A16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2614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A415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601C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7A8B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FE29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32F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6EB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A0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2D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E0CEB"/>
    <w:multiLevelType w:val="hybridMultilevel"/>
    <w:tmpl w:val="8A9882E4"/>
    <w:lvl w:ilvl="0" w:tplc="50486AB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343D2C"/>
    <w:multiLevelType w:val="multilevel"/>
    <w:tmpl w:val="B9D23ADA"/>
    <w:lvl w:ilvl="0">
      <w:start w:val="1"/>
      <w:numFmt w:val="bullet"/>
      <w:lvlText w:val=""/>
      <w:lvlJc w:val="left"/>
      <w:pPr>
        <w:ind w:left="720" w:hanging="360"/>
      </w:pPr>
      <w:rPr>
        <w:rFonts w:ascii="Symbol" w:hAnsi="Symbol" w:hint="default"/>
      </w:rPr>
    </w:lvl>
    <w:lvl w:ilvl="1">
      <w:start w:val="1"/>
      <w:numFmt w:val="bullet"/>
      <w:lvlText w:val="o"/>
      <w:lvlJc w:val="left"/>
      <w:pPr>
        <w:ind w:left="907" w:hanging="34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5019DE"/>
    <w:multiLevelType w:val="hybridMultilevel"/>
    <w:tmpl w:val="1B1C7E90"/>
    <w:lvl w:ilvl="0" w:tplc="DA187D5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C14A39"/>
    <w:multiLevelType w:val="multilevel"/>
    <w:tmpl w:val="3C248D04"/>
    <w:lvl w:ilvl="0">
      <w:start w:val="1"/>
      <w:numFmt w:val="lowerLetter"/>
      <w:lvlText w:val="%1."/>
      <w:lvlJc w:val="left"/>
      <w:pPr>
        <w:ind w:left="1077" w:hanging="360"/>
      </w:pPr>
    </w:lvl>
    <w:lvl w:ilvl="1">
      <w:start w:val="1"/>
      <w:numFmt w:val="lowerLetter"/>
      <w:lvlText w:val="%2."/>
      <w:lvlJc w:val="left"/>
      <w:pPr>
        <w:ind w:left="908" w:hanging="341"/>
      </w:pPr>
      <w:rPr>
        <w:rFonts w:hint="default"/>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1A30496B"/>
    <w:multiLevelType w:val="multilevel"/>
    <w:tmpl w:val="3A960D8C"/>
    <w:numStyleLink w:val="ListABC"/>
  </w:abstractNum>
  <w:abstractNum w:abstractNumId="15" w15:restartNumberingAfterBreak="0">
    <w:nsid w:val="1BDF6CF6"/>
    <w:multiLevelType w:val="multilevel"/>
    <w:tmpl w:val="C28861F6"/>
    <w:numStyleLink w:val="Style1"/>
  </w:abstractNum>
  <w:abstractNum w:abstractNumId="16"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7" w15:restartNumberingAfterBreak="0">
    <w:nsid w:val="293B0A1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0C77A2"/>
    <w:multiLevelType w:val="hybridMultilevel"/>
    <w:tmpl w:val="B4EC3A3C"/>
    <w:lvl w:ilvl="0" w:tplc="01D0CF6E">
      <w:start w:val="1"/>
      <w:numFmt w:val="bullet"/>
      <w:lvlText w:val="o"/>
      <w:lvlJc w:val="left"/>
      <w:pPr>
        <w:ind w:left="1140" w:hanging="420"/>
      </w:pPr>
      <w:rPr>
        <w:rFonts w:ascii="Courier New" w:hAnsi="Courier New"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32645B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9E48BB"/>
    <w:multiLevelType w:val="hybridMultilevel"/>
    <w:tmpl w:val="EF5C404A"/>
    <w:lvl w:ilvl="0" w:tplc="0C090001">
      <w:start w:val="1"/>
      <w:numFmt w:val="bullet"/>
      <w:lvlText w:val=""/>
      <w:lvlJc w:val="left"/>
      <w:pPr>
        <w:ind w:left="1140" w:hanging="42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1" w15:restartNumberingAfterBreak="0">
    <w:nsid w:val="36691F46"/>
    <w:multiLevelType w:val="hybridMultilevel"/>
    <w:tmpl w:val="FB34C254"/>
    <w:lvl w:ilvl="0" w:tplc="9CC0FFFC">
      <w:start w:val="1"/>
      <w:numFmt w:val="decimal"/>
      <w:lvlText w:val="%1."/>
      <w:lvlJc w:val="left"/>
      <w:pPr>
        <w:ind w:left="530" w:hanging="360"/>
      </w:pPr>
      <w:rPr>
        <w:rFonts w:hint="default"/>
      </w:rPr>
    </w:lvl>
    <w:lvl w:ilvl="1" w:tplc="1D825FD4">
      <w:start w:val="1"/>
      <w:numFmt w:val="lowerLetter"/>
      <w:lvlText w:val="%2."/>
      <w:lvlJc w:val="left"/>
      <w:pPr>
        <w:ind w:left="907" w:hanging="3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4"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5"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C33037"/>
    <w:multiLevelType w:val="multilevel"/>
    <w:tmpl w:val="3A960D8C"/>
    <w:numStyleLink w:val="ListABC"/>
  </w:abstractNum>
  <w:abstractNum w:abstractNumId="27" w15:restartNumberingAfterBreak="0">
    <w:nsid w:val="4B134EE3"/>
    <w:multiLevelType w:val="multilevel"/>
    <w:tmpl w:val="5BAA1C6A"/>
    <w:lvl w:ilvl="0">
      <w:start w:val="1"/>
      <w:numFmt w:val="decimal"/>
      <w:lvlText w:val="%1."/>
      <w:lvlJc w:val="left"/>
      <w:pPr>
        <w:tabs>
          <w:tab w:val="num" w:pos="340"/>
        </w:tabs>
        <w:ind w:left="170" w:firstLine="170"/>
      </w:pPr>
      <w:rPr>
        <w:rFonts w:hint="default"/>
      </w:rPr>
    </w:lvl>
    <w:lvl w:ilvl="1">
      <w:start w:val="1"/>
      <w:numFmt w:val="decimal"/>
      <w:lvlText w:val="%1.%2."/>
      <w:lvlJc w:val="left"/>
      <w:pPr>
        <w:ind w:left="73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2A59B9"/>
    <w:multiLevelType w:val="multilevel"/>
    <w:tmpl w:val="C28861F6"/>
    <w:numStyleLink w:val="Style1"/>
  </w:abstractNum>
  <w:abstractNum w:abstractNumId="29" w15:restartNumberingAfterBreak="0">
    <w:nsid w:val="4FD0181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465780"/>
    <w:multiLevelType w:val="multilevel"/>
    <w:tmpl w:val="7984623A"/>
    <w:numStyleLink w:val="List1234"/>
  </w:abstractNum>
  <w:abstractNum w:abstractNumId="31" w15:restartNumberingAfterBreak="0">
    <w:nsid w:val="5A6651A1"/>
    <w:multiLevelType w:val="multilevel"/>
    <w:tmpl w:val="3A960D8C"/>
    <w:numStyleLink w:val="ListABC"/>
  </w:abstractNum>
  <w:abstractNum w:abstractNumId="32"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3" w15:restartNumberingAfterBreak="0">
    <w:nsid w:val="6A9D45B2"/>
    <w:multiLevelType w:val="hybridMultilevel"/>
    <w:tmpl w:val="6E3A1ED4"/>
    <w:lvl w:ilvl="0" w:tplc="2EE42A78">
      <w:start w:val="1"/>
      <w:numFmt w:val="bullet"/>
      <w:lvlText w:val=""/>
      <w:lvlJc w:val="left"/>
      <w:pPr>
        <w:ind w:left="720" w:hanging="360"/>
      </w:pPr>
      <w:rPr>
        <w:rFonts w:ascii="Symbol" w:hAnsi="Symbol" w:hint="default"/>
      </w:rPr>
    </w:lvl>
    <w:lvl w:ilvl="1" w:tplc="5E9CE778">
      <w:start w:val="1"/>
      <w:numFmt w:val="bullet"/>
      <w:lvlText w:val="o"/>
      <w:lvlJc w:val="left"/>
      <w:pPr>
        <w:ind w:left="907" w:hanging="34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89027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8107CE"/>
    <w:multiLevelType w:val="multilevel"/>
    <w:tmpl w:val="7984623A"/>
    <w:numStyleLink w:val="List1234"/>
  </w:abstractNum>
  <w:abstractNum w:abstractNumId="37" w15:restartNumberingAfterBreak="0">
    <w:nsid w:val="6EF748D6"/>
    <w:multiLevelType w:val="hybridMultilevel"/>
    <w:tmpl w:val="8D4AC4C4"/>
    <w:lvl w:ilvl="0" w:tplc="7BEC9196">
      <w:start w:val="1"/>
      <w:numFmt w:val="lowerLetter"/>
      <w:lvlText w:val="(%1)"/>
      <w:lvlJc w:val="left"/>
      <w:pPr>
        <w:ind w:left="530" w:hanging="360"/>
      </w:pPr>
      <w:rPr>
        <w:rFonts w:hint="default"/>
      </w:rPr>
    </w:lvl>
    <w:lvl w:ilvl="1" w:tplc="68585BB8">
      <w:start w:val="1"/>
      <w:numFmt w:val="lowerLetter"/>
      <w:lvlText w:val="%2."/>
      <w:lvlJc w:val="left"/>
      <w:pPr>
        <w:ind w:left="908" w:hanging="341"/>
      </w:pPr>
      <w:rPr>
        <w:rFonts w:hint="default"/>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21"/>
  </w:num>
  <w:num w:numId="2">
    <w:abstractNumId w:val="10"/>
  </w:num>
  <w:num w:numId="3">
    <w:abstractNumId w:val="12"/>
  </w:num>
  <w:num w:numId="4">
    <w:abstractNumId w:val="21"/>
  </w:num>
  <w:num w:numId="5">
    <w:abstractNumId w:val="10"/>
  </w:num>
  <w:num w:numId="6">
    <w:abstractNumId w:val="12"/>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2"/>
    <w:lvlOverride w:ilvl="0">
      <w:startOverride w:val="1"/>
    </w:lvlOverride>
  </w:num>
  <w:num w:numId="11">
    <w:abstractNumId w:val="21"/>
    <w:lvlOverride w:ilvl="0">
      <w:startOverride w:val="1"/>
    </w:lvlOverride>
  </w:num>
  <w:num w:numId="12">
    <w:abstractNumId w:val="33"/>
  </w:num>
  <w:num w:numId="13">
    <w:abstractNumId w:val="21"/>
    <w:lvlOverride w:ilvl="0">
      <w:startOverride w:val="1"/>
    </w:lvlOverride>
  </w:num>
  <w:num w:numId="14">
    <w:abstractNumId w:val="37"/>
  </w:num>
  <w:num w:numId="15">
    <w:abstractNumId w:val="18"/>
  </w:num>
  <w:num w:numId="16">
    <w:abstractNumId w:val="20"/>
  </w:num>
  <w:num w:numId="17">
    <w:abstractNumId w:val="35"/>
  </w:num>
  <w:num w:numId="18">
    <w:abstractNumId w:val="27"/>
  </w:num>
  <w:num w:numId="19">
    <w:abstractNumId w:val="13"/>
  </w:num>
  <w:num w:numId="20">
    <w:abstractNumId w:val="34"/>
  </w:num>
  <w:num w:numId="21">
    <w:abstractNumId w:val="28"/>
  </w:num>
  <w:num w:numId="22">
    <w:abstractNumId w:val="27"/>
    <w:lvlOverride w:ilvl="0">
      <w:lvl w:ilvl="0">
        <w:start w:val="1"/>
        <w:numFmt w:val="decimal"/>
        <w:lvlText w:val="%1."/>
        <w:lvlJc w:val="left"/>
        <w:pPr>
          <w:ind w:left="340" w:hanging="170"/>
        </w:pPr>
        <w:rPr>
          <w:rFonts w:hint="default"/>
        </w:rPr>
      </w:lvl>
    </w:lvlOverride>
    <w:lvlOverride w:ilvl="1">
      <w:lvl w:ilvl="1">
        <w:start w:val="1"/>
        <w:numFmt w:val="decimal"/>
        <w:lvlText w:val="%1.%2."/>
        <w:lvlJc w:val="left"/>
        <w:pPr>
          <w:ind w:left="680" w:hanging="113"/>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5"/>
  </w:num>
  <w:num w:numId="24">
    <w:abstractNumId w:val="36"/>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29"/>
  </w:num>
  <w:num w:numId="39">
    <w:abstractNumId w:val="19"/>
  </w:num>
  <w:num w:numId="40">
    <w:abstractNumId w:val="14"/>
  </w:num>
  <w:num w:numId="41">
    <w:abstractNumId w:val="31"/>
  </w:num>
  <w:num w:numId="42">
    <w:abstractNumId w:val="24"/>
  </w:num>
  <w:num w:numId="43">
    <w:abstractNumId w:val="24"/>
    <w:lvlOverride w:ilvl="0">
      <w:lvl w:ilvl="0">
        <w:start w:val="1"/>
        <w:numFmt w:val="lowerLetter"/>
        <w:pStyle w:val="ListABCL1"/>
        <w:lvlText w:val="(%1)"/>
        <w:lvlJc w:val="left"/>
        <w:pPr>
          <w:ind w:left="454" w:hanging="454"/>
        </w:pPr>
        <w:rPr>
          <w:rFonts w:ascii="Arial" w:hAnsi="Arial" w:hint="default"/>
          <w:sz w:val="22"/>
        </w:rPr>
      </w:lvl>
    </w:lvlOverride>
    <w:lvlOverride w:ilvl="1">
      <w:lvl w:ilvl="1">
        <w:start w:val="1"/>
        <w:numFmt w:val="lowerRoman"/>
        <w:pStyle w:val="ListABCL2"/>
        <w:lvlText w:val="(%2)"/>
        <w:lvlJc w:val="left"/>
        <w:pPr>
          <w:ind w:left="907" w:hanging="453"/>
        </w:pPr>
        <w:rPr>
          <w:rFonts w:ascii="Arial" w:hAnsi="Arial" w:hint="default"/>
          <w:sz w:val="22"/>
        </w:rPr>
      </w:lvl>
    </w:lvlOverride>
    <w:lvlOverride w:ilvl="2">
      <w:lvl w:ilvl="2">
        <w:start w:val="1"/>
        <w:numFmt w:val="bullet"/>
        <w:pStyle w:val="ListABCL3"/>
        <w:lvlText w:val=""/>
        <w:lvlJc w:val="left"/>
        <w:pPr>
          <w:ind w:left="1361" w:hanging="454"/>
        </w:pPr>
        <w:rPr>
          <w:rFonts w:ascii="Symbol" w:hAnsi="Symbol" w:hint="default"/>
          <w:sz w:val="22"/>
        </w:rPr>
      </w:lvl>
    </w:lvlOverride>
    <w:lvlOverride w:ilvl="3">
      <w:lvl w:ilvl="3">
        <w:start w:val="1"/>
        <w:numFmt w:val="decimal"/>
        <w:lvlText w:val="(%4)"/>
        <w:lvlJc w:val="left"/>
        <w:pPr>
          <w:ind w:left="5037" w:hanging="360"/>
        </w:pPr>
        <w:rPr>
          <w:rFonts w:hint="default"/>
        </w:rPr>
      </w:lvl>
    </w:lvlOverride>
    <w:lvlOverride w:ilvl="4">
      <w:lvl w:ilvl="4">
        <w:start w:val="1"/>
        <w:numFmt w:val="lowerLetter"/>
        <w:lvlText w:val="(%5)"/>
        <w:lvlJc w:val="left"/>
        <w:pPr>
          <w:ind w:left="5397" w:hanging="360"/>
        </w:pPr>
        <w:rPr>
          <w:rFonts w:hint="default"/>
        </w:rPr>
      </w:lvl>
    </w:lvlOverride>
    <w:lvlOverride w:ilvl="5">
      <w:lvl w:ilvl="5">
        <w:start w:val="1"/>
        <w:numFmt w:val="lowerRoman"/>
        <w:lvlText w:val="(%6)"/>
        <w:lvlJc w:val="left"/>
        <w:pPr>
          <w:ind w:left="5757" w:hanging="360"/>
        </w:pPr>
        <w:rPr>
          <w:rFonts w:hint="default"/>
        </w:rPr>
      </w:lvl>
    </w:lvlOverride>
    <w:lvlOverride w:ilvl="6">
      <w:lvl w:ilvl="6">
        <w:start w:val="1"/>
        <w:numFmt w:val="decimal"/>
        <w:lvlText w:val="%7."/>
        <w:lvlJc w:val="left"/>
        <w:pPr>
          <w:ind w:left="6117" w:hanging="360"/>
        </w:pPr>
        <w:rPr>
          <w:rFonts w:hint="default"/>
        </w:rPr>
      </w:lvl>
    </w:lvlOverride>
    <w:lvlOverride w:ilvl="7">
      <w:lvl w:ilvl="7">
        <w:start w:val="1"/>
        <w:numFmt w:val="lowerLetter"/>
        <w:lvlText w:val="%8."/>
        <w:lvlJc w:val="left"/>
        <w:pPr>
          <w:ind w:left="6477" w:hanging="360"/>
        </w:pPr>
        <w:rPr>
          <w:rFonts w:hint="default"/>
        </w:rPr>
      </w:lvl>
    </w:lvlOverride>
    <w:lvlOverride w:ilvl="8">
      <w:lvl w:ilvl="8">
        <w:start w:val="1"/>
        <w:numFmt w:val="lowerRoman"/>
        <w:lvlText w:val="%9."/>
        <w:lvlJc w:val="left"/>
        <w:pPr>
          <w:ind w:left="6837" w:hanging="360"/>
        </w:pPr>
        <w:rPr>
          <w:rFonts w:hint="default"/>
        </w:rPr>
      </w:lvl>
    </w:lvlOverride>
  </w:num>
  <w:num w:numId="44">
    <w:abstractNumId w:val="16"/>
  </w:num>
  <w:num w:numId="45">
    <w:abstractNumId w:val="30"/>
  </w:num>
  <w:num w:numId="46">
    <w:abstractNumId w:val="15"/>
  </w:num>
  <w:num w:numId="47">
    <w:abstractNumId w:val="22"/>
  </w:num>
  <w:num w:numId="48">
    <w:abstractNumId w:val="1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2297"/>
    <w:rsid w:val="00005BFA"/>
    <w:rsid w:val="00006BAB"/>
    <w:rsid w:val="00013F59"/>
    <w:rsid w:val="000177C2"/>
    <w:rsid w:val="00026E9F"/>
    <w:rsid w:val="00034591"/>
    <w:rsid w:val="000470F5"/>
    <w:rsid w:val="00067F5C"/>
    <w:rsid w:val="00090395"/>
    <w:rsid w:val="000A5954"/>
    <w:rsid w:val="000A79A1"/>
    <w:rsid w:val="000B4836"/>
    <w:rsid w:val="000E0573"/>
    <w:rsid w:val="000E6BFC"/>
    <w:rsid w:val="000F6DE7"/>
    <w:rsid w:val="00113FDA"/>
    <w:rsid w:val="00114B84"/>
    <w:rsid w:val="001167A3"/>
    <w:rsid w:val="00123DBD"/>
    <w:rsid w:val="00127F97"/>
    <w:rsid w:val="00135118"/>
    <w:rsid w:val="001361FD"/>
    <w:rsid w:val="00137DD1"/>
    <w:rsid w:val="00146D1A"/>
    <w:rsid w:val="001576EC"/>
    <w:rsid w:val="00164F43"/>
    <w:rsid w:val="00177F73"/>
    <w:rsid w:val="00185375"/>
    <w:rsid w:val="001866A6"/>
    <w:rsid w:val="001B2E92"/>
    <w:rsid w:val="001B4B6C"/>
    <w:rsid w:val="001B5B89"/>
    <w:rsid w:val="001C0B13"/>
    <w:rsid w:val="001C4F91"/>
    <w:rsid w:val="001D29D7"/>
    <w:rsid w:val="001D6A95"/>
    <w:rsid w:val="001E4990"/>
    <w:rsid w:val="0020365F"/>
    <w:rsid w:val="00204DEB"/>
    <w:rsid w:val="00217476"/>
    <w:rsid w:val="00246A76"/>
    <w:rsid w:val="002503B2"/>
    <w:rsid w:val="0026173A"/>
    <w:rsid w:val="00262753"/>
    <w:rsid w:val="00265E64"/>
    <w:rsid w:val="00282700"/>
    <w:rsid w:val="002B275E"/>
    <w:rsid w:val="002B5FF4"/>
    <w:rsid w:val="002D2F80"/>
    <w:rsid w:val="002E3BC6"/>
    <w:rsid w:val="002E745D"/>
    <w:rsid w:val="00302EC4"/>
    <w:rsid w:val="003176A9"/>
    <w:rsid w:val="00323586"/>
    <w:rsid w:val="00323E5A"/>
    <w:rsid w:val="00337B34"/>
    <w:rsid w:val="0035606A"/>
    <w:rsid w:val="0036400A"/>
    <w:rsid w:val="0038185D"/>
    <w:rsid w:val="00382212"/>
    <w:rsid w:val="00395152"/>
    <w:rsid w:val="003B0898"/>
    <w:rsid w:val="003B3007"/>
    <w:rsid w:val="003C28B9"/>
    <w:rsid w:val="003C4B0B"/>
    <w:rsid w:val="003E277C"/>
    <w:rsid w:val="003F403B"/>
    <w:rsid w:val="003F468D"/>
    <w:rsid w:val="003F62B1"/>
    <w:rsid w:val="004104D2"/>
    <w:rsid w:val="004116D2"/>
    <w:rsid w:val="004235A5"/>
    <w:rsid w:val="00432413"/>
    <w:rsid w:val="0043394C"/>
    <w:rsid w:val="004406BF"/>
    <w:rsid w:val="00451D8B"/>
    <w:rsid w:val="00452DCF"/>
    <w:rsid w:val="00461FC9"/>
    <w:rsid w:val="00481C3D"/>
    <w:rsid w:val="00482E23"/>
    <w:rsid w:val="00484B66"/>
    <w:rsid w:val="004952A9"/>
    <w:rsid w:val="004E3F71"/>
    <w:rsid w:val="00551883"/>
    <w:rsid w:val="005601D9"/>
    <w:rsid w:val="00574E2A"/>
    <w:rsid w:val="00586648"/>
    <w:rsid w:val="00592A52"/>
    <w:rsid w:val="005A5B45"/>
    <w:rsid w:val="005B4C84"/>
    <w:rsid w:val="005C1048"/>
    <w:rsid w:val="005C11E4"/>
    <w:rsid w:val="005E4B1F"/>
    <w:rsid w:val="005E4DEA"/>
    <w:rsid w:val="005E73D0"/>
    <w:rsid w:val="0060091B"/>
    <w:rsid w:val="006050E7"/>
    <w:rsid w:val="006167B3"/>
    <w:rsid w:val="0064187A"/>
    <w:rsid w:val="00651C7E"/>
    <w:rsid w:val="00655BC9"/>
    <w:rsid w:val="00677C27"/>
    <w:rsid w:val="00687690"/>
    <w:rsid w:val="00690406"/>
    <w:rsid w:val="006A0C26"/>
    <w:rsid w:val="006A790B"/>
    <w:rsid w:val="00714FF5"/>
    <w:rsid w:val="007239B5"/>
    <w:rsid w:val="00751118"/>
    <w:rsid w:val="0075259F"/>
    <w:rsid w:val="00755B11"/>
    <w:rsid w:val="00757ABA"/>
    <w:rsid w:val="007708C9"/>
    <w:rsid w:val="00775129"/>
    <w:rsid w:val="00794A71"/>
    <w:rsid w:val="007A7CDD"/>
    <w:rsid w:val="007C2BC0"/>
    <w:rsid w:val="0082007C"/>
    <w:rsid w:val="008379C6"/>
    <w:rsid w:val="0084079C"/>
    <w:rsid w:val="008537AA"/>
    <w:rsid w:val="008537DF"/>
    <w:rsid w:val="00861445"/>
    <w:rsid w:val="00862B3D"/>
    <w:rsid w:val="00897165"/>
    <w:rsid w:val="00897D84"/>
    <w:rsid w:val="008A0C9A"/>
    <w:rsid w:val="008A33EA"/>
    <w:rsid w:val="008B1A5F"/>
    <w:rsid w:val="009012BC"/>
    <w:rsid w:val="00901C30"/>
    <w:rsid w:val="00904253"/>
    <w:rsid w:val="00906E72"/>
    <w:rsid w:val="00913286"/>
    <w:rsid w:val="0091409A"/>
    <w:rsid w:val="00943ABB"/>
    <w:rsid w:val="00946C3F"/>
    <w:rsid w:val="00953564"/>
    <w:rsid w:val="00990C6B"/>
    <w:rsid w:val="009A4742"/>
    <w:rsid w:val="009B1404"/>
    <w:rsid w:val="009B2554"/>
    <w:rsid w:val="009E47D4"/>
    <w:rsid w:val="009F4319"/>
    <w:rsid w:val="00A02B4D"/>
    <w:rsid w:val="00A03744"/>
    <w:rsid w:val="00A042A9"/>
    <w:rsid w:val="00A223CC"/>
    <w:rsid w:val="00A24441"/>
    <w:rsid w:val="00A269AC"/>
    <w:rsid w:val="00A27090"/>
    <w:rsid w:val="00A30916"/>
    <w:rsid w:val="00A36A51"/>
    <w:rsid w:val="00A4339A"/>
    <w:rsid w:val="00A725FF"/>
    <w:rsid w:val="00A778B9"/>
    <w:rsid w:val="00A84ABF"/>
    <w:rsid w:val="00A87C3B"/>
    <w:rsid w:val="00A977FA"/>
    <w:rsid w:val="00AA65C9"/>
    <w:rsid w:val="00AB757C"/>
    <w:rsid w:val="00AB79CD"/>
    <w:rsid w:val="00AC313D"/>
    <w:rsid w:val="00AD23CC"/>
    <w:rsid w:val="00AD28E7"/>
    <w:rsid w:val="00AD3885"/>
    <w:rsid w:val="00AD3F53"/>
    <w:rsid w:val="00AD5FFF"/>
    <w:rsid w:val="00AF7A46"/>
    <w:rsid w:val="00B027C1"/>
    <w:rsid w:val="00B030C8"/>
    <w:rsid w:val="00B2066A"/>
    <w:rsid w:val="00B2122A"/>
    <w:rsid w:val="00B23BEB"/>
    <w:rsid w:val="00B26867"/>
    <w:rsid w:val="00B33655"/>
    <w:rsid w:val="00B411D0"/>
    <w:rsid w:val="00B51D7F"/>
    <w:rsid w:val="00B5311D"/>
    <w:rsid w:val="00B668F2"/>
    <w:rsid w:val="00B768ED"/>
    <w:rsid w:val="00B77674"/>
    <w:rsid w:val="00B80314"/>
    <w:rsid w:val="00B8479B"/>
    <w:rsid w:val="00B90E1E"/>
    <w:rsid w:val="00BB73CF"/>
    <w:rsid w:val="00BC31E4"/>
    <w:rsid w:val="00BD379C"/>
    <w:rsid w:val="00BD662C"/>
    <w:rsid w:val="00BE1764"/>
    <w:rsid w:val="00BE19A6"/>
    <w:rsid w:val="00BF5A34"/>
    <w:rsid w:val="00BF6825"/>
    <w:rsid w:val="00C01480"/>
    <w:rsid w:val="00C20552"/>
    <w:rsid w:val="00C21686"/>
    <w:rsid w:val="00C274A1"/>
    <w:rsid w:val="00C33ACB"/>
    <w:rsid w:val="00C47D5C"/>
    <w:rsid w:val="00C5085F"/>
    <w:rsid w:val="00C538EE"/>
    <w:rsid w:val="00C54D19"/>
    <w:rsid w:val="00C709D1"/>
    <w:rsid w:val="00C924B4"/>
    <w:rsid w:val="00CA5736"/>
    <w:rsid w:val="00CA7157"/>
    <w:rsid w:val="00CA7E8D"/>
    <w:rsid w:val="00CB0D45"/>
    <w:rsid w:val="00CC102A"/>
    <w:rsid w:val="00CE249C"/>
    <w:rsid w:val="00CE7F4B"/>
    <w:rsid w:val="00CF1C99"/>
    <w:rsid w:val="00D23156"/>
    <w:rsid w:val="00D23EA3"/>
    <w:rsid w:val="00D274AD"/>
    <w:rsid w:val="00D501DA"/>
    <w:rsid w:val="00D519A9"/>
    <w:rsid w:val="00D5288D"/>
    <w:rsid w:val="00D5478F"/>
    <w:rsid w:val="00D57222"/>
    <w:rsid w:val="00D66D67"/>
    <w:rsid w:val="00D71B52"/>
    <w:rsid w:val="00DA7150"/>
    <w:rsid w:val="00DE0BE7"/>
    <w:rsid w:val="00DE1EDB"/>
    <w:rsid w:val="00DF14A6"/>
    <w:rsid w:val="00DF3FA5"/>
    <w:rsid w:val="00DF7271"/>
    <w:rsid w:val="00E06B39"/>
    <w:rsid w:val="00E125BA"/>
    <w:rsid w:val="00E12BD7"/>
    <w:rsid w:val="00E21B51"/>
    <w:rsid w:val="00E27B91"/>
    <w:rsid w:val="00E313B7"/>
    <w:rsid w:val="00E40B5A"/>
    <w:rsid w:val="00E43058"/>
    <w:rsid w:val="00E433EF"/>
    <w:rsid w:val="00E50956"/>
    <w:rsid w:val="00E53DB1"/>
    <w:rsid w:val="00E67D29"/>
    <w:rsid w:val="00E758CF"/>
    <w:rsid w:val="00E847CD"/>
    <w:rsid w:val="00E943CB"/>
    <w:rsid w:val="00EB4E56"/>
    <w:rsid w:val="00ED31F9"/>
    <w:rsid w:val="00EE4B08"/>
    <w:rsid w:val="00EE76D4"/>
    <w:rsid w:val="00EF14C1"/>
    <w:rsid w:val="00F06BB8"/>
    <w:rsid w:val="00F07960"/>
    <w:rsid w:val="00F1101A"/>
    <w:rsid w:val="00F13AED"/>
    <w:rsid w:val="00F21916"/>
    <w:rsid w:val="00F21E1E"/>
    <w:rsid w:val="00F231C3"/>
    <w:rsid w:val="00F30FAD"/>
    <w:rsid w:val="00F755C6"/>
    <w:rsid w:val="00FA733B"/>
    <w:rsid w:val="00FB10A8"/>
    <w:rsid w:val="00FB4ABA"/>
    <w:rsid w:val="00FB595F"/>
    <w:rsid w:val="00FD1A90"/>
    <w:rsid w:val="00FE1788"/>
    <w:rsid w:val="00FF6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chartTrackingRefBased/>
  <w15:docId w15:val="{37B77AE9-5C84-4262-A6D1-98517BA4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spacing w:after="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49"/>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iPriority w:val="99"/>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uiPriority w:val="99"/>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47"/>
      </w:numPr>
      <w:spacing w:before="100" w:after="100"/>
    </w:pPr>
  </w:style>
  <w:style w:type="numbering" w:customStyle="1" w:styleId="Style1">
    <w:name w:val="Style1"/>
    <w:uiPriority w:val="99"/>
    <w:rsid w:val="001361FD"/>
    <w:pPr>
      <w:numPr>
        <w:numId w:val="20"/>
      </w:numPr>
    </w:pPr>
  </w:style>
  <w:style w:type="numbering" w:customStyle="1" w:styleId="List1234">
    <w:name w:val="List 1234"/>
    <w:uiPriority w:val="99"/>
    <w:rsid w:val="001361FD"/>
    <w:pPr>
      <w:numPr>
        <w:numId w:val="23"/>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6"/>
      </w:numPr>
    </w:pPr>
  </w:style>
  <w:style w:type="paragraph" w:customStyle="1" w:styleId="ListABCL1">
    <w:name w:val="ListABC L1"/>
    <w:basedOn w:val="Normal"/>
    <w:uiPriority w:val="1"/>
    <w:qFormat/>
    <w:rsid w:val="001B2E92"/>
    <w:pPr>
      <w:numPr>
        <w:numId w:val="42"/>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44"/>
      </w:numPr>
    </w:pPr>
  </w:style>
  <w:style w:type="paragraph" w:styleId="ListParagraph">
    <w:name w:val="List Paragraph"/>
    <w:basedOn w:val="Normal"/>
    <w:uiPriority w:val="34"/>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49"/>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2">
    <w:name w:val="Body Text 2"/>
    <w:basedOn w:val="Normal"/>
    <w:link w:val="BodyText2Char"/>
    <w:unhideWhenUsed/>
    <w:rsid w:val="008537AA"/>
    <w:pPr>
      <w:widowControl/>
      <w:spacing w:before="0" w:after="120" w:line="480" w:lineRule="auto"/>
      <w:jc w:val="both"/>
    </w:pPr>
    <w:rPr>
      <w:rFonts w:ascii="Arial" w:eastAsia="Times New Roman" w:hAnsi="Arial"/>
      <w:szCs w:val="20"/>
      <w:lang w:val="en-AU" w:eastAsia="en-AU"/>
    </w:rPr>
  </w:style>
  <w:style w:type="character" w:customStyle="1" w:styleId="BodyText2Char">
    <w:name w:val="Body Text 2 Char"/>
    <w:link w:val="BodyText2"/>
    <w:rsid w:val="008537AA"/>
    <w:rPr>
      <w:rFonts w:ascii="Arial" w:eastAsia="Times New Roman" w:hAnsi="Arial"/>
      <w:sz w:val="24"/>
    </w:rPr>
  </w:style>
  <w:style w:type="paragraph" w:customStyle="1" w:styleId="Centreheading">
    <w:name w:val="Centreheading"/>
    <w:basedOn w:val="Normal"/>
    <w:next w:val="Normal"/>
    <w:rsid w:val="00C5085F"/>
    <w:pPr>
      <w:widowControl/>
      <w:spacing w:before="0" w:after="0"/>
      <w:jc w:val="center"/>
    </w:pPr>
    <w:rPr>
      <w:rFonts w:ascii="Arial" w:eastAsia="Times New Roman" w:hAnsi="Arial"/>
      <w:b/>
      <w:smallCaps/>
      <w:szCs w:val="20"/>
      <w:lang w:eastAsia="en-AU"/>
    </w:rPr>
  </w:style>
  <w:style w:type="paragraph" w:styleId="BodyText">
    <w:name w:val="Body Text"/>
    <w:basedOn w:val="Normal"/>
    <w:link w:val="BodyTextChar"/>
    <w:unhideWhenUsed/>
    <w:rsid w:val="003B3007"/>
    <w:pPr>
      <w:spacing w:after="120"/>
    </w:pPr>
  </w:style>
  <w:style w:type="character" w:customStyle="1" w:styleId="BodyTextChar">
    <w:name w:val="Body Text Char"/>
    <w:basedOn w:val="DefaultParagraphFont"/>
    <w:link w:val="BodyText"/>
    <w:rsid w:val="003B3007"/>
    <w:rPr>
      <w:rFonts w:ascii="Helvetica" w:hAnsi="Helvetica"/>
      <w:sz w:val="24"/>
      <w:szCs w:val="22"/>
      <w:lang w:val="en-US" w:eastAsia="en-US"/>
    </w:rPr>
  </w:style>
  <w:style w:type="paragraph" w:styleId="Subtitle">
    <w:name w:val="Subtitle"/>
    <w:basedOn w:val="Normal"/>
    <w:link w:val="SubtitleChar"/>
    <w:qFormat/>
    <w:rsid w:val="003B3007"/>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3B3007"/>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301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nt.gov.au/about-government/gazettes"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7DF5-F0D4-40AF-9681-943185C4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9</Pages>
  <Words>543</Words>
  <Characters>2878</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Northern Territory Government 2018 G31</vt:lpstr>
    </vt:vector>
  </TitlesOfParts>
  <Company>NTG</Company>
  <LinksUpToDate>false</LinksUpToDate>
  <CharactersWithSpaces>3365</CharactersWithSpaces>
  <SharedDoc>false</SharedDoc>
  <HLinks>
    <vt:vector size="18" baseType="variant">
      <vt:variant>
        <vt:i4>7274538</vt:i4>
      </vt:variant>
      <vt:variant>
        <vt:i4>6</vt:i4>
      </vt:variant>
      <vt:variant>
        <vt:i4>0</vt:i4>
      </vt:variant>
      <vt:variant>
        <vt:i4>5</vt:i4>
      </vt:variant>
      <vt:variant>
        <vt:lpwstr>https://legislation.nt.gov.au/</vt:lpwstr>
      </vt:variant>
      <vt:variant>
        <vt:lpwstr/>
      </vt:variant>
      <vt:variant>
        <vt:i4>7929969</vt:i4>
      </vt:variant>
      <vt:variant>
        <vt:i4>3</vt:i4>
      </vt:variant>
      <vt:variant>
        <vt:i4>0</vt:i4>
      </vt:variant>
      <vt:variant>
        <vt:i4>5</vt:i4>
      </vt:variant>
      <vt:variant>
        <vt:lpwstr>https://nt.gov.au/about-government/gazettes</vt:lpwstr>
      </vt:variant>
      <vt:variant>
        <vt:lpwstr/>
      </vt:variant>
      <vt:variant>
        <vt:i4>2752584</vt:i4>
      </vt:variant>
      <vt:variant>
        <vt:i4>0</vt:i4>
      </vt:variant>
      <vt:variant>
        <vt:i4>0</vt:i4>
      </vt:variant>
      <vt:variant>
        <vt:i4>5</vt:i4>
      </vt:variant>
      <vt:variant>
        <vt:lpwstr>mailto:gazettes@nt.gov.au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G31</dc:title>
  <dc:subject/>
  <dc:creator>Northern Territory Government</dc:creator>
  <cp:keywords/>
  <cp:lastModifiedBy>Catherine Frances Maher</cp:lastModifiedBy>
  <cp:revision>8</cp:revision>
  <cp:lastPrinted>2018-08-07T01:00:00Z</cp:lastPrinted>
  <dcterms:created xsi:type="dcterms:W3CDTF">2018-08-01T23:21:00Z</dcterms:created>
  <dcterms:modified xsi:type="dcterms:W3CDTF">2018-08-07T04:18:00Z</dcterms:modified>
</cp:coreProperties>
</file>