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BF5F36">
      <w:pPr>
        <w:pStyle w:val="Gazettenoanddate"/>
        <w:tabs>
          <w:tab w:val="left" w:pos="6804"/>
        </w:tabs>
      </w:pPr>
      <w:r>
        <w:t>No.</w:t>
      </w:r>
      <w:r w:rsidR="00282700">
        <w:t xml:space="preserve"> </w:t>
      </w:r>
      <w:r w:rsidR="00D66D67">
        <w:t>G</w:t>
      </w:r>
      <w:r w:rsidR="00AD59EE">
        <w:t>2</w:t>
      </w:r>
      <w:r w:rsidR="00A45617">
        <w:t>6</w:t>
      </w:r>
      <w:r w:rsidR="004E2B3B">
        <w:tab/>
      </w:r>
      <w:r w:rsidR="00A45617">
        <w:t>27</w:t>
      </w:r>
      <w:r w:rsidR="00AD59EE">
        <w:t xml:space="preserve"> June</w:t>
      </w:r>
      <w:r w:rsidR="00B24BE1">
        <w:t xml:space="preserve"> </w:t>
      </w:r>
      <w:r w:rsidR="008A2F9E">
        <w:t>2018</w:t>
      </w:r>
    </w:p>
    <w:p w:rsidR="00860858" w:rsidRPr="00E532F0" w:rsidRDefault="00860858" w:rsidP="00C14668">
      <w:pPr>
        <w:pStyle w:val="Heading1"/>
        <w:widowControl w:val="0"/>
        <w:spacing w:before="200" w:after="200"/>
      </w:pPr>
      <w:r w:rsidRPr="00E532F0">
        <w:t>General information</w:t>
      </w:r>
    </w:p>
    <w:p w:rsidR="00860858" w:rsidRPr="0030463D" w:rsidRDefault="00860858" w:rsidP="0030463D">
      <w:pPr>
        <w:pStyle w:val="BodyText2"/>
        <w:widowControl w:val="0"/>
        <w:spacing w:before="200" w:after="200" w:line="240" w:lineRule="auto"/>
        <w:rPr>
          <w:rFonts w:ascii="Helvetica" w:eastAsia="Calibri" w:hAnsi="Helvetica"/>
          <w:szCs w:val="22"/>
          <w:lang w:val="en-US" w:eastAsia="en-US"/>
        </w:rPr>
      </w:pPr>
      <w:r w:rsidRPr="0030463D">
        <w:rPr>
          <w:rFonts w:ascii="Helvetica" w:eastAsia="Calibri" w:hAnsi="Helvetica"/>
          <w:szCs w:val="22"/>
          <w:lang w:val="en-US" w:eastAsia="en-US"/>
        </w:rPr>
        <w:t xml:space="preserve">The Gazette is published </w:t>
      </w:r>
      <w:r w:rsidR="00132445" w:rsidRPr="0030463D">
        <w:rPr>
          <w:rFonts w:ascii="Helvetica" w:eastAsia="Calibri" w:hAnsi="Helvetica"/>
          <w:szCs w:val="22"/>
          <w:lang w:val="en-US" w:eastAsia="en-US"/>
        </w:rPr>
        <w:t>by</w:t>
      </w:r>
      <w:r w:rsidRPr="0030463D">
        <w:rPr>
          <w:rFonts w:ascii="Helvetica" w:eastAsia="Calibri" w:hAnsi="Helvetica"/>
          <w:szCs w:val="22"/>
          <w:lang w:val="en-US" w:eastAsia="en-US"/>
        </w:rP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The Gazette will be available online at 12 No</w:t>
      </w:r>
      <w:r w:rsidR="00513AF6">
        <w:t>on on the day of publication at</w:t>
      </w:r>
      <w:r>
        <w:t xml:space="preserve"> </w:t>
      </w:r>
      <w:hyperlink r:id="rId10" w:history="1">
        <w:r w:rsidR="00513AF6" w:rsidRPr="00DF7848">
          <w:rPr>
            <w:rStyle w:val="Hyperlink"/>
          </w:rPr>
          <w:t>https://nt.gov.au/about-government/gazettes</w:t>
        </w:r>
      </w:hyperlink>
    </w:p>
    <w:p w:rsidR="00513AF6" w:rsidRDefault="00860858" w:rsidP="00A16ED4">
      <w:pPr>
        <w:widowControl w:val="0"/>
        <w:spacing w:before="200" w:after="200"/>
        <w:jc w:val="both"/>
        <w:rPr>
          <w:rStyle w:val="Hyperlink"/>
        </w:rPr>
      </w:pPr>
      <w:r>
        <w:t xml:space="preserve">Unauthorised versions of </w:t>
      </w:r>
      <w:r w:rsidRPr="00860858">
        <w:t>Northern Territory Acts</w:t>
      </w:r>
      <w:r>
        <w:t xml:space="preserve"> and Subordinate legi</w:t>
      </w:r>
      <w:r w:rsidR="002D430E">
        <w:t>slation are available online at</w:t>
      </w:r>
      <w:r w:rsidR="002F102F">
        <w:t xml:space="preserve"> </w:t>
      </w:r>
      <w:hyperlink r:id="rId11" w:history="1">
        <w:r w:rsidR="00513AF6" w:rsidRPr="00DF7848">
          <w:rPr>
            <w:rStyle w:val="Hyperlink"/>
          </w:rPr>
          <w:t>https://legislation.nt.gov.au/</w:t>
        </w:r>
      </w:hyperlink>
    </w:p>
    <w:p w:rsidR="00EA6279" w:rsidRPr="00EA6279" w:rsidRDefault="00EA6279" w:rsidP="00EA6279">
      <w:pPr>
        <w:tabs>
          <w:tab w:val="left" w:pos="2127"/>
        </w:tabs>
        <w:rPr>
          <w:color w:val="FF0000"/>
        </w:rPr>
        <w:sectPr w:rsidR="00EA6279" w:rsidRPr="00EA6279" w:rsidSect="00C66D74">
          <w:headerReference w:type="default" r:id="rId12"/>
          <w:footerReference w:type="even" r:id="rId13"/>
          <w:footerReference w:type="default" r:id="rId14"/>
          <w:footerReference w:type="first" r:id="rId15"/>
          <w:pgSz w:w="11906" w:h="16838"/>
          <w:pgMar w:top="1440" w:right="1797" w:bottom="1440" w:left="1797" w:header="720" w:footer="720" w:gutter="0"/>
          <w:cols w:space="720"/>
          <w:titlePg/>
          <w:docGrid w:linePitch="326"/>
        </w:sectPr>
      </w:pPr>
    </w:p>
    <w:p w:rsidR="00E41803" w:rsidRPr="001F2D88" w:rsidRDefault="00E41803" w:rsidP="00E41803">
      <w:pPr>
        <w:tabs>
          <w:tab w:val="left" w:pos="8640"/>
        </w:tabs>
        <w:spacing w:line="360" w:lineRule="auto"/>
        <w:jc w:val="center"/>
        <w:rPr>
          <w:spacing w:val="-3"/>
        </w:rPr>
      </w:pPr>
      <w:r w:rsidRPr="00CE1DB8">
        <w:rPr>
          <w:spacing w:val="-3"/>
        </w:rPr>
        <w:lastRenderedPageBreak/>
        <w:t>Northern Territory of Australia</w:t>
      </w:r>
    </w:p>
    <w:p w:rsidR="00E41803" w:rsidRPr="004C196F" w:rsidRDefault="00E41803" w:rsidP="00E41803">
      <w:pPr>
        <w:spacing w:line="360" w:lineRule="auto"/>
        <w:jc w:val="center"/>
        <w:outlineLvl w:val="0"/>
        <w:rPr>
          <w:rFonts w:cs="Helvetica"/>
          <w:i/>
        </w:rPr>
      </w:pPr>
      <w:r>
        <w:rPr>
          <w:rFonts w:cs="Helvetica"/>
          <w:i/>
        </w:rPr>
        <w:t>Water Supply and Sewerage Services Act</w:t>
      </w:r>
    </w:p>
    <w:p w:rsidR="00E41803" w:rsidRPr="005D2BCA" w:rsidRDefault="00E41803" w:rsidP="00E41803">
      <w:pPr>
        <w:spacing w:line="360" w:lineRule="auto"/>
        <w:jc w:val="center"/>
        <w:rPr>
          <w:b/>
          <w:spacing w:val="-3"/>
        </w:rPr>
      </w:pPr>
      <w:r>
        <w:rPr>
          <w:b/>
          <w:spacing w:val="-3"/>
        </w:rPr>
        <w:t>Notice of Issue of Pricing Order</w:t>
      </w:r>
    </w:p>
    <w:p w:rsidR="00E41803" w:rsidRDefault="00E41803" w:rsidP="00E41803">
      <w:pPr>
        <w:spacing w:after="120" w:line="360" w:lineRule="auto"/>
        <w:jc w:val="both"/>
      </w:pPr>
      <w:r w:rsidRPr="00CE1DB8">
        <w:t xml:space="preserve">I, </w:t>
      </w:r>
      <w:r>
        <w:t>Nicole Susan Manison,</w:t>
      </w:r>
      <w:r w:rsidRPr="00CE1DB8">
        <w:t xml:space="preserve"> </w:t>
      </w:r>
      <w:r>
        <w:t>Treasurer</w:t>
      </w:r>
      <w:r w:rsidRPr="00CE1DB8">
        <w:t xml:space="preserve">, </w:t>
      </w:r>
      <w:r>
        <w:t xml:space="preserve">under </w:t>
      </w:r>
      <w:r w:rsidRPr="00CE1DB8">
        <w:t>section </w:t>
      </w:r>
      <w:r>
        <w:t xml:space="preserve">60(5) </w:t>
      </w:r>
      <w:r w:rsidRPr="00CE1DB8">
        <w:t xml:space="preserve">of the </w:t>
      </w:r>
      <w:r>
        <w:rPr>
          <w:i/>
        </w:rPr>
        <w:t xml:space="preserve">Water Supply and Sewerage Services </w:t>
      </w:r>
      <w:r w:rsidRPr="00643A83">
        <w:rPr>
          <w:i/>
        </w:rPr>
        <w:t>Act</w:t>
      </w:r>
      <w:r w:rsidRPr="00CE1DB8">
        <w:t xml:space="preserve">, </w:t>
      </w:r>
      <w:r>
        <w:t>give notice that:</w:t>
      </w:r>
    </w:p>
    <w:p w:rsidR="00E41803" w:rsidRDefault="00E41803" w:rsidP="00E41803">
      <w:pPr>
        <w:spacing w:after="120" w:line="360" w:lineRule="auto"/>
        <w:ind w:left="720" w:hanging="720"/>
        <w:jc w:val="both"/>
      </w:pPr>
      <w:r>
        <w:t>(a)</w:t>
      </w:r>
      <w:r>
        <w:tab/>
        <w:t>a pricing order regulating prices for the sale of water supply and sewerage services has been issued; and</w:t>
      </w:r>
    </w:p>
    <w:p w:rsidR="00E41803" w:rsidRDefault="00E41803" w:rsidP="00E41803">
      <w:pPr>
        <w:spacing w:after="120" w:line="360" w:lineRule="auto"/>
        <w:ind w:left="720" w:hanging="720"/>
        <w:jc w:val="both"/>
      </w:pPr>
      <w:r>
        <w:t>(b)</w:t>
      </w:r>
      <w:r>
        <w:tab/>
        <w:t>the order will have the effect of regulating those prices from 1 July 2018 to 30 June 2019; and</w:t>
      </w:r>
    </w:p>
    <w:p w:rsidR="00E41803" w:rsidRPr="00CE1DB8" w:rsidRDefault="00E41803" w:rsidP="00E41803">
      <w:pPr>
        <w:spacing w:after="120" w:line="360" w:lineRule="auto"/>
        <w:ind w:left="720" w:hanging="720"/>
        <w:jc w:val="both"/>
      </w:pPr>
      <w:r>
        <w:t>(c)</w:t>
      </w:r>
      <w:r>
        <w:tab/>
        <w:t>a copy of the order may be inspected at, and obtained from, the Power</w:t>
      </w:r>
      <w:r w:rsidR="00762166">
        <w:t> </w:t>
      </w:r>
      <w:r>
        <w:t>and Water Corporation.</w:t>
      </w:r>
    </w:p>
    <w:p w:rsidR="00E41803" w:rsidRPr="00CE1DB8" w:rsidRDefault="00E41803" w:rsidP="00316719">
      <w:pPr>
        <w:spacing w:before="240" w:after="240" w:line="360" w:lineRule="auto"/>
      </w:pPr>
      <w:r w:rsidRPr="00CE1DB8">
        <w:t>Dated</w:t>
      </w:r>
      <w:r w:rsidR="00316719">
        <w:t xml:space="preserve"> 13 June 2018</w:t>
      </w:r>
    </w:p>
    <w:p w:rsidR="00E41803" w:rsidRPr="00CE1DB8" w:rsidRDefault="00316719" w:rsidP="00316719">
      <w:pPr>
        <w:tabs>
          <w:tab w:val="left" w:pos="8640"/>
        </w:tabs>
        <w:spacing w:before="240"/>
        <w:jc w:val="right"/>
        <w:rPr>
          <w:spacing w:val="-3"/>
        </w:rPr>
      </w:pPr>
      <w:r>
        <w:rPr>
          <w:spacing w:val="-3"/>
        </w:rPr>
        <w:t>N. S. Manison</w:t>
      </w:r>
    </w:p>
    <w:p w:rsidR="00E41803" w:rsidRPr="00CE1DB8" w:rsidRDefault="00E41803" w:rsidP="00E41803">
      <w:pPr>
        <w:tabs>
          <w:tab w:val="left" w:pos="8640"/>
        </w:tabs>
        <w:jc w:val="right"/>
        <w:rPr>
          <w:spacing w:val="-3"/>
        </w:rPr>
      </w:pPr>
      <w:r>
        <w:rPr>
          <w:spacing w:val="-3"/>
        </w:rPr>
        <w:t>Treasurer</w:t>
      </w:r>
    </w:p>
    <w:p w:rsidR="00E41803" w:rsidRPr="001F2D88" w:rsidRDefault="00E41803" w:rsidP="00316719">
      <w:pPr>
        <w:tabs>
          <w:tab w:val="left" w:pos="8640"/>
        </w:tabs>
        <w:spacing w:before="1200" w:line="360" w:lineRule="auto"/>
        <w:jc w:val="center"/>
        <w:rPr>
          <w:spacing w:val="-3"/>
        </w:rPr>
      </w:pPr>
      <w:r w:rsidRPr="00CE1DB8">
        <w:rPr>
          <w:spacing w:val="-3"/>
        </w:rPr>
        <w:t>Northern Territory of Australia</w:t>
      </w:r>
    </w:p>
    <w:p w:rsidR="00E41803" w:rsidRPr="004C196F" w:rsidRDefault="00E41803" w:rsidP="00E41803">
      <w:pPr>
        <w:spacing w:line="360" w:lineRule="auto"/>
        <w:jc w:val="center"/>
        <w:outlineLvl w:val="0"/>
        <w:rPr>
          <w:rFonts w:cs="Helvetica"/>
          <w:i/>
        </w:rPr>
      </w:pPr>
      <w:r>
        <w:rPr>
          <w:rFonts w:cs="Helvetica"/>
          <w:i/>
        </w:rPr>
        <w:t>Water Supply and Sewerage Services Act</w:t>
      </w:r>
    </w:p>
    <w:p w:rsidR="00E41803" w:rsidRPr="005D2BCA" w:rsidRDefault="00E41803" w:rsidP="00E41803">
      <w:pPr>
        <w:spacing w:line="360" w:lineRule="auto"/>
        <w:jc w:val="center"/>
        <w:rPr>
          <w:b/>
          <w:spacing w:val="-3"/>
        </w:rPr>
      </w:pPr>
      <w:r>
        <w:rPr>
          <w:b/>
          <w:spacing w:val="-3"/>
        </w:rPr>
        <w:t>Issue of Pricing Order</w:t>
      </w:r>
    </w:p>
    <w:p w:rsidR="00E41803" w:rsidRDefault="00E41803" w:rsidP="00E41803">
      <w:pPr>
        <w:spacing w:line="360" w:lineRule="auto"/>
        <w:jc w:val="both"/>
      </w:pPr>
      <w:r w:rsidRPr="00CE1DB8">
        <w:t xml:space="preserve">I, </w:t>
      </w:r>
      <w:r>
        <w:t>Nicole Susan Manison, Treasurer</w:t>
      </w:r>
      <w:r w:rsidRPr="00CE1DB8">
        <w:t xml:space="preserve">, </w:t>
      </w:r>
      <w:r>
        <w:t xml:space="preserve">under </w:t>
      </w:r>
      <w:r w:rsidRPr="00CE1DB8">
        <w:t>section </w:t>
      </w:r>
      <w:r>
        <w:t xml:space="preserve">60(1)(a) and (b) </w:t>
      </w:r>
      <w:r w:rsidRPr="00CE1DB8">
        <w:t xml:space="preserve">of the </w:t>
      </w:r>
      <w:r>
        <w:rPr>
          <w:i/>
        </w:rPr>
        <w:t>Water</w:t>
      </w:r>
      <w:r w:rsidR="00316719">
        <w:rPr>
          <w:i/>
        </w:rPr>
        <w:t> </w:t>
      </w:r>
      <w:r>
        <w:rPr>
          <w:i/>
        </w:rPr>
        <w:t xml:space="preserve">Supply and Sewerage Services </w:t>
      </w:r>
      <w:r w:rsidRPr="00643A83">
        <w:rPr>
          <w:i/>
        </w:rPr>
        <w:t>Act</w:t>
      </w:r>
      <w:r w:rsidRPr="00CE1DB8">
        <w:t xml:space="preserve">, </w:t>
      </w:r>
      <w:r>
        <w:t>issue the pricing order set out in the Schedule, to take effect on 1 July 2018 and to remain in force for 12 months.</w:t>
      </w:r>
    </w:p>
    <w:p w:rsidR="00E41803" w:rsidRPr="00CE1DB8" w:rsidRDefault="00E41803" w:rsidP="00316719">
      <w:pPr>
        <w:spacing w:before="240" w:after="240" w:line="360" w:lineRule="auto"/>
      </w:pPr>
      <w:r w:rsidRPr="00CE1DB8">
        <w:t>Dated</w:t>
      </w:r>
      <w:r w:rsidR="00316719">
        <w:t xml:space="preserve"> 13 June 2018</w:t>
      </w:r>
    </w:p>
    <w:p w:rsidR="00E41803" w:rsidRPr="00CE1DB8" w:rsidRDefault="00316719" w:rsidP="00316719">
      <w:pPr>
        <w:tabs>
          <w:tab w:val="left" w:pos="8640"/>
        </w:tabs>
        <w:spacing w:before="240"/>
        <w:jc w:val="right"/>
        <w:rPr>
          <w:spacing w:val="-3"/>
        </w:rPr>
      </w:pPr>
      <w:r>
        <w:rPr>
          <w:spacing w:val="-3"/>
        </w:rPr>
        <w:t>N. S. Manison</w:t>
      </w:r>
    </w:p>
    <w:p w:rsidR="00E41803" w:rsidRPr="00CE1DB8" w:rsidRDefault="00E41803" w:rsidP="00E41803">
      <w:pPr>
        <w:tabs>
          <w:tab w:val="left" w:pos="8640"/>
        </w:tabs>
        <w:jc w:val="right"/>
        <w:rPr>
          <w:spacing w:val="-3"/>
        </w:rPr>
      </w:pPr>
      <w:r>
        <w:rPr>
          <w:spacing w:val="-3"/>
        </w:rPr>
        <w:t>Treasurer</w:t>
      </w:r>
    </w:p>
    <w:p w:rsidR="00E41803" w:rsidRPr="00316719" w:rsidRDefault="00E41803" w:rsidP="00316719">
      <w:pPr>
        <w:pageBreakBefore/>
        <w:widowControl w:val="0"/>
        <w:spacing w:line="360" w:lineRule="auto"/>
        <w:jc w:val="center"/>
        <w:rPr>
          <w:rFonts w:cs="Helvetica"/>
          <w:szCs w:val="24"/>
        </w:rPr>
      </w:pPr>
      <w:r w:rsidRPr="00316719">
        <w:rPr>
          <w:rFonts w:cs="Helvetica"/>
          <w:b/>
          <w:szCs w:val="24"/>
        </w:rPr>
        <w:lastRenderedPageBreak/>
        <w:t>Schedule</w:t>
      </w:r>
    </w:p>
    <w:p w:rsidR="00E41803" w:rsidRPr="00316719" w:rsidRDefault="00E41803" w:rsidP="00E41803">
      <w:pPr>
        <w:spacing w:after="240" w:line="360" w:lineRule="auto"/>
        <w:jc w:val="center"/>
        <w:rPr>
          <w:b/>
          <w:szCs w:val="24"/>
        </w:rPr>
      </w:pPr>
      <w:r w:rsidRPr="00316719">
        <w:rPr>
          <w:b/>
          <w:szCs w:val="24"/>
        </w:rPr>
        <w:t>Water Supply and Sewerage Services Pricing Order</w:t>
      </w:r>
    </w:p>
    <w:p w:rsidR="00E41803" w:rsidRPr="00316719" w:rsidRDefault="00E41803" w:rsidP="00E41803">
      <w:pPr>
        <w:spacing w:after="120"/>
        <w:jc w:val="both"/>
        <w:rPr>
          <w:rFonts w:cs="Helvetica"/>
          <w:b/>
          <w:szCs w:val="24"/>
        </w:rPr>
      </w:pPr>
      <w:r w:rsidRPr="00316719">
        <w:rPr>
          <w:rFonts w:cs="Helvetica"/>
          <w:b/>
          <w:szCs w:val="24"/>
        </w:rPr>
        <w:t>1</w:t>
      </w:r>
      <w:r w:rsidRPr="00316719">
        <w:rPr>
          <w:rFonts w:cs="Helvetica"/>
          <w:b/>
          <w:szCs w:val="24"/>
        </w:rPr>
        <w:tab/>
        <w:t>Definitions</w:t>
      </w:r>
    </w:p>
    <w:p w:rsidR="00E41803" w:rsidRPr="00316719" w:rsidRDefault="00E41803" w:rsidP="00E41803">
      <w:pPr>
        <w:spacing w:after="120"/>
        <w:ind w:left="720" w:hanging="720"/>
        <w:jc w:val="both"/>
        <w:rPr>
          <w:rFonts w:cs="Helvetica"/>
          <w:szCs w:val="24"/>
        </w:rPr>
      </w:pPr>
      <w:r w:rsidRPr="00316719">
        <w:rPr>
          <w:rFonts w:cs="Helvetica"/>
          <w:szCs w:val="24"/>
        </w:rPr>
        <w:tab/>
        <w:t>In this pricing order:</w:t>
      </w:r>
    </w:p>
    <w:p w:rsidR="00E41803" w:rsidRPr="00316719" w:rsidRDefault="00E41803" w:rsidP="00E41803">
      <w:pPr>
        <w:pStyle w:val="NormalWeb"/>
        <w:keepNext/>
        <w:spacing w:after="120"/>
        <w:ind w:left="709"/>
        <w:rPr>
          <w:rFonts w:ascii="Helvetica" w:hAnsi="Helvetica" w:cs="Helvetica"/>
          <w:sz w:val="24"/>
          <w:szCs w:val="24"/>
        </w:rPr>
      </w:pPr>
      <w:r w:rsidRPr="00316719">
        <w:rPr>
          <w:rFonts w:ascii="Helvetica" w:hAnsi="Helvetica" w:cs="Helvetica"/>
          <w:b/>
          <w:bCs/>
          <w:i/>
          <w:iCs/>
          <w:sz w:val="24"/>
          <w:szCs w:val="24"/>
        </w:rPr>
        <w:t>body corporate</w:t>
      </w:r>
      <w:r w:rsidRPr="00316719">
        <w:rPr>
          <w:rFonts w:ascii="Helvetica" w:hAnsi="Helvetica" w:cs="Helvetica"/>
          <w:sz w:val="24"/>
          <w:szCs w:val="24"/>
        </w:rPr>
        <w:t xml:space="preserve">, in relation to a development: </w:t>
      </w:r>
    </w:p>
    <w:p w:rsidR="00E41803" w:rsidRPr="00316719" w:rsidRDefault="00E41803" w:rsidP="00E41803">
      <w:pPr>
        <w:pStyle w:val="NormalWeb"/>
        <w:spacing w:after="120"/>
        <w:ind w:left="1276" w:hanging="567"/>
        <w:rPr>
          <w:rFonts w:ascii="Helvetica" w:hAnsi="Helvetica" w:cs="Helvetica"/>
          <w:sz w:val="24"/>
          <w:szCs w:val="24"/>
        </w:rPr>
      </w:pPr>
      <w:r w:rsidRPr="00316719">
        <w:rPr>
          <w:rFonts w:ascii="Helvetica" w:hAnsi="Helvetica" w:cs="Helvetica"/>
          <w:sz w:val="24"/>
          <w:szCs w:val="24"/>
        </w:rPr>
        <w:t>(a)</w:t>
      </w:r>
      <w:r w:rsidRPr="00316719">
        <w:rPr>
          <w:rFonts w:ascii="Helvetica" w:hAnsi="Helvetica" w:cs="Helvetica"/>
          <w:sz w:val="24"/>
          <w:szCs w:val="24"/>
        </w:rPr>
        <w:tab/>
        <w:t xml:space="preserve">if the development is a scheme – see section 5 of the </w:t>
      </w:r>
      <w:r w:rsidRPr="00316719">
        <w:rPr>
          <w:rFonts w:ascii="Helvetica" w:hAnsi="Helvetica" w:cs="Helvetica"/>
          <w:i/>
          <w:iCs/>
          <w:sz w:val="24"/>
          <w:szCs w:val="24"/>
        </w:rPr>
        <w:t>Unit Title Schemes Act</w:t>
      </w:r>
      <w:r w:rsidRPr="00316719">
        <w:rPr>
          <w:rFonts w:ascii="Helvetica" w:hAnsi="Helvetica" w:cs="Helvetica"/>
          <w:sz w:val="24"/>
          <w:szCs w:val="24"/>
        </w:rPr>
        <w:t xml:space="preserve">; or </w:t>
      </w:r>
    </w:p>
    <w:p w:rsidR="00E41803" w:rsidRPr="00316719" w:rsidRDefault="00E41803" w:rsidP="00E41803">
      <w:pPr>
        <w:pStyle w:val="NormalWeb"/>
        <w:spacing w:after="120"/>
        <w:ind w:left="1276" w:hanging="567"/>
        <w:rPr>
          <w:rFonts w:ascii="Helvetica" w:hAnsi="Helvetica" w:cs="Helvetica"/>
          <w:sz w:val="24"/>
          <w:szCs w:val="24"/>
        </w:rPr>
      </w:pPr>
      <w:r w:rsidRPr="00316719">
        <w:rPr>
          <w:rFonts w:ascii="Helvetica" w:hAnsi="Helvetica" w:cs="Helvetica"/>
          <w:sz w:val="24"/>
          <w:szCs w:val="24"/>
        </w:rPr>
        <w:t>(b)</w:t>
      </w:r>
      <w:r w:rsidRPr="00316719">
        <w:rPr>
          <w:rFonts w:ascii="Helvetica" w:hAnsi="Helvetica" w:cs="Helvetica"/>
          <w:sz w:val="24"/>
          <w:szCs w:val="24"/>
        </w:rPr>
        <w:tab/>
        <w:t xml:space="preserve">if the development is the Cullen Bay Marina development – means the Management Corporation as defined in section 2 of the </w:t>
      </w:r>
      <w:r w:rsidRPr="00316719">
        <w:rPr>
          <w:rFonts w:ascii="Helvetica" w:hAnsi="Helvetica" w:cs="Helvetica"/>
          <w:i/>
          <w:sz w:val="24"/>
          <w:szCs w:val="24"/>
        </w:rPr>
        <w:t>Cullen</w:t>
      </w:r>
      <w:r w:rsidR="00207034">
        <w:rPr>
          <w:rFonts w:ascii="Helvetica" w:hAnsi="Helvetica" w:cs="Helvetica"/>
          <w:i/>
          <w:sz w:val="24"/>
          <w:szCs w:val="24"/>
        </w:rPr>
        <w:t> </w:t>
      </w:r>
      <w:r w:rsidRPr="00316719">
        <w:rPr>
          <w:rFonts w:ascii="Helvetica" w:hAnsi="Helvetica" w:cs="Helvetica"/>
          <w:i/>
          <w:sz w:val="24"/>
          <w:szCs w:val="24"/>
        </w:rPr>
        <w:t>Bay Marina Act</w:t>
      </w:r>
      <w:r w:rsidRPr="00316719">
        <w:rPr>
          <w:rFonts w:ascii="Helvetica" w:hAnsi="Helvetica" w:cs="Helvetica"/>
          <w:sz w:val="24"/>
          <w:szCs w:val="24"/>
        </w:rPr>
        <w:t>; or</w:t>
      </w:r>
    </w:p>
    <w:p w:rsidR="00E41803" w:rsidRPr="00316719" w:rsidRDefault="00E41803" w:rsidP="00E41803">
      <w:pPr>
        <w:pStyle w:val="NormalWeb"/>
        <w:spacing w:after="120"/>
        <w:ind w:left="1276" w:hanging="567"/>
        <w:rPr>
          <w:rFonts w:ascii="Helvetica" w:hAnsi="Helvetica" w:cs="Helvetica"/>
          <w:sz w:val="24"/>
          <w:szCs w:val="24"/>
        </w:rPr>
      </w:pPr>
      <w:r w:rsidRPr="00316719">
        <w:rPr>
          <w:rFonts w:ascii="Helvetica" w:hAnsi="Helvetica" w:cs="Helvetica"/>
          <w:sz w:val="24"/>
          <w:szCs w:val="24"/>
        </w:rPr>
        <w:t>(c)</w:t>
      </w:r>
      <w:r w:rsidRPr="00316719">
        <w:rPr>
          <w:rFonts w:ascii="Helvetica" w:hAnsi="Helvetica" w:cs="Helvetica"/>
          <w:sz w:val="24"/>
          <w:szCs w:val="24"/>
        </w:rPr>
        <w:tab/>
        <w:t xml:space="preserve">otherwise – means a corporation as defined in section 4(1) of the </w:t>
      </w:r>
      <w:r w:rsidRPr="00316719">
        <w:rPr>
          <w:rFonts w:ascii="Helvetica" w:hAnsi="Helvetica" w:cs="Helvetica"/>
          <w:i/>
          <w:sz w:val="24"/>
          <w:szCs w:val="24"/>
        </w:rPr>
        <w:t>Unit Titles Act</w:t>
      </w:r>
      <w:r w:rsidRPr="00316719">
        <w:rPr>
          <w:rFonts w:ascii="Helvetica" w:hAnsi="Helvetica" w:cs="Helvetica"/>
          <w:sz w:val="24"/>
          <w:szCs w:val="24"/>
        </w:rPr>
        <w:t xml:space="preserve">. </w:t>
      </w:r>
    </w:p>
    <w:p w:rsidR="00E41803" w:rsidRPr="00316719" w:rsidRDefault="00E41803" w:rsidP="00E41803">
      <w:pPr>
        <w:pStyle w:val="NormalWeb"/>
        <w:spacing w:after="120"/>
        <w:ind w:left="709"/>
        <w:rPr>
          <w:rFonts w:ascii="Helvetica" w:hAnsi="Helvetica" w:cs="Helvetica"/>
          <w:sz w:val="24"/>
          <w:szCs w:val="24"/>
        </w:rPr>
      </w:pPr>
      <w:r w:rsidRPr="00316719">
        <w:rPr>
          <w:rFonts w:ascii="Helvetica" w:hAnsi="Helvetica" w:cs="Helvetica"/>
          <w:b/>
          <w:i/>
          <w:sz w:val="24"/>
          <w:szCs w:val="24"/>
        </w:rPr>
        <w:t>body corporate customer</w:t>
      </w:r>
      <w:r w:rsidRPr="00316719">
        <w:rPr>
          <w:rFonts w:ascii="Helvetica" w:hAnsi="Helvetica" w:cs="Helvetica"/>
          <w:sz w:val="24"/>
          <w:szCs w:val="24"/>
        </w:rPr>
        <w:t xml:space="preserve"> means a customer that is the body corporate of a development.</w:t>
      </w:r>
    </w:p>
    <w:p w:rsidR="00E41803" w:rsidRPr="00316719" w:rsidRDefault="00E41803" w:rsidP="00E41803">
      <w:pPr>
        <w:tabs>
          <w:tab w:val="left" w:pos="-720"/>
        </w:tabs>
        <w:spacing w:after="120"/>
        <w:ind w:left="720" w:hanging="11"/>
        <w:jc w:val="both"/>
        <w:rPr>
          <w:rFonts w:cs="Helvetica"/>
          <w:szCs w:val="24"/>
        </w:rPr>
      </w:pPr>
      <w:r w:rsidRPr="00316719">
        <w:rPr>
          <w:rFonts w:cs="Helvetica"/>
          <w:b/>
          <w:i/>
          <w:szCs w:val="24"/>
        </w:rPr>
        <w:t>Corporation</w:t>
      </w:r>
      <w:r w:rsidRPr="00316719">
        <w:rPr>
          <w:rFonts w:cs="Helvetica"/>
          <w:szCs w:val="24"/>
        </w:rPr>
        <w:t xml:space="preserve"> means the Power and Water Corporation.</w:t>
      </w:r>
    </w:p>
    <w:p w:rsidR="00E41803" w:rsidRPr="00316719" w:rsidRDefault="00E41803" w:rsidP="00E41803">
      <w:pPr>
        <w:spacing w:after="120"/>
        <w:ind w:left="709"/>
        <w:jc w:val="both"/>
        <w:rPr>
          <w:rFonts w:cs="Helvetica"/>
          <w:bCs/>
          <w:iCs/>
          <w:szCs w:val="24"/>
        </w:rPr>
      </w:pPr>
      <w:r w:rsidRPr="00316719">
        <w:rPr>
          <w:rFonts w:cs="Helvetica"/>
          <w:b/>
          <w:bCs/>
          <w:i/>
          <w:iCs/>
          <w:szCs w:val="24"/>
        </w:rPr>
        <w:t>Cullen Bay Marina development</w:t>
      </w:r>
      <w:r w:rsidRPr="00316719">
        <w:rPr>
          <w:rFonts w:cs="Helvetica"/>
          <w:bCs/>
          <w:iCs/>
          <w:szCs w:val="24"/>
        </w:rPr>
        <w:t xml:space="preserve"> means the subdivision under the </w:t>
      </w:r>
      <w:r w:rsidRPr="00316719">
        <w:rPr>
          <w:rFonts w:cs="Helvetica"/>
          <w:bCs/>
          <w:i/>
          <w:iCs/>
          <w:szCs w:val="24"/>
        </w:rPr>
        <w:t>Cullen Bay Marina Act</w:t>
      </w:r>
      <w:r w:rsidRPr="00316719">
        <w:rPr>
          <w:rFonts w:cs="Helvetica"/>
          <w:bCs/>
          <w:iCs/>
          <w:szCs w:val="24"/>
        </w:rPr>
        <w:t xml:space="preserve"> of the development area as defined in section 2 of that Act.</w:t>
      </w:r>
    </w:p>
    <w:p w:rsidR="00E41803" w:rsidRPr="00316719" w:rsidRDefault="00E41803" w:rsidP="00E41803">
      <w:pPr>
        <w:spacing w:after="120"/>
        <w:ind w:left="709"/>
        <w:jc w:val="both"/>
        <w:rPr>
          <w:rFonts w:cs="Helvetica"/>
          <w:szCs w:val="24"/>
        </w:rPr>
      </w:pPr>
      <w:r w:rsidRPr="00316719">
        <w:rPr>
          <w:rFonts w:cs="Helvetica"/>
          <w:b/>
          <w:bCs/>
          <w:i/>
          <w:iCs/>
          <w:szCs w:val="24"/>
        </w:rPr>
        <w:t>development</w:t>
      </w:r>
      <w:r w:rsidRPr="00316719">
        <w:rPr>
          <w:rFonts w:cs="Helvetica"/>
          <w:szCs w:val="24"/>
        </w:rPr>
        <w:t xml:space="preserve"> means:</w:t>
      </w:r>
    </w:p>
    <w:p w:rsidR="00E41803" w:rsidRPr="00316719" w:rsidRDefault="00E41803" w:rsidP="00E41803">
      <w:pPr>
        <w:spacing w:after="120"/>
        <w:ind w:left="709"/>
        <w:jc w:val="both"/>
        <w:rPr>
          <w:rFonts w:cs="Helvetica"/>
          <w:szCs w:val="24"/>
        </w:rPr>
      </w:pPr>
      <w:r w:rsidRPr="00316719">
        <w:rPr>
          <w:rFonts w:cs="Helvetica"/>
          <w:szCs w:val="24"/>
        </w:rPr>
        <w:t>(a)</w:t>
      </w:r>
      <w:r w:rsidRPr="00316719">
        <w:rPr>
          <w:rFonts w:cs="Helvetica"/>
          <w:szCs w:val="24"/>
        </w:rPr>
        <w:tab/>
        <w:t>a scheme; or</w:t>
      </w:r>
    </w:p>
    <w:p w:rsidR="00E41803" w:rsidRPr="00316719" w:rsidRDefault="00E41803" w:rsidP="00E41803">
      <w:pPr>
        <w:spacing w:after="120"/>
        <w:ind w:left="709"/>
        <w:jc w:val="both"/>
        <w:rPr>
          <w:rFonts w:cs="Helvetica"/>
          <w:szCs w:val="24"/>
        </w:rPr>
      </w:pPr>
      <w:r w:rsidRPr="00316719">
        <w:rPr>
          <w:rFonts w:cs="Helvetica"/>
          <w:szCs w:val="24"/>
        </w:rPr>
        <w:t>(b)</w:t>
      </w:r>
      <w:r w:rsidRPr="00316719">
        <w:rPr>
          <w:rFonts w:cs="Helvetica"/>
          <w:szCs w:val="24"/>
        </w:rPr>
        <w:tab/>
        <w:t xml:space="preserve">the Cullen Bay Marina development; or </w:t>
      </w:r>
    </w:p>
    <w:p w:rsidR="00E41803" w:rsidRPr="00316719" w:rsidRDefault="00E41803" w:rsidP="00E41803">
      <w:pPr>
        <w:spacing w:after="120"/>
        <w:ind w:left="709"/>
        <w:jc w:val="both"/>
        <w:rPr>
          <w:rFonts w:cs="Helvetica"/>
          <w:szCs w:val="24"/>
        </w:rPr>
      </w:pPr>
      <w:r w:rsidRPr="00316719">
        <w:rPr>
          <w:rFonts w:cs="Helvetica"/>
          <w:szCs w:val="24"/>
        </w:rPr>
        <w:t>(c)</w:t>
      </w:r>
      <w:r w:rsidRPr="00316719">
        <w:rPr>
          <w:rFonts w:cs="Helvetica"/>
          <w:szCs w:val="24"/>
        </w:rPr>
        <w:tab/>
        <w:t>a unit development; or</w:t>
      </w:r>
    </w:p>
    <w:p w:rsidR="00E41803" w:rsidRPr="00316719" w:rsidRDefault="00E41803" w:rsidP="00E41803">
      <w:pPr>
        <w:spacing w:after="120"/>
        <w:ind w:left="1418" w:hanging="709"/>
        <w:jc w:val="both"/>
        <w:rPr>
          <w:rFonts w:cs="Helvetica"/>
          <w:szCs w:val="24"/>
        </w:rPr>
      </w:pPr>
      <w:r w:rsidRPr="00316719">
        <w:rPr>
          <w:rFonts w:cs="Helvetica"/>
          <w:szCs w:val="24"/>
        </w:rPr>
        <w:t>(d)</w:t>
      </w:r>
      <w:r w:rsidRPr="00316719">
        <w:rPr>
          <w:rFonts w:cs="Helvetica"/>
          <w:szCs w:val="24"/>
        </w:rPr>
        <w:tab/>
        <w:t xml:space="preserve">a building development, condominium development or estate development, each as defined in section 4(1) of the </w:t>
      </w:r>
      <w:r w:rsidRPr="00316719">
        <w:rPr>
          <w:rFonts w:cs="Helvetica"/>
          <w:i/>
          <w:iCs/>
          <w:szCs w:val="24"/>
        </w:rPr>
        <w:t>Unit Titles Act</w:t>
      </w:r>
      <w:r w:rsidRPr="00316719">
        <w:rPr>
          <w:rFonts w:cs="Helvetica"/>
          <w:szCs w:val="24"/>
        </w:rPr>
        <w:t>.</w:t>
      </w:r>
    </w:p>
    <w:p w:rsidR="00E41803" w:rsidRPr="00316719" w:rsidRDefault="00E41803" w:rsidP="00E41803">
      <w:pPr>
        <w:spacing w:after="120"/>
        <w:ind w:left="1440" w:hanging="720"/>
        <w:jc w:val="both"/>
        <w:rPr>
          <w:rFonts w:cs="Helvetica"/>
          <w:szCs w:val="24"/>
        </w:rPr>
      </w:pPr>
      <w:r w:rsidRPr="00316719">
        <w:rPr>
          <w:rFonts w:cs="Helvetica"/>
          <w:b/>
          <w:i/>
          <w:szCs w:val="24"/>
        </w:rPr>
        <w:t>government water customer</w:t>
      </w:r>
      <w:r w:rsidRPr="00316719">
        <w:rPr>
          <w:rFonts w:cs="Helvetica"/>
          <w:szCs w:val="24"/>
        </w:rPr>
        <w:t xml:space="preserve"> means one of the following:</w:t>
      </w:r>
    </w:p>
    <w:p w:rsidR="00E41803" w:rsidRPr="00316719" w:rsidRDefault="00E41803" w:rsidP="00E41803">
      <w:pPr>
        <w:tabs>
          <w:tab w:val="left" w:pos="720"/>
          <w:tab w:val="left" w:pos="1440"/>
          <w:tab w:val="left" w:pos="2880"/>
          <w:tab w:val="left" w:pos="3600"/>
          <w:tab w:val="left" w:pos="4320"/>
          <w:tab w:val="left" w:pos="5040"/>
          <w:tab w:val="left" w:pos="5760"/>
          <w:tab w:val="left" w:pos="6480"/>
          <w:tab w:val="left" w:pos="7200"/>
          <w:tab w:val="left" w:pos="7920"/>
        </w:tabs>
        <w:suppressAutoHyphens/>
        <w:spacing w:after="120"/>
        <w:ind w:left="1440" w:hanging="731"/>
        <w:jc w:val="both"/>
        <w:rPr>
          <w:rFonts w:cs="Helvetica"/>
          <w:szCs w:val="24"/>
        </w:rPr>
      </w:pPr>
      <w:r w:rsidRPr="00316719">
        <w:rPr>
          <w:rFonts w:cs="Helvetica"/>
          <w:szCs w:val="24"/>
        </w:rPr>
        <w:t>(a)</w:t>
      </w:r>
      <w:r w:rsidRPr="00316719">
        <w:rPr>
          <w:rFonts w:cs="Helvetica"/>
          <w:szCs w:val="24"/>
        </w:rPr>
        <w:tab/>
        <w:t>an agency, instrumentality or corporation of the Territory or the Commonwealth whose primary function does not involve providing services or facilities to the public that compete with services provided by the private sector;</w:t>
      </w:r>
    </w:p>
    <w:p w:rsidR="00E41803" w:rsidRPr="00316719" w:rsidRDefault="00E41803" w:rsidP="00E41803">
      <w:pPr>
        <w:tabs>
          <w:tab w:val="left" w:pos="720"/>
          <w:tab w:val="left" w:pos="1440"/>
          <w:tab w:val="left" w:pos="2880"/>
          <w:tab w:val="left" w:pos="3600"/>
          <w:tab w:val="left" w:pos="4320"/>
          <w:tab w:val="left" w:pos="5040"/>
          <w:tab w:val="left" w:pos="5760"/>
          <w:tab w:val="left" w:pos="6480"/>
          <w:tab w:val="left" w:pos="7200"/>
          <w:tab w:val="left" w:pos="7920"/>
        </w:tabs>
        <w:suppressAutoHyphens/>
        <w:spacing w:after="120"/>
        <w:ind w:left="709"/>
        <w:jc w:val="both"/>
        <w:rPr>
          <w:rFonts w:cs="Helvetica"/>
          <w:szCs w:val="24"/>
        </w:rPr>
      </w:pPr>
      <w:r w:rsidRPr="00316719">
        <w:rPr>
          <w:rFonts w:cs="Helvetica"/>
          <w:szCs w:val="24"/>
        </w:rPr>
        <w:t>(b)</w:t>
      </w:r>
      <w:r w:rsidRPr="00316719">
        <w:rPr>
          <w:rFonts w:cs="Helvetica"/>
          <w:szCs w:val="24"/>
        </w:rPr>
        <w:tab/>
        <w:t>a local government council.</w:t>
      </w:r>
    </w:p>
    <w:p w:rsidR="00E41803" w:rsidRPr="00316719" w:rsidRDefault="00E41803" w:rsidP="00E41803">
      <w:pPr>
        <w:keepNext/>
        <w:spacing w:after="120"/>
        <w:ind w:left="709" w:firstLine="11"/>
        <w:jc w:val="both"/>
        <w:rPr>
          <w:rFonts w:cs="Helvetica"/>
          <w:b/>
          <w:szCs w:val="24"/>
        </w:rPr>
      </w:pPr>
      <w:r w:rsidRPr="00316719">
        <w:rPr>
          <w:rFonts w:cs="Helvetica"/>
          <w:b/>
          <w:i/>
          <w:szCs w:val="24"/>
        </w:rPr>
        <w:t>multiple residential dwelling sewerage customer</w:t>
      </w:r>
      <w:r w:rsidRPr="00316719">
        <w:rPr>
          <w:rFonts w:cs="Helvetica"/>
          <w:szCs w:val="24"/>
        </w:rPr>
        <w:t>, see clause 8(2).</w:t>
      </w:r>
    </w:p>
    <w:p w:rsidR="00E41803" w:rsidRPr="00316719" w:rsidRDefault="00E41803" w:rsidP="00E41803">
      <w:pPr>
        <w:keepNext/>
        <w:tabs>
          <w:tab w:val="left" w:pos="1276"/>
        </w:tabs>
        <w:spacing w:after="120"/>
        <w:ind w:left="720"/>
        <w:jc w:val="both"/>
        <w:rPr>
          <w:rFonts w:cs="Helvetica"/>
          <w:szCs w:val="24"/>
        </w:rPr>
      </w:pPr>
      <w:r w:rsidRPr="00316719">
        <w:rPr>
          <w:rFonts w:cs="Helvetica"/>
          <w:b/>
          <w:i/>
          <w:szCs w:val="24"/>
        </w:rPr>
        <w:t>non-residential sewerage customer</w:t>
      </w:r>
      <w:r w:rsidRPr="00316719">
        <w:rPr>
          <w:rFonts w:cs="Helvetica"/>
          <w:szCs w:val="24"/>
        </w:rPr>
        <w:t xml:space="preserve"> means a customer who owns or occupies a property that is not:</w:t>
      </w:r>
    </w:p>
    <w:p w:rsidR="00E41803" w:rsidRPr="00316719" w:rsidRDefault="00E41803" w:rsidP="00E41803">
      <w:pPr>
        <w:keepNext/>
        <w:tabs>
          <w:tab w:val="left" w:pos="1276"/>
        </w:tabs>
        <w:spacing w:after="120"/>
        <w:ind w:left="720"/>
        <w:jc w:val="both"/>
        <w:rPr>
          <w:rFonts w:cs="Helvetica"/>
          <w:szCs w:val="24"/>
        </w:rPr>
      </w:pPr>
      <w:r w:rsidRPr="00316719">
        <w:rPr>
          <w:rFonts w:cs="Helvetica"/>
          <w:szCs w:val="24"/>
        </w:rPr>
        <w:t>(a)</w:t>
      </w:r>
      <w:r w:rsidRPr="00316719">
        <w:rPr>
          <w:rFonts w:cs="Helvetica"/>
          <w:szCs w:val="24"/>
        </w:rPr>
        <w:tab/>
        <w:t xml:space="preserve">a residential property; or </w:t>
      </w:r>
    </w:p>
    <w:p w:rsidR="00E41803" w:rsidRPr="00316719" w:rsidRDefault="00E41803" w:rsidP="00E41803">
      <w:pPr>
        <w:tabs>
          <w:tab w:val="left" w:pos="1276"/>
        </w:tabs>
        <w:spacing w:after="120"/>
        <w:ind w:left="720"/>
        <w:jc w:val="both"/>
        <w:rPr>
          <w:rFonts w:cs="Helvetica"/>
          <w:szCs w:val="24"/>
        </w:rPr>
      </w:pPr>
      <w:r w:rsidRPr="00316719">
        <w:rPr>
          <w:rFonts w:cs="Helvetica"/>
          <w:szCs w:val="24"/>
        </w:rPr>
        <w:t>(b)</w:t>
      </w:r>
      <w:r w:rsidRPr="00316719">
        <w:rPr>
          <w:rFonts w:cs="Helvetica"/>
          <w:szCs w:val="24"/>
        </w:rPr>
        <w:tab/>
        <w:t>a unit.</w:t>
      </w:r>
    </w:p>
    <w:p w:rsidR="00E41803" w:rsidRPr="00906B42" w:rsidRDefault="00E41803" w:rsidP="00E41803">
      <w:pPr>
        <w:pStyle w:val="BodyTextIndent"/>
        <w:ind w:left="709" w:firstLine="11"/>
        <w:rPr>
          <w:rFonts w:cs="Helvetica"/>
          <w:szCs w:val="24"/>
        </w:rPr>
      </w:pPr>
      <w:r w:rsidRPr="00906B42">
        <w:rPr>
          <w:rFonts w:cs="Helvetica"/>
          <w:b/>
          <w:i/>
          <w:szCs w:val="24"/>
        </w:rPr>
        <w:t>portable meter water customer</w:t>
      </w:r>
      <w:r w:rsidRPr="00906B42">
        <w:rPr>
          <w:rFonts w:cs="Helvetica"/>
          <w:szCs w:val="24"/>
        </w:rPr>
        <w:t xml:space="preserve"> means a customer who uses a portable meter issued under section 73 of the Act.</w:t>
      </w:r>
    </w:p>
    <w:p w:rsidR="00E41803" w:rsidRPr="00906B42" w:rsidRDefault="00E41803" w:rsidP="00E41803">
      <w:pPr>
        <w:pStyle w:val="BodyTextIndent"/>
        <w:ind w:left="709" w:firstLine="11"/>
        <w:rPr>
          <w:rFonts w:cs="Helvetica"/>
          <w:szCs w:val="24"/>
        </w:rPr>
      </w:pPr>
      <w:r w:rsidRPr="00906B42">
        <w:rPr>
          <w:rFonts w:cs="Helvetica"/>
          <w:b/>
          <w:i/>
          <w:szCs w:val="24"/>
        </w:rPr>
        <w:t>regulated services</w:t>
      </w:r>
      <w:r w:rsidRPr="00906B42">
        <w:rPr>
          <w:rFonts w:cs="Helvetica"/>
          <w:szCs w:val="24"/>
        </w:rPr>
        <w:t xml:space="preserve"> means water supply services, sewerage services and related services supplied to customers by the Corporation.</w:t>
      </w:r>
    </w:p>
    <w:p w:rsidR="00E41803" w:rsidRPr="00906B42" w:rsidRDefault="00E41803" w:rsidP="00E41803">
      <w:pPr>
        <w:keepNext/>
        <w:spacing w:after="120"/>
        <w:ind w:left="1440" w:hanging="720"/>
        <w:jc w:val="both"/>
        <w:rPr>
          <w:rFonts w:cs="Helvetica"/>
        </w:rPr>
      </w:pPr>
      <w:r w:rsidRPr="00906B42">
        <w:rPr>
          <w:rFonts w:cs="Helvetica"/>
          <w:b/>
          <w:i/>
        </w:rPr>
        <w:lastRenderedPageBreak/>
        <w:t>related services</w:t>
      </w:r>
      <w:r w:rsidRPr="00906B42">
        <w:rPr>
          <w:rFonts w:cs="Helvetica"/>
        </w:rPr>
        <w:t xml:space="preserve"> means:</w:t>
      </w:r>
    </w:p>
    <w:p w:rsidR="00E41803" w:rsidRPr="00906B42" w:rsidRDefault="00E41803" w:rsidP="00E41803">
      <w:pPr>
        <w:tabs>
          <w:tab w:val="left" w:pos="1276"/>
        </w:tabs>
        <w:spacing w:after="120"/>
        <w:ind w:left="1276" w:hanging="556"/>
        <w:jc w:val="both"/>
        <w:rPr>
          <w:rFonts w:cs="Helvetica"/>
        </w:rPr>
      </w:pPr>
      <w:r w:rsidRPr="00906B42">
        <w:rPr>
          <w:rFonts w:cs="Helvetica"/>
        </w:rPr>
        <w:t>(a)</w:t>
      </w:r>
      <w:r w:rsidRPr="00906B42">
        <w:rPr>
          <w:rFonts w:cs="Helvetica"/>
        </w:rPr>
        <w:tab/>
        <w:t>services ancillary to water supply services and sewerage services if the Corporation has an effective monopoly in the provision of the ancillary services; and</w:t>
      </w:r>
    </w:p>
    <w:p w:rsidR="00E41803" w:rsidRPr="00906B42" w:rsidRDefault="00E41803" w:rsidP="00E41803">
      <w:pPr>
        <w:tabs>
          <w:tab w:val="left" w:pos="1276"/>
        </w:tabs>
        <w:spacing w:after="120"/>
        <w:ind w:left="1276" w:hanging="556"/>
        <w:jc w:val="both"/>
        <w:rPr>
          <w:rFonts w:cs="Helvetica"/>
        </w:rPr>
      </w:pPr>
      <w:r w:rsidRPr="00906B42">
        <w:rPr>
          <w:rFonts w:cs="Helvetica"/>
        </w:rPr>
        <w:t>(b)</w:t>
      </w:r>
      <w:r w:rsidRPr="00906B42">
        <w:rPr>
          <w:rFonts w:cs="Helvetica"/>
        </w:rPr>
        <w:tab/>
        <w:t>services ancillary to the ownership or operation of the infrastructure associated with water supply services or sewerage services;</w:t>
      </w:r>
    </w:p>
    <w:p w:rsidR="00E41803" w:rsidRPr="00906B42" w:rsidRDefault="00E41803" w:rsidP="00E41803">
      <w:pPr>
        <w:tabs>
          <w:tab w:val="left" w:pos="709"/>
        </w:tabs>
        <w:spacing w:after="120"/>
        <w:ind w:left="709" w:firstLine="11"/>
        <w:jc w:val="both"/>
        <w:rPr>
          <w:rFonts w:cs="Helvetica"/>
        </w:rPr>
      </w:pPr>
      <w:r w:rsidRPr="00906B42">
        <w:rPr>
          <w:rFonts w:cs="Helvetica"/>
        </w:rPr>
        <w:t>but does not include the acceptance of compliant trade waste that is discharged into a sewer owned and operated by the Corporation.</w:t>
      </w:r>
    </w:p>
    <w:p w:rsidR="00E41803" w:rsidRPr="00906B42" w:rsidRDefault="00E41803" w:rsidP="00E41803">
      <w:pPr>
        <w:tabs>
          <w:tab w:val="left" w:pos="709"/>
        </w:tabs>
        <w:spacing w:after="120"/>
        <w:ind w:left="709" w:firstLine="11"/>
        <w:jc w:val="both"/>
        <w:rPr>
          <w:rFonts w:cs="Helvetica"/>
        </w:rPr>
      </w:pPr>
      <w:r w:rsidRPr="00906B42">
        <w:rPr>
          <w:rFonts w:cs="Helvetica"/>
          <w:b/>
          <w:i/>
        </w:rPr>
        <w:t>residential dwelling</w:t>
      </w:r>
      <w:r w:rsidRPr="00906B42">
        <w:rPr>
          <w:rFonts w:cs="Helvetica"/>
        </w:rPr>
        <w:t xml:space="preserve"> includes any premises intended to be used primarily as a residence.</w:t>
      </w:r>
    </w:p>
    <w:p w:rsidR="00E41803" w:rsidRPr="00906B42" w:rsidRDefault="00E41803" w:rsidP="00E41803">
      <w:pPr>
        <w:tabs>
          <w:tab w:val="left" w:pos="709"/>
        </w:tabs>
        <w:spacing w:after="120"/>
        <w:ind w:left="709" w:firstLine="11"/>
        <w:jc w:val="both"/>
        <w:rPr>
          <w:rFonts w:cs="Helvetica"/>
        </w:rPr>
      </w:pPr>
      <w:r w:rsidRPr="00906B42">
        <w:rPr>
          <w:rFonts w:cs="Helvetica"/>
          <w:b/>
          <w:i/>
        </w:rPr>
        <w:t>residential property</w:t>
      </w:r>
      <w:r w:rsidRPr="00906B42">
        <w:rPr>
          <w:rFonts w:cs="Helvetica"/>
        </w:rPr>
        <w:t xml:space="preserve"> includes:</w:t>
      </w:r>
    </w:p>
    <w:p w:rsidR="00E41803" w:rsidRPr="00906B42" w:rsidRDefault="00E41803" w:rsidP="00E41803">
      <w:pPr>
        <w:spacing w:after="120"/>
        <w:ind w:left="1276" w:hanging="567"/>
        <w:jc w:val="both"/>
        <w:rPr>
          <w:rFonts w:cs="Helvetica"/>
        </w:rPr>
      </w:pPr>
      <w:r w:rsidRPr="00906B42">
        <w:rPr>
          <w:rFonts w:cs="Helvetica"/>
        </w:rPr>
        <w:t>(a)</w:t>
      </w:r>
      <w:r w:rsidRPr="00906B42">
        <w:rPr>
          <w:rFonts w:cs="Helvetica"/>
        </w:rPr>
        <w:tab/>
        <w:t>land on which is situated a building or structure used or intended to be used primarily for residential purposes; and</w:t>
      </w:r>
    </w:p>
    <w:p w:rsidR="00E41803" w:rsidRPr="00906B42" w:rsidRDefault="00E41803" w:rsidP="00E41803">
      <w:pPr>
        <w:spacing w:after="120"/>
        <w:ind w:left="1276" w:hanging="567"/>
        <w:jc w:val="both"/>
        <w:rPr>
          <w:rFonts w:cs="Helvetica"/>
        </w:rPr>
      </w:pPr>
      <w:r w:rsidRPr="00906B42">
        <w:rPr>
          <w:rFonts w:cs="Helvetica"/>
        </w:rPr>
        <w:t>(b)</w:t>
      </w:r>
      <w:r w:rsidRPr="00906B42">
        <w:rPr>
          <w:rFonts w:cs="Helvetica"/>
        </w:rPr>
        <w:tab/>
        <w:t>vacant land zoned for residential purposes;</w:t>
      </w:r>
    </w:p>
    <w:p w:rsidR="00E41803" w:rsidRPr="00906B42" w:rsidRDefault="00E41803" w:rsidP="00E41803">
      <w:pPr>
        <w:keepNext/>
        <w:spacing w:after="120"/>
        <w:ind w:left="720" w:hanging="11"/>
        <w:jc w:val="both"/>
        <w:rPr>
          <w:rFonts w:cs="Helvetica"/>
        </w:rPr>
      </w:pPr>
      <w:r w:rsidRPr="00906B42">
        <w:rPr>
          <w:rFonts w:cs="Helvetica"/>
        </w:rPr>
        <w:t>but does not include land used or intended to be used for commercial purposes, including land used or intended to be used for:</w:t>
      </w:r>
    </w:p>
    <w:p w:rsidR="00E41803" w:rsidRPr="00906B42" w:rsidRDefault="00E41803" w:rsidP="00E41803">
      <w:pPr>
        <w:pStyle w:val="TOC7"/>
        <w:tabs>
          <w:tab w:val="left" w:pos="720"/>
          <w:tab w:val="left" w:pos="2160"/>
          <w:tab w:val="left" w:pos="2880"/>
          <w:tab w:val="left" w:pos="3600"/>
          <w:tab w:val="left" w:pos="4320"/>
          <w:tab w:val="left" w:pos="5040"/>
          <w:tab w:val="left" w:pos="5760"/>
          <w:tab w:val="left" w:pos="6480"/>
          <w:tab w:val="left" w:pos="7200"/>
          <w:tab w:val="left" w:pos="7920"/>
        </w:tabs>
        <w:spacing w:after="120"/>
        <w:ind w:left="1276" w:hanging="567"/>
        <w:rPr>
          <w:rFonts w:cs="Helvetica"/>
          <w:szCs w:val="24"/>
        </w:rPr>
      </w:pPr>
      <w:r w:rsidRPr="00906B42">
        <w:rPr>
          <w:rFonts w:cs="Helvetica"/>
          <w:szCs w:val="24"/>
        </w:rPr>
        <w:t>(c)</w:t>
      </w:r>
      <w:r w:rsidRPr="00906B42">
        <w:rPr>
          <w:rFonts w:cs="Helvetica"/>
          <w:szCs w:val="24"/>
        </w:rPr>
        <w:tab/>
        <w:t>a guest house, hostel, motel, hotel or caravan park; or</w:t>
      </w:r>
    </w:p>
    <w:p w:rsidR="00E41803" w:rsidRPr="00906B42" w:rsidRDefault="00E41803" w:rsidP="00E41803">
      <w:pPr>
        <w:pStyle w:val="TOC7"/>
        <w:tabs>
          <w:tab w:val="left" w:pos="720"/>
          <w:tab w:val="left" w:pos="2160"/>
          <w:tab w:val="left" w:pos="2880"/>
          <w:tab w:val="left" w:pos="3600"/>
          <w:tab w:val="left" w:pos="4320"/>
          <w:tab w:val="left" w:pos="5040"/>
          <w:tab w:val="left" w:pos="5760"/>
          <w:tab w:val="left" w:pos="6480"/>
          <w:tab w:val="left" w:pos="7200"/>
          <w:tab w:val="left" w:pos="7920"/>
        </w:tabs>
        <w:spacing w:after="120"/>
        <w:ind w:left="1276" w:hanging="567"/>
        <w:rPr>
          <w:rFonts w:cs="Helvetica"/>
          <w:szCs w:val="24"/>
        </w:rPr>
      </w:pPr>
      <w:r w:rsidRPr="00906B42">
        <w:rPr>
          <w:rFonts w:cs="Helvetica"/>
          <w:szCs w:val="24"/>
        </w:rPr>
        <w:t>(d)</w:t>
      </w:r>
      <w:r w:rsidRPr="00906B42">
        <w:rPr>
          <w:rFonts w:cs="Helvetica"/>
          <w:szCs w:val="24"/>
        </w:rPr>
        <w:tab/>
        <w:t>a farming or mining enterprise; or</w:t>
      </w:r>
    </w:p>
    <w:p w:rsidR="00E41803" w:rsidRPr="00906B42" w:rsidRDefault="00E41803" w:rsidP="00E41803">
      <w:pPr>
        <w:pStyle w:val="TOC7"/>
        <w:tabs>
          <w:tab w:val="left" w:pos="720"/>
          <w:tab w:val="left" w:pos="2160"/>
          <w:tab w:val="left" w:pos="2880"/>
          <w:tab w:val="left" w:pos="3600"/>
          <w:tab w:val="left" w:pos="4320"/>
          <w:tab w:val="left" w:pos="5040"/>
          <w:tab w:val="left" w:pos="5760"/>
          <w:tab w:val="left" w:pos="6480"/>
          <w:tab w:val="left" w:pos="7200"/>
          <w:tab w:val="left" w:pos="7920"/>
        </w:tabs>
        <w:spacing w:after="120"/>
        <w:ind w:left="1276" w:hanging="567"/>
        <w:rPr>
          <w:rFonts w:cs="Helvetica"/>
          <w:szCs w:val="24"/>
        </w:rPr>
      </w:pPr>
      <w:r w:rsidRPr="00906B42">
        <w:rPr>
          <w:rFonts w:cs="Helvetica"/>
          <w:szCs w:val="24"/>
        </w:rPr>
        <w:t>(e)</w:t>
      </w:r>
      <w:r w:rsidRPr="00906B42">
        <w:rPr>
          <w:rFonts w:cs="Helvetica"/>
          <w:szCs w:val="24"/>
        </w:rPr>
        <w:tab/>
        <w:t>a residence attached to a shop or professional suite; or</w:t>
      </w:r>
    </w:p>
    <w:p w:rsidR="00E41803" w:rsidRDefault="00E41803" w:rsidP="00E41803">
      <w:pPr>
        <w:spacing w:after="120"/>
        <w:ind w:left="1276" w:hanging="567"/>
        <w:jc w:val="both"/>
        <w:rPr>
          <w:rFonts w:cs="Helvetica"/>
        </w:rPr>
      </w:pPr>
      <w:r w:rsidRPr="00906B42">
        <w:rPr>
          <w:rFonts w:cs="Helvetica"/>
        </w:rPr>
        <w:t>(f)</w:t>
      </w:r>
      <w:r w:rsidRPr="00906B42">
        <w:rPr>
          <w:rFonts w:cs="Helvetica"/>
        </w:rPr>
        <w:tab/>
        <w:t>premises at which an occupation, business or profession is carried on by a person who resides at the premises.</w:t>
      </w:r>
    </w:p>
    <w:p w:rsidR="00E41803" w:rsidRPr="00344252" w:rsidRDefault="00E41803" w:rsidP="00E41803">
      <w:pPr>
        <w:spacing w:after="120"/>
        <w:ind w:left="709"/>
        <w:jc w:val="both"/>
        <w:rPr>
          <w:rFonts w:cs="Helvetica"/>
        </w:rPr>
      </w:pPr>
      <w:r w:rsidRPr="00344252">
        <w:rPr>
          <w:rFonts w:cs="Helvetica"/>
          <w:b/>
          <w:i/>
        </w:rPr>
        <w:t xml:space="preserve">sanitary </w:t>
      </w:r>
      <w:r>
        <w:rPr>
          <w:rFonts w:cs="Helvetica"/>
          <w:b/>
          <w:i/>
        </w:rPr>
        <w:t>fitting</w:t>
      </w:r>
      <w:r w:rsidRPr="00344252">
        <w:t xml:space="preserve"> </w:t>
      </w:r>
      <w:r>
        <w:rPr>
          <w:rFonts w:cs="Helvetica"/>
        </w:rPr>
        <w:t>means one of the following</w:t>
      </w:r>
      <w:r w:rsidRPr="00344252">
        <w:rPr>
          <w:rFonts w:cs="Helvetica"/>
        </w:rPr>
        <w:t>:</w:t>
      </w:r>
    </w:p>
    <w:p w:rsidR="00E41803" w:rsidRPr="00344252" w:rsidRDefault="00E41803" w:rsidP="00E41803">
      <w:pPr>
        <w:spacing w:after="120"/>
        <w:ind w:left="1276" w:hanging="567"/>
        <w:jc w:val="both"/>
        <w:rPr>
          <w:rFonts w:cs="Helvetica"/>
        </w:rPr>
      </w:pPr>
      <w:r w:rsidRPr="00344252">
        <w:rPr>
          <w:rFonts w:cs="Helvetica"/>
        </w:rPr>
        <w:t>(a)</w:t>
      </w:r>
      <w:r w:rsidRPr="00344252">
        <w:rPr>
          <w:rFonts w:cs="Helvetica"/>
        </w:rPr>
        <w:tab/>
        <w:t>a toilet;</w:t>
      </w:r>
    </w:p>
    <w:p w:rsidR="00E41803" w:rsidRPr="00344252" w:rsidRDefault="00E41803" w:rsidP="00E41803">
      <w:pPr>
        <w:spacing w:after="120"/>
        <w:ind w:left="1276" w:hanging="567"/>
        <w:jc w:val="both"/>
        <w:rPr>
          <w:rFonts w:cs="Helvetica"/>
        </w:rPr>
      </w:pPr>
      <w:r>
        <w:rPr>
          <w:rFonts w:cs="Helvetica"/>
        </w:rPr>
        <w:t>(b)</w:t>
      </w:r>
      <w:r>
        <w:rPr>
          <w:rFonts w:cs="Helvetica"/>
        </w:rPr>
        <w:tab/>
        <w:t xml:space="preserve">a bidet or </w:t>
      </w:r>
      <w:r w:rsidRPr="00344252">
        <w:rPr>
          <w:rFonts w:cs="Helvetica"/>
        </w:rPr>
        <w:t>bidette;</w:t>
      </w:r>
    </w:p>
    <w:p w:rsidR="00E41803" w:rsidRDefault="00E41803" w:rsidP="00E41803">
      <w:pPr>
        <w:spacing w:after="120"/>
        <w:ind w:left="1276" w:hanging="567"/>
        <w:jc w:val="both"/>
        <w:rPr>
          <w:rFonts w:cs="Helvetica"/>
        </w:rPr>
      </w:pPr>
      <w:r w:rsidRPr="00344252">
        <w:rPr>
          <w:rFonts w:cs="Helvetica"/>
        </w:rPr>
        <w:t>(c)</w:t>
      </w:r>
      <w:r w:rsidRPr="00344252">
        <w:rPr>
          <w:rFonts w:cs="Helvetica"/>
        </w:rPr>
        <w:tab/>
        <w:t>a urinal</w:t>
      </w:r>
      <w:r>
        <w:rPr>
          <w:rFonts w:cs="Helvetica"/>
        </w:rPr>
        <w:t>, where:</w:t>
      </w:r>
    </w:p>
    <w:p w:rsidR="00E41803" w:rsidRDefault="00E41803" w:rsidP="00E41803">
      <w:pPr>
        <w:spacing w:after="120"/>
        <w:ind w:left="1758" w:hanging="567"/>
        <w:jc w:val="both"/>
        <w:rPr>
          <w:rFonts w:cs="Helvetica"/>
        </w:rPr>
      </w:pPr>
      <w:r>
        <w:rPr>
          <w:rFonts w:cs="Helvetica"/>
        </w:rPr>
        <w:t>(</w:t>
      </w:r>
      <w:proofErr w:type="spellStart"/>
      <w:r>
        <w:rPr>
          <w:rFonts w:cs="Helvetica"/>
        </w:rPr>
        <w:t>i</w:t>
      </w:r>
      <w:proofErr w:type="spellEnd"/>
      <w:r>
        <w:rPr>
          <w:rFonts w:cs="Helvetica"/>
        </w:rPr>
        <w:t>)</w:t>
      </w:r>
      <w:r>
        <w:rPr>
          <w:rFonts w:cs="Helvetica"/>
        </w:rPr>
        <w:tab/>
        <w:t>the number of sanitary fittings is measured in 600 mm lengths, rounded to the nearest 600 mm; and</w:t>
      </w:r>
    </w:p>
    <w:p w:rsidR="00E41803" w:rsidRPr="00344252" w:rsidRDefault="00E41803" w:rsidP="00E41803">
      <w:pPr>
        <w:spacing w:after="120"/>
        <w:ind w:left="1758" w:hanging="567"/>
        <w:jc w:val="both"/>
        <w:rPr>
          <w:rFonts w:cs="Helvetica"/>
        </w:rPr>
      </w:pPr>
      <w:r>
        <w:rPr>
          <w:rFonts w:cs="Helvetica"/>
        </w:rPr>
        <w:t>(ii)</w:t>
      </w:r>
      <w:r>
        <w:rPr>
          <w:rFonts w:cs="Helvetica"/>
        </w:rPr>
        <w:tab/>
        <w:t>if a length is halfway between 2 multiples of 600 mm, the number is rounded up to the nearest 600 mm</w:t>
      </w:r>
      <w:r w:rsidRPr="00344252">
        <w:rPr>
          <w:rFonts w:cs="Helvetica"/>
        </w:rPr>
        <w:t>;</w:t>
      </w:r>
    </w:p>
    <w:p w:rsidR="00E41803" w:rsidRDefault="00E41803" w:rsidP="00E41803">
      <w:pPr>
        <w:spacing w:after="120"/>
        <w:ind w:left="1276" w:hanging="567"/>
        <w:jc w:val="both"/>
        <w:rPr>
          <w:rFonts w:cs="Helvetica"/>
        </w:rPr>
      </w:pPr>
      <w:r w:rsidRPr="00344252">
        <w:rPr>
          <w:rFonts w:cs="Helvetica"/>
        </w:rPr>
        <w:t>(d)</w:t>
      </w:r>
      <w:r w:rsidRPr="00344252">
        <w:rPr>
          <w:rFonts w:cs="Helvetica"/>
        </w:rPr>
        <w:tab/>
        <w:t>a cleaner's sink;</w:t>
      </w:r>
    </w:p>
    <w:p w:rsidR="00E41803" w:rsidRDefault="00E41803" w:rsidP="00E41803">
      <w:pPr>
        <w:spacing w:after="120"/>
        <w:ind w:left="1276" w:hanging="567"/>
        <w:jc w:val="both"/>
        <w:rPr>
          <w:rFonts w:cs="Helvetica"/>
        </w:rPr>
      </w:pPr>
      <w:r>
        <w:rPr>
          <w:rFonts w:cs="Helvetica"/>
        </w:rPr>
        <w:t>(e)</w:t>
      </w:r>
      <w:r>
        <w:rPr>
          <w:rFonts w:cs="Helvetica"/>
        </w:rPr>
        <w:tab/>
        <w:t>a slop hopper;</w:t>
      </w:r>
    </w:p>
    <w:p w:rsidR="00E41803" w:rsidRPr="00344252" w:rsidRDefault="00E41803" w:rsidP="00E41803">
      <w:pPr>
        <w:spacing w:after="120"/>
        <w:ind w:left="1276" w:hanging="567"/>
        <w:jc w:val="both"/>
        <w:rPr>
          <w:rFonts w:cs="Helvetica"/>
        </w:rPr>
      </w:pPr>
      <w:r>
        <w:rPr>
          <w:rFonts w:cs="Helvetica"/>
        </w:rPr>
        <w:t>(f)</w:t>
      </w:r>
      <w:r>
        <w:rPr>
          <w:rFonts w:cs="Helvetica"/>
        </w:rPr>
        <w:tab/>
        <w:t>a bedpan washer;</w:t>
      </w:r>
    </w:p>
    <w:p w:rsidR="00E41803" w:rsidRDefault="00E41803" w:rsidP="00E41803">
      <w:pPr>
        <w:spacing w:after="120"/>
        <w:ind w:left="1276" w:hanging="567"/>
        <w:jc w:val="both"/>
        <w:rPr>
          <w:rFonts w:cs="Helvetica"/>
        </w:rPr>
      </w:pPr>
      <w:r>
        <w:rPr>
          <w:rFonts w:cs="Helvetica"/>
        </w:rPr>
        <w:t>(g)</w:t>
      </w:r>
      <w:r>
        <w:rPr>
          <w:rFonts w:cs="Helvetica"/>
        </w:rPr>
        <w:tab/>
        <w:t>an autopsy table</w:t>
      </w:r>
      <w:r w:rsidRPr="00344252">
        <w:rPr>
          <w:rFonts w:cs="Helvetica"/>
        </w:rPr>
        <w:t>.</w:t>
      </w:r>
    </w:p>
    <w:p w:rsidR="00E41803" w:rsidRPr="00906B42" w:rsidRDefault="00E41803" w:rsidP="00E41803">
      <w:pPr>
        <w:spacing w:after="120"/>
        <w:ind w:left="1276" w:hanging="567"/>
        <w:jc w:val="both"/>
        <w:rPr>
          <w:rFonts w:cs="Helvetica"/>
        </w:rPr>
      </w:pPr>
      <w:r w:rsidRPr="00906B42">
        <w:rPr>
          <w:rFonts w:cs="Helvetica"/>
          <w:b/>
          <w:bCs/>
          <w:i/>
          <w:iCs/>
        </w:rPr>
        <w:t>scheme</w:t>
      </w:r>
      <w:r w:rsidRPr="00906B42">
        <w:rPr>
          <w:rFonts w:cs="Helvetica"/>
        </w:rPr>
        <w:t xml:space="preserve">, see section 5 of the </w:t>
      </w:r>
      <w:r w:rsidRPr="00906B42">
        <w:rPr>
          <w:rFonts w:cs="Helvetica"/>
          <w:i/>
          <w:iCs/>
        </w:rPr>
        <w:t>Unit Title Schemes Act</w:t>
      </w:r>
      <w:r w:rsidRPr="00906B42">
        <w:rPr>
          <w:rFonts w:cs="Helvetica"/>
        </w:rPr>
        <w:t xml:space="preserve">. </w:t>
      </w:r>
    </w:p>
    <w:p w:rsidR="00E41803" w:rsidRPr="00906B42" w:rsidRDefault="00E41803" w:rsidP="00E41803">
      <w:pPr>
        <w:spacing w:after="120"/>
        <w:ind w:left="709" w:firstLine="11"/>
        <w:jc w:val="both"/>
        <w:rPr>
          <w:rFonts w:cs="Helvetica"/>
        </w:rPr>
      </w:pPr>
      <w:r w:rsidRPr="00906B42">
        <w:rPr>
          <w:rFonts w:cs="Helvetica"/>
          <w:b/>
          <w:i/>
        </w:rPr>
        <w:t>single residential dwelling sewerage customer</w:t>
      </w:r>
      <w:r w:rsidRPr="00906B42">
        <w:rPr>
          <w:rFonts w:cs="Helvetica"/>
        </w:rPr>
        <w:t xml:space="preserve"> means a customer who:</w:t>
      </w:r>
    </w:p>
    <w:p w:rsidR="00E41803" w:rsidRPr="00906B42" w:rsidRDefault="00E41803" w:rsidP="00E41803">
      <w:pPr>
        <w:tabs>
          <w:tab w:val="left" w:pos="1276"/>
        </w:tabs>
        <w:spacing w:after="120"/>
        <w:ind w:left="1276" w:hanging="556"/>
        <w:jc w:val="both"/>
        <w:rPr>
          <w:rFonts w:cs="Helvetica"/>
        </w:rPr>
      </w:pPr>
      <w:r w:rsidRPr="00906B42">
        <w:rPr>
          <w:rFonts w:cs="Helvetica"/>
        </w:rPr>
        <w:t>(a)</w:t>
      </w:r>
      <w:r w:rsidRPr="00906B42">
        <w:rPr>
          <w:rFonts w:cs="Helvetica"/>
        </w:rPr>
        <w:tab/>
        <w:t xml:space="preserve">owns or occupies a residential property other than a unit; and </w:t>
      </w:r>
    </w:p>
    <w:p w:rsidR="00E41803" w:rsidRPr="00906B42" w:rsidRDefault="00E41803" w:rsidP="00E41803">
      <w:pPr>
        <w:tabs>
          <w:tab w:val="left" w:pos="1276"/>
        </w:tabs>
        <w:spacing w:after="120"/>
        <w:ind w:left="1276" w:hanging="556"/>
        <w:jc w:val="both"/>
        <w:rPr>
          <w:rFonts w:cs="Helvetica"/>
        </w:rPr>
      </w:pPr>
      <w:r w:rsidRPr="00906B42">
        <w:rPr>
          <w:rFonts w:cs="Helvetica"/>
        </w:rPr>
        <w:t>(b)</w:t>
      </w:r>
      <w:r w:rsidRPr="00906B42">
        <w:rPr>
          <w:rFonts w:cs="Helvetica"/>
        </w:rPr>
        <w:tab/>
        <w:t>is not a multiple residential dwelling sewerage customer.</w:t>
      </w:r>
    </w:p>
    <w:p w:rsidR="00E41803" w:rsidRPr="00906B42" w:rsidRDefault="00E41803" w:rsidP="00E41803">
      <w:pPr>
        <w:tabs>
          <w:tab w:val="left" w:pos="1276"/>
        </w:tabs>
        <w:spacing w:after="120"/>
        <w:ind w:left="720"/>
        <w:jc w:val="both"/>
        <w:rPr>
          <w:rFonts w:cs="Helvetica"/>
        </w:rPr>
      </w:pPr>
      <w:r w:rsidRPr="00906B42">
        <w:rPr>
          <w:rFonts w:cs="Helvetica"/>
          <w:b/>
          <w:i/>
        </w:rPr>
        <w:t>stand pipe water customer</w:t>
      </w:r>
      <w:r w:rsidRPr="00906B42">
        <w:rPr>
          <w:rFonts w:cs="Helvetica"/>
        </w:rPr>
        <w:t xml:space="preserve"> means a customer supplied water through a stand alone service pipe.</w:t>
      </w:r>
    </w:p>
    <w:p w:rsidR="00E41803" w:rsidRPr="00906B42" w:rsidRDefault="00E41803" w:rsidP="00E41803">
      <w:pPr>
        <w:tabs>
          <w:tab w:val="left" w:pos="1276"/>
        </w:tabs>
        <w:spacing w:after="120"/>
        <w:ind w:left="720"/>
        <w:jc w:val="both"/>
        <w:rPr>
          <w:rFonts w:cs="Helvetica"/>
        </w:rPr>
      </w:pPr>
      <w:r w:rsidRPr="00906B42">
        <w:rPr>
          <w:rFonts w:cs="Helvetica"/>
          <w:b/>
          <w:i/>
        </w:rPr>
        <w:lastRenderedPageBreak/>
        <w:t>unit</w:t>
      </w:r>
      <w:r w:rsidRPr="00906B42">
        <w:rPr>
          <w:rFonts w:cs="Helvetica"/>
        </w:rPr>
        <w:t xml:space="preserve"> means:</w:t>
      </w:r>
    </w:p>
    <w:p w:rsidR="00E41803" w:rsidRPr="00906B42" w:rsidRDefault="00E41803" w:rsidP="00E41803">
      <w:pPr>
        <w:tabs>
          <w:tab w:val="left" w:pos="1276"/>
        </w:tabs>
        <w:spacing w:after="120"/>
        <w:ind w:left="720"/>
        <w:jc w:val="both"/>
        <w:rPr>
          <w:rFonts w:cs="Helvetica"/>
        </w:rPr>
      </w:pPr>
      <w:r w:rsidRPr="00906B42">
        <w:rPr>
          <w:rFonts w:cs="Helvetica"/>
        </w:rPr>
        <w:t>(a)</w:t>
      </w:r>
      <w:r w:rsidRPr="00906B42">
        <w:rPr>
          <w:rFonts w:cs="Helvetica"/>
        </w:rPr>
        <w:tab/>
        <w:t>a unit as defined in either of the following:</w:t>
      </w:r>
    </w:p>
    <w:p w:rsidR="00E41803" w:rsidRPr="00906B42" w:rsidRDefault="00E41803" w:rsidP="00E41803">
      <w:pPr>
        <w:tabs>
          <w:tab w:val="left" w:pos="1418"/>
        </w:tabs>
        <w:spacing w:after="120"/>
        <w:ind w:left="1843" w:hanging="567"/>
        <w:jc w:val="both"/>
        <w:rPr>
          <w:rFonts w:cs="Helvetica"/>
        </w:rPr>
      </w:pPr>
      <w:r w:rsidRPr="00906B42">
        <w:rPr>
          <w:rFonts w:cs="Helvetica"/>
        </w:rPr>
        <w:t>(</w:t>
      </w:r>
      <w:proofErr w:type="spellStart"/>
      <w:r w:rsidRPr="00906B42">
        <w:rPr>
          <w:rFonts w:cs="Helvetica"/>
        </w:rPr>
        <w:t>i</w:t>
      </w:r>
      <w:proofErr w:type="spellEnd"/>
      <w:r w:rsidRPr="00906B42">
        <w:rPr>
          <w:rFonts w:cs="Helvetica"/>
        </w:rPr>
        <w:t>)</w:t>
      </w:r>
      <w:r w:rsidRPr="00906B42">
        <w:rPr>
          <w:rFonts w:cs="Helvetica"/>
        </w:rPr>
        <w:tab/>
        <w:t xml:space="preserve">section 4(1) of the </w:t>
      </w:r>
      <w:r w:rsidRPr="00906B42">
        <w:rPr>
          <w:rFonts w:cs="Helvetica"/>
          <w:i/>
        </w:rPr>
        <w:t>Unit Titles Act</w:t>
      </w:r>
      <w:r w:rsidRPr="00906B42">
        <w:rPr>
          <w:rFonts w:cs="Helvetica"/>
        </w:rPr>
        <w:t>;</w:t>
      </w:r>
    </w:p>
    <w:p w:rsidR="00E41803" w:rsidRPr="00906B42" w:rsidRDefault="00E41803" w:rsidP="00E41803">
      <w:pPr>
        <w:tabs>
          <w:tab w:val="left" w:pos="1418"/>
        </w:tabs>
        <w:spacing w:after="120"/>
        <w:ind w:left="1843" w:hanging="567"/>
        <w:jc w:val="both"/>
        <w:rPr>
          <w:rFonts w:cs="Helvetica"/>
        </w:rPr>
      </w:pPr>
      <w:r w:rsidRPr="00906B42">
        <w:rPr>
          <w:rFonts w:cs="Helvetica"/>
        </w:rPr>
        <w:t>(ii)</w:t>
      </w:r>
      <w:r w:rsidRPr="00906B42">
        <w:rPr>
          <w:rFonts w:cs="Helvetica"/>
        </w:rPr>
        <w:tab/>
        <w:t xml:space="preserve">section 37 of the </w:t>
      </w:r>
      <w:r w:rsidRPr="00906B42">
        <w:rPr>
          <w:rFonts w:cs="Helvetica"/>
          <w:i/>
        </w:rPr>
        <w:t>Unit Title Schemes Act</w:t>
      </w:r>
      <w:r w:rsidRPr="00906B42">
        <w:rPr>
          <w:rFonts w:cs="Helvetica"/>
        </w:rPr>
        <w:t>; or</w:t>
      </w:r>
    </w:p>
    <w:p w:rsidR="00E41803" w:rsidRPr="00906B42" w:rsidRDefault="00E41803" w:rsidP="00E41803">
      <w:pPr>
        <w:tabs>
          <w:tab w:val="left" w:pos="1418"/>
        </w:tabs>
        <w:spacing w:after="120"/>
        <w:ind w:left="1276" w:hanging="567"/>
        <w:jc w:val="both"/>
        <w:rPr>
          <w:rFonts w:cs="Helvetica"/>
        </w:rPr>
      </w:pPr>
      <w:r w:rsidRPr="00906B42">
        <w:rPr>
          <w:rFonts w:cs="Helvetica"/>
        </w:rPr>
        <w:t>(b)</w:t>
      </w:r>
      <w:r w:rsidRPr="00906B42">
        <w:rPr>
          <w:rFonts w:cs="Helvetica"/>
        </w:rPr>
        <w:tab/>
        <w:t xml:space="preserve">a lot as defined in section 2 of the </w:t>
      </w:r>
      <w:r w:rsidRPr="00906B42">
        <w:rPr>
          <w:rFonts w:cs="Helvetica"/>
          <w:i/>
        </w:rPr>
        <w:t>Cullen Bay Marina Act</w:t>
      </w:r>
      <w:r w:rsidRPr="00906B42">
        <w:rPr>
          <w:rFonts w:cs="Helvetica"/>
        </w:rPr>
        <w:t>.</w:t>
      </w:r>
    </w:p>
    <w:p w:rsidR="00E41803" w:rsidRDefault="00E41803" w:rsidP="00E41803">
      <w:pPr>
        <w:tabs>
          <w:tab w:val="left" w:pos="1418"/>
        </w:tabs>
        <w:spacing w:after="120"/>
        <w:ind w:left="709"/>
        <w:jc w:val="both"/>
        <w:rPr>
          <w:rFonts w:cs="Helvetica"/>
        </w:rPr>
      </w:pPr>
      <w:r w:rsidRPr="00906B42">
        <w:rPr>
          <w:rFonts w:cs="Helvetica"/>
          <w:b/>
          <w:bCs/>
          <w:i/>
          <w:iCs/>
        </w:rPr>
        <w:t>unit development</w:t>
      </w:r>
      <w:r w:rsidRPr="00906B42">
        <w:rPr>
          <w:rFonts w:cs="Helvetica"/>
        </w:rPr>
        <w:t xml:space="preserve"> means a development to which Part III of the </w:t>
      </w:r>
      <w:r w:rsidRPr="00906B42">
        <w:rPr>
          <w:rFonts w:cs="Helvetica"/>
          <w:i/>
          <w:iCs/>
        </w:rPr>
        <w:t>Unit</w:t>
      </w:r>
      <w:r w:rsidR="00207034">
        <w:rPr>
          <w:rFonts w:cs="Helvetica"/>
          <w:i/>
          <w:iCs/>
        </w:rPr>
        <w:t> </w:t>
      </w:r>
      <w:r w:rsidRPr="00906B42">
        <w:rPr>
          <w:rFonts w:cs="Helvetica"/>
          <w:i/>
          <w:iCs/>
        </w:rPr>
        <w:t>Titles Act</w:t>
      </w:r>
      <w:r w:rsidRPr="00906B42">
        <w:rPr>
          <w:rFonts w:cs="Helvetica"/>
        </w:rPr>
        <w:t xml:space="preserve"> applies, and includes lots subdivided under section 26Y, and building lots subdivided under section 26ZV, of that Act.</w:t>
      </w:r>
    </w:p>
    <w:p w:rsidR="00E41803" w:rsidRPr="00906B42" w:rsidRDefault="00E41803" w:rsidP="00E41803">
      <w:pPr>
        <w:keepNext/>
        <w:spacing w:after="120"/>
        <w:jc w:val="both"/>
        <w:rPr>
          <w:rFonts w:cs="Helvetica"/>
          <w:b/>
        </w:rPr>
      </w:pPr>
      <w:r w:rsidRPr="00906B42">
        <w:rPr>
          <w:rFonts w:cs="Helvetica"/>
          <w:b/>
        </w:rPr>
        <w:t>2</w:t>
      </w:r>
      <w:r w:rsidRPr="00906B42">
        <w:rPr>
          <w:rFonts w:cs="Helvetica"/>
          <w:b/>
        </w:rPr>
        <w:tab/>
        <w:t>Application of pricing order</w:t>
      </w:r>
    </w:p>
    <w:p w:rsidR="00E41803" w:rsidRPr="00906B42" w:rsidRDefault="00E41803" w:rsidP="00E41803">
      <w:pPr>
        <w:spacing w:after="120"/>
        <w:ind w:left="720" w:hanging="720"/>
        <w:jc w:val="both"/>
        <w:rPr>
          <w:rFonts w:cs="Helvetica"/>
        </w:rPr>
      </w:pPr>
      <w:r w:rsidRPr="00906B42">
        <w:rPr>
          <w:rFonts w:cs="Helvetica"/>
        </w:rPr>
        <w:tab/>
        <w:t>This pricing order regulates prices for the sale of regulated services to the customers of the Corporation during the period from 1 July 201</w:t>
      </w:r>
      <w:r>
        <w:rPr>
          <w:rFonts w:cs="Helvetica"/>
        </w:rPr>
        <w:t>8 to 30 June 2019</w:t>
      </w:r>
      <w:r w:rsidRPr="00906B42">
        <w:rPr>
          <w:rFonts w:cs="Helvetica"/>
        </w:rPr>
        <w:t>.</w:t>
      </w:r>
    </w:p>
    <w:p w:rsidR="00E41803" w:rsidRPr="00906B42" w:rsidRDefault="00E41803" w:rsidP="00E41803">
      <w:pPr>
        <w:keepNext/>
        <w:spacing w:after="120"/>
        <w:jc w:val="both"/>
        <w:rPr>
          <w:rFonts w:cs="Helvetica"/>
          <w:b/>
        </w:rPr>
      </w:pPr>
      <w:r w:rsidRPr="00906B42">
        <w:rPr>
          <w:rFonts w:cs="Helvetica"/>
          <w:b/>
        </w:rPr>
        <w:t>3</w:t>
      </w:r>
      <w:r w:rsidRPr="00906B42">
        <w:rPr>
          <w:rFonts w:cs="Helvetica"/>
          <w:b/>
        </w:rPr>
        <w:tab/>
        <w:t>Water supply</w:t>
      </w:r>
      <w:r>
        <w:rPr>
          <w:rFonts w:cs="Helvetica"/>
          <w:b/>
        </w:rPr>
        <w:t xml:space="preserve"> </w:t>
      </w:r>
      <w:r w:rsidRPr="00906B42">
        <w:rPr>
          <w:rFonts w:cs="Helvetica"/>
          <w:b/>
        </w:rPr>
        <w:t>– prices for customers generally</w:t>
      </w:r>
    </w:p>
    <w:p w:rsidR="00E41803" w:rsidRPr="00906B42" w:rsidRDefault="00E41803" w:rsidP="00E41803">
      <w:pPr>
        <w:keepNext/>
        <w:spacing w:after="120"/>
        <w:ind w:left="720" w:hanging="720"/>
        <w:jc w:val="both"/>
        <w:rPr>
          <w:rFonts w:cs="Helvetica"/>
        </w:rPr>
      </w:pPr>
      <w:r w:rsidRPr="00906B42">
        <w:rPr>
          <w:rFonts w:cs="Helvetica"/>
        </w:rPr>
        <w:tab/>
        <w:t>Prices for water supply services are to distinguish between the following customers:</w:t>
      </w:r>
    </w:p>
    <w:p w:rsidR="00E41803" w:rsidRPr="00906B42" w:rsidRDefault="00E41803" w:rsidP="00E41803">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906B42">
        <w:rPr>
          <w:rFonts w:ascii="Helvetica" w:hAnsi="Helvetica" w:cs="Helvetica"/>
          <w:sz w:val="24"/>
          <w:szCs w:val="24"/>
        </w:rPr>
        <w:t>(a)</w:t>
      </w:r>
      <w:r w:rsidRPr="00906B42">
        <w:rPr>
          <w:rFonts w:ascii="Helvetica" w:hAnsi="Helvetica" w:cs="Helvetica"/>
          <w:sz w:val="24"/>
          <w:szCs w:val="24"/>
        </w:rPr>
        <w:tab/>
        <w:t>portable meter water customers;</w:t>
      </w:r>
    </w:p>
    <w:p w:rsidR="00E41803" w:rsidRPr="00906B42" w:rsidRDefault="00E41803" w:rsidP="00E41803">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906B42">
        <w:rPr>
          <w:rFonts w:ascii="Helvetica" w:hAnsi="Helvetica" w:cs="Helvetica"/>
          <w:sz w:val="24"/>
          <w:szCs w:val="24"/>
        </w:rPr>
        <w:t>(b)</w:t>
      </w:r>
      <w:r w:rsidRPr="00906B42">
        <w:rPr>
          <w:rFonts w:ascii="Helvetica" w:hAnsi="Helvetica" w:cs="Helvetica"/>
          <w:sz w:val="24"/>
          <w:szCs w:val="24"/>
        </w:rPr>
        <w:tab/>
        <w:t>government water customers;</w:t>
      </w:r>
    </w:p>
    <w:p w:rsidR="00E41803" w:rsidRPr="00906B42" w:rsidRDefault="00E41803" w:rsidP="00E41803">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906B42">
        <w:rPr>
          <w:rFonts w:ascii="Helvetica" w:hAnsi="Helvetica" w:cs="Helvetica"/>
          <w:sz w:val="24"/>
          <w:szCs w:val="24"/>
        </w:rPr>
        <w:t>(c)</w:t>
      </w:r>
      <w:r w:rsidRPr="00906B42">
        <w:rPr>
          <w:rFonts w:ascii="Helvetica" w:hAnsi="Helvetica" w:cs="Helvetica"/>
          <w:sz w:val="24"/>
          <w:szCs w:val="24"/>
        </w:rPr>
        <w:tab/>
        <w:t>stand pipe water customers;</w:t>
      </w:r>
    </w:p>
    <w:p w:rsidR="00E41803" w:rsidRPr="00906B42" w:rsidRDefault="00E41803" w:rsidP="00E41803">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906B42">
        <w:rPr>
          <w:rFonts w:ascii="Helvetica" w:hAnsi="Helvetica" w:cs="Helvetica"/>
          <w:sz w:val="24"/>
          <w:szCs w:val="24"/>
        </w:rPr>
        <w:t>(d)</w:t>
      </w:r>
      <w:r w:rsidRPr="00906B42">
        <w:rPr>
          <w:rFonts w:ascii="Helvetica" w:hAnsi="Helvetica" w:cs="Helvetica"/>
          <w:sz w:val="24"/>
          <w:szCs w:val="24"/>
        </w:rPr>
        <w:tab/>
        <w:t>all other customers, including body corporate customers, to whom water supply services are sold.</w:t>
      </w:r>
    </w:p>
    <w:p w:rsidR="00E41803" w:rsidRPr="00906B42" w:rsidRDefault="00E41803" w:rsidP="00E41803">
      <w:pPr>
        <w:spacing w:after="120"/>
        <w:ind w:left="720" w:hanging="720"/>
        <w:jc w:val="both"/>
        <w:rPr>
          <w:rFonts w:cs="Helvetica"/>
          <w:b/>
        </w:rPr>
      </w:pPr>
      <w:r>
        <w:rPr>
          <w:rFonts w:cs="Helvetica"/>
          <w:b/>
        </w:rPr>
        <w:t>4</w:t>
      </w:r>
      <w:r>
        <w:rPr>
          <w:rFonts w:cs="Helvetica"/>
          <w:b/>
        </w:rPr>
        <w:tab/>
        <w:t xml:space="preserve">Water supply </w:t>
      </w:r>
      <w:r w:rsidRPr="00906B42">
        <w:rPr>
          <w:rFonts w:cs="Helvetica"/>
          <w:b/>
        </w:rPr>
        <w:t>– fixed daily price for specified customers</w:t>
      </w:r>
    </w:p>
    <w:p w:rsidR="00E41803" w:rsidRPr="00906B42" w:rsidRDefault="00E41803" w:rsidP="00E41803">
      <w:pPr>
        <w:spacing w:after="120"/>
        <w:ind w:left="720" w:hanging="720"/>
        <w:jc w:val="both"/>
        <w:rPr>
          <w:rFonts w:cs="Helvetica"/>
        </w:rPr>
      </w:pPr>
      <w:r w:rsidRPr="00906B42">
        <w:rPr>
          <w:rFonts w:cs="Helvetica"/>
        </w:rPr>
        <w:t>(1)</w:t>
      </w:r>
      <w:r w:rsidRPr="00906B42">
        <w:rPr>
          <w:rFonts w:cs="Helvetica"/>
        </w:rPr>
        <w:tab/>
        <w:t>This clause applies to the customers mentioned in clause 3(b) and (d).</w:t>
      </w:r>
    </w:p>
    <w:p w:rsidR="00E41803" w:rsidRPr="00906B42" w:rsidRDefault="00E41803" w:rsidP="00E41803">
      <w:pPr>
        <w:spacing w:after="120"/>
        <w:ind w:left="720" w:hanging="720"/>
        <w:jc w:val="both"/>
        <w:rPr>
          <w:rFonts w:cs="Helvetica"/>
        </w:rPr>
      </w:pPr>
      <w:r w:rsidRPr="00906B42">
        <w:rPr>
          <w:rFonts w:cs="Helvetica"/>
        </w:rPr>
        <w:t>(2)</w:t>
      </w:r>
      <w:r w:rsidRPr="00906B42">
        <w:rPr>
          <w:rFonts w:cs="Helvetica"/>
        </w:rPr>
        <w:tab/>
        <w:t>The customer may be charged a fixed daily price component that:</w:t>
      </w:r>
    </w:p>
    <w:p w:rsidR="00E41803" w:rsidRPr="00906B42" w:rsidRDefault="00E41803" w:rsidP="00E41803">
      <w:pPr>
        <w:spacing w:after="120"/>
        <w:ind w:left="1440" w:hanging="720"/>
        <w:jc w:val="both"/>
        <w:rPr>
          <w:rFonts w:cs="Helvetica"/>
        </w:rPr>
      </w:pPr>
      <w:r w:rsidRPr="00906B42">
        <w:rPr>
          <w:rFonts w:cs="Helvetica"/>
        </w:rPr>
        <w:t>(a)</w:t>
      </w:r>
      <w:r w:rsidRPr="00906B42">
        <w:rPr>
          <w:rFonts w:cs="Helvetica"/>
        </w:rPr>
        <w:tab/>
        <w:t>is based on the nominal diameter of the customer's meter or the service pipe by which the service is to be supplied to the customer (whether or not water is supplied through the meter or service pipe) as specified in the following table; and</w:t>
      </w:r>
    </w:p>
    <w:p w:rsidR="00E41803" w:rsidRPr="00906B42" w:rsidRDefault="00E41803" w:rsidP="00E41803">
      <w:pPr>
        <w:spacing w:after="120"/>
        <w:ind w:left="1440" w:hanging="720"/>
        <w:jc w:val="both"/>
        <w:rPr>
          <w:rFonts w:cs="Helvetica"/>
        </w:rPr>
      </w:pPr>
      <w:r w:rsidRPr="00906B42">
        <w:rPr>
          <w:rFonts w:cs="Helvetica"/>
        </w:rPr>
        <w:t>(b)</w:t>
      </w:r>
      <w:r w:rsidRPr="00906B42">
        <w:rPr>
          <w:rFonts w:cs="Helvetica"/>
        </w:rPr>
        <w:tab/>
        <w:t>does not exceed the relevant amount specified in the table.</w:t>
      </w: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ter supply"/>
        <w:tblDescription w:val="Fixed daily price for specified customers - Nominal diameter of meter or service pipe/fixed daily price"/>
      </w:tblPr>
      <w:tblGrid>
        <w:gridCol w:w="4298"/>
        <w:gridCol w:w="3527"/>
      </w:tblGrid>
      <w:tr w:rsidR="00E41803" w:rsidRPr="00906B42" w:rsidTr="006C61D3">
        <w:tc>
          <w:tcPr>
            <w:tcW w:w="4298" w:type="dxa"/>
          </w:tcPr>
          <w:p w:rsidR="00E41803" w:rsidRPr="00906B42" w:rsidRDefault="00E41803" w:rsidP="00EB202C">
            <w:pPr>
              <w:spacing w:before="120" w:after="120"/>
              <w:jc w:val="center"/>
              <w:rPr>
                <w:rFonts w:cs="Helvetica"/>
                <w:b/>
              </w:rPr>
            </w:pPr>
            <w:r w:rsidRPr="00906B42">
              <w:rPr>
                <w:rFonts w:cs="Helvetica"/>
                <w:b/>
              </w:rPr>
              <w:t>Nominal diameter of meter or service pipe</w:t>
            </w:r>
          </w:p>
        </w:tc>
        <w:tc>
          <w:tcPr>
            <w:tcW w:w="3527" w:type="dxa"/>
          </w:tcPr>
          <w:p w:rsidR="00E41803" w:rsidRPr="00906B42" w:rsidRDefault="00E41803" w:rsidP="00EB202C">
            <w:pPr>
              <w:spacing w:before="120" w:after="120"/>
              <w:jc w:val="center"/>
              <w:rPr>
                <w:rFonts w:cs="Helvetica"/>
                <w:b/>
              </w:rPr>
            </w:pPr>
            <w:r w:rsidRPr="00906B42">
              <w:rPr>
                <w:rFonts w:cs="Helvetica"/>
                <w:b/>
              </w:rPr>
              <w:t>Fixed daily price ($)</w:t>
            </w:r>
          </w:p>
        </w:tc>
      </w:tr>
      <w:tr w:rsidR="00E41803" w:rsidRPr="00906B42" w:rsidTr="006C61D3">
        <w:tc>
          <w:tcPr>
            <w:tcW w:w="4298" w:type="dxa"/>
          </w:tcPr>
          <w:p w:rsidR="00E41803" w:rsidRPr="009F1005"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Up to 25 mm</w:t>
            </w:r>
          </w:p>
        </w:tc>
        <w:tc>
          <w:tcPr>
            <w:tcW w:w="3527" w:type="dxa"/>
          </w:tcPr>
          <w:p w:rsidR="00E41803" w:rsidRPr="009F1005"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0.8</w:t>
            </w:r>
            <w:r>
              <w:rPr>
                <w:rFonts w:ascii="Helvetica" w:hAnsi="Helvetica" w:cs="Helvetica"/>
                <w:sz w:val="24"/>
                <w:szCs w:val="24"/>
              </w:rPr>
              <w:t>158</w:t>
            </w:r>
          </w:p>
        </w:tc>
      </w:tr>
      <w:tr w:rsidR="00E41803" w:rsidRPr="00906B42" w:rsidTr="006C61D3">
        <w:tc>
          <w:tcPr>
            <w:tcW w:w="4298" w:type="dxa"/>
          </w:tcPr>
          <w:p w:rsidR="00E41803" w:rsidRPr="009F1005"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26 – 40 mm</w:t>
            </w:r>
          </w:p>
        </w:tc>
        <w:tc>
          <w:tcPr>
            <w:tcW w:w="3527" w:type="dxa"/>
          </w:tcPr>
          <w:p w:rsidR="00E41803" w:rsidRPr="009F1005"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2.0</w:t>
            </w:r>
            <w:r>
              <w:rPr>
                <w:rFonts w:ascii="Helvetica" w:hAnsi="Helvetica" w:cs="Helvetica"/>
                <w:sz w:val="24"/>
                <w:szCs w:val="24"/>
              </w:rPr>
              <w:t>885</w:t>
            </w:r>
          </w:p>
        </w:tc>
      </w:tr>
      <w:tr w:rsidR="00E41803" w:rsidRPr="00906B42" w:rsidTr="006C61D3">
        <w:tc>
          <w:tcPr>
            <w:tcW w:w="4298" w:type="dxa"/>
          </w:tcPr>
          <w:p w:rsidR="00E41803" w:rsidRPr="009F1005"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41 – 50 mm</w:t>
            </w:r>
          </w:p>
        </w:tc>
        <w:tc>
          <w:tcPr>
            <w:tcW w:w="3527" w:type="dxa"/>
          </w:tcPr>
          <w:p w:rsidR="00E41803" w:rsidRPr="009F1005"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3.</w:t>
            </w:r>
            <w:r>
              <w:rPr>
                <w:rFonts w:ascii="Helvetica" w:hAnsi="Helvetica" w:cs="Helvetica"/>
                <w:sz w:val="24"/>
                <w:szCs w:val="24"/>
              </w:rPr>
              <w:t>2563</w:t>
            </w:r>
          </w:p>
        </w:tc>
      </w:tr>
      <w:tr w:rsidR="00E41803" w:rsidRPr="00906B42" w:rsidTr="006C61D3">
        <w:tc>
          <w:tcPr>
            <w:tcW w:w="4298" w:type="dxa"/>
          </w:tcPr>
          <w:p w:rsidR="00E41803" w:rsidRPr="009F1005"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51 – 100 mm</w:t>
            </w:r>
          </w:p>
        </w:tc>
        <w:tc>
          <w:tcPr>
            <w:tcW w:w="3527" w:type="dxa"/>
          </w:tcPr>
          <w:p w:rsidR="00E41803" w:rsidRPr="009F1005"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Pr>
                <w:rFonts w:ascii="Helvetica" w:hAnsi="Helvetica" w:cs="Helvetica"/>
                <w:sz w:val="24"/>
                <w:szCs w:val="24"/>
              </w:rPr>
              <w:t>13.1560</w:t>
            </w:r>
          </w:p>
        </w:tc>
      </w:tr>
      <w:tr w:rsidR="00E41803" w:rsidRPr="00906B42" w:rsidTr="006C61D3">
        <w:tc>
          <w:tcPr>
            <w:tcW w:w="4298" w:type="dxa"/>
          </w:tcPr>
          <w:p w:rsidR="00E41803" w:rsidRPr="009F1005"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101 – 150 mm</w:t>
            </w:r>
          </w:p>
        </w:tc>
        <w:tc>
          <w:tcPr>
            <w:tcW w:w="3527" w:type="dxa"/>
          </w:tcPr>
          <w:p w:rsidR="00E41803" w:rsidRPr="009F1005"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Pr>
                <w:rFonts w:ascii="Helvetica" w:hAnsi="Helvetica" w:cs="Helvetica"/>
                <w:sz w:val="24"/>
                <w:szCs w:val="24"/>
              </w:rPr>
              <w:t>29.3656</w:t>
            </w:r>
          </w:p>
        </w:tc>
      </w:tr>
      <w:tr w:rsidR="00E41803" w:rsidRPr="00906B42" w:rsidTr="006C61D3">
        <w:tc>
          <w:tcPr>
            <w:tcW w:w="4298" w:type="dxa"/>
          </w:tcPr>
          <w:p w:rsidR="00E41803" w:rsidRPr="009F1005"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151 – 200 mm</w:t>
            </w:r>
          </w:p>
        </w:tc>
        <w:tc>
          <w:tcPr>
            <w:tcW w:w="3527" w:type="dxa"/>
          </w:tcPr>
          <w:p w:rsidR="00E41803" w:rsidRPr="009F1005"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Pr>
                <w:rFonts w:ascii="Helvetica" w:hAnsi="Helvetica" w:cs="Helvetica"/>
                <w:sz w:val="24"/>
                <w:szCs w:val="24"/>
              </w:rPr>
              <w:t>52.2191</w:t>
            </w:r>
          </w:p>
        </w:tc>
      </w:tr>
      <w:tr w:rsidR="00E41803" w:rsidRPr="00906B42" w:rsidTr="006C61D3">
        <w:tc>
          <w:tcPr>
            <w:tcW w:w="4298" w:type="dxa"/>
          </w:tcPr>
          <w:p w:rsidR="00E41803" w:rsidRPr="009F1005"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More than 200 mm</w:t>
            </w:r>
          </w:p>
        </w:tc>
        <w:tc>
          <w:tcPr>
            <w:tcW w:w="3527" w:type="dxa"/>
          </w:tcPr>
          <w:p w:rsidR="00E41803" w:rsidRPr="00C25190" w:rsidRDefault="00E41803" w:rsidP="00EB202C">
            <w:pPr>
              <w:pStyle w:val="NormalIndent"/>
              <w:tabs>
                <w:tab w:val="clear" w:pos="1440"/>
                <w:tab w:val="left" w:pos="0"/>
              </w:tabs>
              <w:spacing w:before="120" w:line="240" w:lineRule="auto"/>
              <w:ind w:left="0"/>
              <w:jc w:val="center"/>
              <w:rPr>
                <w:rFonts w:ascii="Helvetica" w:eastAsia="Arial" w:hAnsi="Helvetica" w:cs="Helvetica"/>
                <w:spacing w:val="1"/>
                <w:sz w:val="18"/>
                <w:szCs w:val="18"/>
              </w:rPr>
            </w:pPr>
            <w:r w:rsidRPr="00C25190">
              <w:rPr>
                <w:rFonts w:ascii="Helvetica" w:eastAsia="Arial" w:hAnsi="Helvetica" w:cs="Helvetica"/>
                <w:spacing w:val="1"/>
                <w:sz w:val="18"/>
                <w:szCs w:val="18"/>
              </w:rPr>
              <w:t>A</w:t>
            </w:r>
            <w:r w:rsidRPr="00C25190">
              <w:rPr>
                <w:rFonts w:ascii="Helvetica" w:eastAsia="Arial" w:hAnsi="Helvetica" w:cs="Helvetica"/>
                <w:spacing w:val="-1"/>
                <w:sz w:val="18"/>
                <w:szCs w:val="18"/>
              </w:rPr>
              <w:t>re</w:t>
            </w:r>
            <w:r w:rsidRPr="00C25190">
              <w:rPr>
                <w:rFonts w:ascii="Helvetica" w:eastAsia="Arial" w:hAnsi="Helvetica" w:cs="Helvetica"/>
                <w:sz w:val="18"/>
                <w:szCs w:val="18"/>
              </w:rPr>
              <w:t>a</w:t>
            </w:r>
            <w:r w:rsidRPr="00C25190">
              <w:rPr>
                <w:rFonts w:ascii="Helvetica" w:eastAsia="Arial" w:hAnsi="Helvetica" w:cs="Helvetica"/>
                <w:spacing w:val="1"/>
                <w:sz w:val="18"/>
                <w:szCs w:val="18"/>
              </w:rPr>
              <w:t xml:space="preserve"> </w:t>
            </w:r>
            <w:r w:rsidRPr="00C25190">
              <w:rPr>
                <w:rFonts w:ascii="Helvetica" w:eastAsia="Arial" w:hAnsi="Helvetica" w:cs="Helvetica"/>
                <w:spacing w:val="-1"/>
                <w:sz w:val="18"/>
                <w:szCs w:val="18"/>
              </w:rPr>
              <w:t>o</w:t>
            </w:r>
            <w:r w:rsidRPr="00C25190">
              <w:rPr>
                <w:rFonts w:ascii="Helvetica" w:eastAsia="Arial" w:hAnsi="Helvetica" w:cs="Helvetica"/>
                <w:sz w:val="18"/>
                <w:szCs w:val="18"/>
              </w:rPr>
              <w:t xml:space="preserve">f </w:t>
            </w:r>
            <w:r w:rsidRPr="00C25190">
              <w:rPr>
                <w:rFonts w:ascii="Helvetica" w:eastAsia="Arial" w:hAnsi="Helvetica" w:cs="Helvetica"/>
                <w:spacing w:val="1"/>
                <w:sz w:val="18"/>
                <w:szCs w:val="18"/>
              </w:rPr>
              <w:t>c</w:t>
            </w:r>
            <w:r w:rsidRPr="00C25190">
              <w:rPr>
                <w:rFonts w:ascii="Helvetica" w:eastAsia="Arial" w:hAnsi="Helvetica" w:cs="Helvetica"/>
                <w:spacing w:val="-1"/>
                <w:sz w:val="18"/>
                <w:szCs w:val="18"/>
              </w:rPr>
              <w:t>onne</w:t>
            </w:r>
            <w:r w:rsidRPr="00C25190">
              <w:rPr>
                <w:rFonts w:ascii="Helvetica" w:eastAsia="Arial" w:hAnsi="Helvetica" w:cs="Helvetica"/>
                <w:spacing w:val="1"/>
                <w:sz w:val="18"/>
                <w:szCs w:val="18"/>
              </w:rPr>
              <w:t>ct</w:t>
            </w:r>
            <w:r w:rsidRPr="00C25190">
              <w:rPr>
                <w:rFonts w:ascii="Helvetica" w:eastAsia="Arial" w:hAnsi="Helvetica" w:cs="Helvetica"/>
                <w:spacing w:val="-1"/>
                <w:sz w:val="18"/>
                <w:szCs w:val="18"/>
              </w:rPr>
              <w:t>e</w:t>
            </w:r>
            <w:r w:rsidRPr="00C25190">
              <w:rPr>
                <w:rFonts w:ascii="Helvetica" w:eastAsia="Arial" w:hAnsi="Helvetica" w:cs="Helvetica"/>
                <w:sz w:val="18"/>
                <w:szCs w:val="18"/>
              </w:rPr>
              <w:t>d</w:t>
            </w:r>
            <w:r w:rsidRPr="00C25190">
              <w:rPr>
                <w:rFonts w:ascii="Helvetica" w:eastAsia="Arial" w:hAnsi="Helvetica" w:cs="Helvetica"/>
                <w:sz w:val="18"/>
                <w:szCs w:val="18"/>
              </w:rPr>
              <w:br/>
            </w:r>
            <w:r w:rsidRPr="00C25190">
              <w:rPr>
                <w:rFonts w:ascii="Helvetica" w:eastAsia="Arial" w:hAnsi="Helvetica" w:cs="Helvetica"/>
                <w:spacing w:val="1"/>
                <w:sz w:val="18"/>
                <w:szCs w:val="18"/>
              </w:rPr>
              <w:t>c</w:t>
            </w:r>
            <w:r w:rsidRPr="00C25190">
              <w:rPr>
                <w:rFonts w:ascii="Helvetica" w:eastAsia="Arial" w:hAnsi="Helvetica" w:cs="Helvetica"/>
                <w:spacing w:val="-1"/>
                <w:sz w:val="18"/>
                <w:szCs w:val="18"/>
              </w:rPr>
              <w:t>r</w:t>
            </w:r>
            <w:r w:rsidRPr="00C25190">
              <w:rPr>
                <w:rFonts w:ascii="Helvetica" w:eastAsia="Arial" w:hAnsi="Helvetica" w:cs="Helvetica"/>
                <w:spacing w:val="-3"/>
                <w:sz w:val="18"/>
                <w:szCs w:val="18"/>
              </w:rPr>
              <w:t>o</w:t>
            </w:r>
            <w:r w:rsidRPr="00C25190">
              <w:rPr>
                <w:rFonts w:ascii="Helvetica" w:eastAsia="Arial" w:hAnsi="Helvetica" w:cs="Helvetica"/>
                <w:spacing w:val="-1"/>
                <w:sz w:val="18"/>
                <w:szCs w:val="18"/>
              </w:rPr>
              <w:t>s</w:t>
            </w:r>
            <w:r w:rsidRPr="00C25190">
              <w:rPr>
                <w:rFonts w:ascii="Helvetica" w:eastAsia="Arial" w:hAnsi="Helvetica" w:cs="Helvetica"/>
                <w:spacing w:val="1"/>
                <w:sz w:val="18"/>
                <w:szCs w:val="18"/>
              </w:rPr>
              <w:t>s-s</w:t>
            </w:r>
            <w:r w:rsidRPr="00C25190">
              <w:rPr>
                <w:rFonts w:ascii="Helvetica" w:eastAsia="Arial" w:hAnsi="Helvetica" w:cs="Helvetica"/>
                <w:spacing w:val="-1"/>
                <w:sz w:val="18"/>
                <w:szCs w:val="18"/>
              </w:rPr>
              <w:t>ec</w:t>
            </w:r>
            <w:r w:rsidRPr="00C25190">
              <w:rPr>
                <w:rFonts w:ascii="Helvetica" w:eastAsia="Arial" w:hAnsi="Helvetica" w:cs="Helvetica"/>
                <w:spacing w:val="1"/>
                <w:sz w:val="18"/>
                <w:szCs w:val="18"/>
              </w:rPr>
              <w:t>t</w:t>
            </w:r>
            <w:r w:rsidRPr="00C25190">
              <w:rPr>
                <w:rFonts w:ascii="Helvetica" w:eastAsia="Arial" w:hAnsi="Helvetica" w:cs="Helvetica"/>
                <w:sz w:val="18"/>
                <w:szCs w:val="18"/>
              </w:rPr>
              <w:t>i</w:t>
            </w:r>
            <w:r w:rsidRPr="00C25190">
              <w:rPr>
                <w:rFonts w:ascii="Helvetica" w:eastAsia="Arial" w:hAnsi="Helvetica" w:cs="Helvetica"/>
                <w:spacing w:val="-1"/>
                <w:sz w:val="18"/>
                <w:szCs w:val="18"/>
              </w:rPr>
              <w:t>o</w:t>
            </w:r>
            <w:r w:rsidRPr="00C25190">
              <w:rPr>
                <w:rFonts w:ascii="Helvetica" w:eastAsia="Arial" w:hAnsi="Helvetica" w:cs="Helvetica"/>
                <w:sz w:val="18"/>
                <w:szCs w:val="18"/>
              </w:rPr>
              <w:t>n</w:t>
            </w:r>
            <w:r w:rsidRPr="00C25190">
              <w:rPr>
                <w:rFonts w:ascii="Helvetica" w:eastAsia="Arial" w:hAnsi="Helvetica" w:cs="Helvetica"/>
                <w:sz w:val="18"/>
                <w:szCs w:val="18"/>
              </w:rPr>
              <w:br/>
            </w:r>
            <w:r w:rsidRPr="00C25190">
              <w:rPr>
                <w:rFonts w:ascii="Helvetica" w:eastAsia="Arial" w:hAnsi="Helvetica" w:cs="Helvetica"/>
                <w:spacing w:val="-1"/>
                <w:sz w:val="18"/>
                <w:szCs w:val="18"/>
              </w:rPr>
              <w:t>                   </w:t>
            </w:r>
            <w:r w:rsidRPr="00C25190">
              <w:rPr>
                <w:rFonts w:ascii="Helvetica" w:eastAsia="Arial" w:hAnsi="Helvetica" w:cs="Helvetica"/>
                <w:spacing w:val="-1"/>
                <w:sz w:val="18"/>
                <w:szCs w:val="18"/>
                <w:u w:val="single"/>
              </w:rPr>
              <w:t>(</w:t>
            </w:r>
            <w:r w:rsidRPr="00C25190">
              <w:rPr>
                <w:rFonts w:ascii="Helvetica" w:eastAsia="Arial" w:hAnsi="Helvetica" w:cs="Helvetica"/>
                <w:sz w:val="18"/>
                <w:szCs w:val="18"/>
                <w:u w:val="single"/>
              </w:rPr>
              <w:t>in</w:t>
            </w:r>
            <w:r w:rsidRPr="00C25190">
              <w:rPr>
                <w:rFonts w:ascii="Helvetica" w:eastAsia="Arial" w:hAnsi="Helvetica" w:cs="Helvetica"/>
                <w:spacing w:val="1"/>
                <w:sz w:val="18"/>
                <w:szCs w:val="18"/>
                <w:u w:val="single"/>
              </w:rPr>
              <w:t xml:space="preserve"> s</w:t>
            </w:r>
            <w:r w:rsidRPr="00C25190">
              <w:rPr>
                <w:rFonts w:ascii="Helvetica" w:eastAsia="Arial" w:hAnsi="Helvetica" w:cs="Helvetica"/>
                <w:spacing w:val="-1"/>
                <w:sz w:val="18"/>
                <w:szCs w:val="18"/>
                <w:u w:val="single"/>
              </w:rPr>
              <w:t>quar</w:t>
            </w:r>
            <w:r w:rsidRPr="00C25190">
              <w:rPr>
                <w:rFonts w:ascii="Helvetica" w:eastAsia="Arial" w:hAnsi="Helvetica" w:cs="Helvetica"/>
                <w:sz w:val="18"/>
                <w:szCs w:val="18"/>
                <w:u w:val="single"/>
              </w:rPr>
              <w:t>e</w:t>
            </w:r>
            <w:r w:rsidRPr="00C25190">
              <w:rPr>
                <w:rFonts w:ascii="Helvetica" w:eastAsia="Arial" w:hAnsi="Helvetica" w:cs="Helvetica"/>
                <w:spacing w:val="-2"/>
                <w:sz w:val="18"/>
                <w:szCs w:val="18"/>
                <w:u w:val="single"/>
              </w:rPr>
              <w:t xml:space="preserve"> </w:t>
            </w:r>
            <w:r w:rsidRPr="00C25190">
              <w:rPr>
                <w:rFonts w:ascii="Helvetica" w:eastAsia="Arial" w:hAnsi="Helvetica" w:cs="Helvetica"/>
                <w:spacing w:val="1"/>
                <w:sz w:val="18"/>
                <w:szCs w:val="18"/>
                <w:u w:val="single"/>
              </w:rPr>
              <w:t>mm</w:t>
            </w:r>
            <w:r w:rsidRPr="00C25190">
              <w:rPr>
                <w:rFonts w:ascii="Helvetica" w:eastAsia="Arial" w:hAnsi="Helvetica" w:cs="Helvetica"/>
                <w:sz w:val="18"/>
                <w:szCs w:val="18"/>
                <w:u w:val="single"/>
              </w:rPr>
              <w:t>) </w:t>
            </w:r>
            <w:r w:rsidRPr="00C25190">
              <w:rPr>
                <w:rFonts w:ascii="Helvetica" w:eastAsia="Arial" w:hAnsi="Helvetica" w:cs="Helvetica"/>
                <w:sz w:val="18"/>
                <w:szCs w:val="18"/>
              </w:rPr>
              <w:t xml:space="preserve">  x </w:t>
            </w:r>
            <w:r w:rsidRPr="00C25190">
              <w:rPr>
                <w:rFonts w:ascii="Helvetica" w:eastAsia="Arial" w:hAnsi="Helvetica" w:cs="Helvetica"/>
                <w:spacing w:val="-1"/>
                <w:sz w:val="18"/>
                <w:szCs w:val="18"/>
              </w:rPr>
              <w:t>0</w:t>
            </w:r>
            <w:r>
              <w:rPr>
                <w:rFonts w:ascii="Helvetica" w:eastAsia="Arial" w:hAnsi="Helvetica" w:cs="Helvetica"/>
                <w:spacing w:val="1"/>
                <w:sz w:val="18"/>
                <w:szCs w:val="18"/>
              </w:rPr>
              <w:t>.8158</w:t>
            </w:r>
          </w:p>
          <w:p w:rsidR="00E41803" w:rsidRPr="009F1005"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C25190">
              <w:rPr>
                <w:rFonts w:ascii="Helvetica" w:eastAsia="Arial" w:hAnsi="Helvetica" w:cs="Helvetica"/>
                <w:spacing w:val="-1"/>
                <w:sz w:val="18"/>
                <w:szCs w:val="18"/>
              </w:rPr>
              <w:t>490</w:t>
            </w:r>
            <w:r w:rsidRPr="00C25190">
              <w:rPr>
                <w:rFonts w:ascii="Helvetica" w:eastAsia="Arial" w:hAnsi="Helvetica" w:cs="Helvetica"/>
                <w:spacing w:val="1"/>
                <w:sz w:val="18"/>
                <w:szCs w:val="18"/>
              </w:rPr>
              <w:t>.</w:t>
            </w:r>
            <w:r w:rsidRPr="00C25190">
              <w:rPr>
                <w:rFonts w:ascii="Helvetica" w:eastAsia="Arial" w:hAnsi="Helvetica" w:cs="Helvetica"/>
                <w:spacing w:val="-1"/>
                <w:sz w:val="18"/>
                <w:szCs w:val="18"/>
              </w:rPr>
              <w:t>8</w:t>
            </w:r>
            <w:r w:rsidRPr="00C25190">
              <w:rPr>
                <w:rFonts w:ascii="Helvetica" w:eastAsia="Arial" w:hAnsi="Helvetica" w:cs="Helvetica"/>
                <w:sz w:val="18"/>
                <w:szCs w:val="18"/>
              </w:rPr>
              <w:t>7</w:t>
            </w:r>
          </w:p>
        </w:tc>
      </w:tr>
    </w:tbl>
    <w:p w:rsidR="00E41803" w:rsidRPr="00906B42" w:rsidRDefault="00E41803" w:rsidP="00E41803">
      <w:pPr>
        <w:keepNext/>
        <w:spacing w:before="120" w:after="120"/>
        <w:jc w:val="both"/>
        <w:rPr>
          <w:rFonts w:cs="Helvetica"/>
          <w:b/>
        </w:rPr>
      </w:pPr>
      <w:r w:rsidRPr="00906B42">
        <w:rPr>
          <w:rFonts w:cs="Helvetica"/>
          <w:b/>
        </w:rPr>
        <w:lastRenderedPageBreak/>
        <w:t>5</w:t>
      </w:r>
      <w:r w:rsidRPr="00906B42">
        <w:rPr>
          <w:rFonts w:cs="Helvetica"/>
          <w:b/>
        </w:rPr>
        <w:tab/>
        <w:t>Water volumetric price for all customers</w:t>
      </w:r>
    </w:p>
    <w:p w:rsidR="00E41803" w:rsidRPr="00906B42" w:rsidRDefault="00E41803" w:rsidP="00E41803">
      <w:pPr>
        <w:keepNext/>
        <w:spacing w:after="120"/>
        <w:ind w:left="720" w:hanging="720"/>
        <w:jc w:val="both"/>
        <w:rPr>
          <w:rFonts w:cs="Helvetica"/>
        </w:rPr>
      </w:pPr>
      <w:r w:rsidRPr="00906B42">
        <w:rPr>
          <w:rFonts w:cs="Helvetica"/>
        </w:rPr>
        <w:tab/>
        <w:t>A customer specified in the following table may be charged a price for a volumetric component of water, expressed in kilolitres (including a part of a kilolitre), that:</w:t>
      </w:r>
    </w:p>
    <w:p w:rsidR="00E41803" w:rsidRDefault="00E41803" w:rsidP="00E41803">
      <w:pPr>
        <w:spacing w:after="120"/>
        <w:ind w:left="1440" w:hanging="720"/>
        <w:jc w:val="both"/>
        <w:rPr>
          <w:rFonts w:cs="Helvetica"/>
        </w:rPr>
      </w:pPr>
      <w:r w:rsidRPr="00906B42">
        <w:rPr>
          <w:rFonts w:cs="Helvetica"/>
        </w:rPr>
        <w:t>(a)</w:t>
      </w:r>
      <w:r w:rsidRPr="00906B42">
        <w:rPr>
          <w:rFonts w:cs="Helvetica"/>
        </w:rPr>
        <w:tab/>
        <w:t>is supplied to the customer's property during a meter reading period</w:t>
      </w:r>
      <w:r>
        <w:rPr>
          <w:rFonts w:cs="Helvetica"/>
        </w:rPr>
        <w:t xml:space="preserve">: </w:t>
      </w:r>
      <w:r w:rsidRPr="00906B42">
        <w:rPr>
          <w:rFonts w:cs="Helvetica"/>
        </w:rPr>
        <w:t>and</w:t>
      </w:r>
    </w:p>
    <w:p w:rsidR="00E41803" w:rsidRPr="00906B42" w:rsidRDefault="00E41803" w:rsidP="00E41803">
      <w:pPr>
        <w:spacing w:after="120"/>
        <w:ind w:left="1440" w:hanging="720"/>
        <w:jc w:val="both"/>
        <w:rPr>
          <w:rFonts w:cs="Helvetica"/>
        </w:rPr>
      </w:pPr>
      <w:r w:rsidRPr="00906B42">
        <w:rPr>
          <w:rFonts w:cs="Helvetica"/>
        </w:rPr>
        <w:t>(b)</w:t>
      </w:r>
      <w:r w:rsidRPr="00906B42">
        <w:rPr>
          <w:rFonts w:cs="Helvetica"/>
        </w:rPr>
        <w:tab/>
        <w:t>does not exceed the relevant amount specified in the 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ter volumetric price for all customers"/>
        <w:tblDescription w:val="Customers/Price per KL ($)"/>
      </w:tblPr>
      <w:tblGrid>
        <w:gridCol w:w="3889"/>
        <w:gridCol w:w="3596"/>
      </w:tblGrid>
      <w:tr w:rsidR="00E41803" w:rsidRPr="00906B42" w:rsidTr="00EB202C">
        <w:tc>
          <w:tcPr>
            <w:tcW w:w="3969" w:type="dxa"/>
          </w:tcPr>
          <w:p w:rsidR="00E41803" w:rsidRPr="00906B42" w:rsidRDefault="00E41803" w:rsidP="00EB202C">
            <w:pPr>
              <w:spacing w:before="120" w:after="120"/>
              <w:jc w:val="center"/>
              <w:rPr>
                <w:rFonts w:cs="Helvetica"/>
              </w:rPr>
            </w:pPr>
            <w:r w:rsidRPr="00906B42">
              <w:rPr>
                <w:rFonts w:cs="Helvetica"/>
                <w:b/>
              </w:rPr>
              <w:t>Customers</w:t>
            </w:r>
          </w:p>
        </w:tc>
        <w:tc>
          <w:tcPr>
            <w:tcW w:w="3686" w:type="dxa"/>
          </w:tcPr>
          <w:p w:rsidR="00E41803" w:rsidRPr="00906B42" w:rsidRDefault="00E41803" w:rsidP="00EB202C">
            <w:pPr>
              <w:spacing w:before="120" w:after="120"/>
              <w:jc w:val="center"/>
              <w:rPr>
                <w:rFonts w:cs="Helvetica"/>
              </w:rPr>
            </w:pPr>
            <w:r w:rsidRPr="00906B42">
              <w:rPr>
                <w:rFonts w:cs="Helvetica"/>
                <w:b/>
              </w:rPr>
              <w:t>Price per kL ($)</w:t>
            </w:r>
          </w:p>
        </w:tc>
      </w:tr>
      <w:tr w:rsidR="00E41803" w:rsidRPr="00906B42" w:rsidTr="00EB202C">
        <w:tc>
          <w:tcPr>
            <w:tcW w:w="3969" w:type="dxa"/>
          </w:tcPr>
          <w:p w:rsidR="00E41803" w:rsidRPr="009F1005"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Portable meter water customer</w:t>
            </w:r>
          </w:p>
        </w:tc>
        <w:tc>
          <w:tcPr>
            <w:tcW w:w="3686" w:type="dxa"/>
          </w:tcPr>
          <w:p w:rsidR="00E41803" w:rsidRPr="009F1005"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2.</w:t>
            </w:r>
            <w:r>
              <w:rPr>
                <w:rFonts w:ascii="Helvetica" w:hAnsi="Helvetica" w:cs="Helvetica"/>
                <w:sz w:val="24"/>
                <w:szCs w:val="24"/>
              </w:rPr>
              <w:t>4866</w:t>
            </w:r>
          </w:p>
        </w:tc>
      </w:tr>
      <w:tr w:rsidR="00E41803" w:rsidRPr="00906B42" w:rsidTr="00EB202C">
        <w:tc>
          <w:tcPr>
            <w:tcW w:w="3969" w:type="dxa"/>
          </w:tcPr>
          <w:p w:rsidR="00E41803" w:rsidRPr="009F1005"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Government water customer</w:t>
            </w:r>
          </w:p>
        </w:tc>
        <w:tc>
          <w:tcPr>
            <w:tcW w:w="3686" w:type="dxa"/>
          </w:tcPr>
          <w:p w:rsidR="00E41803" w:rsidRPr="009F1005"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2.</w:t>
            </w:r>
            <w:r>
              <w:rPr>
                <w:rFonts w:ascii="Helvetica" w:hAnsi="Helvetica" w:cs="Helvetica"/>
                <w:sz w:val="24"/>
                <w:szCs w:val="24"/>
              </w:rPr>
              <w:t>0721</w:t>
            </w:r>
          </w:p>
        </w:tc>
      </w:tr>
      <w:tr w:rsidR="00E41803" w:rsidRPr="00906B42" w:rsidTr="00EB202C">
        <w:tc>
          <w:tcPr>
            <w:tcW w:w="3969" w:type="dxa"/>
          </w:tcPr>
          <w:p w:rsidR="00E41803" w:rsidRPr="009F1005"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Stand pipe water customer</w:t>
            </w:r>
          </w:p>
        </w:tc>
        <w:tc>
          <w:tcPr>
            <w:tcW w:w="3686" w:type="dxa"/>
          </w:tcPr>
          <w:p w:rsidR="00E41803" w:rsidRPr="009F1005"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Pr>
                <w:rFonts w:ascii="Helvetica" w:hAnsi="Helvetica" w:cs="Helvetica"/>
                <w:sz w:val="24"/>
                <w:szCs w:val="24"/>
              </w:rPr>
              <w:t>2.8880</w:t>
            </w:r>
          </w:p>
        </w:tc>
      </w:tr>
      <w:tr w:rsidR="00E41803" w:rsidRPr="00906B42" w:rsidTr="00EB202C">
        <w:tc>
          <w:tcPr>
            <w:tcW w:w="3969" w:type="dxa"/>
          </w:tcPr>
          <w:p w:rsidR="00E41803" w:rsidRPr="009F1005"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All other customers to whom water supply services are sold</w:t>
            </w:r>
          </w:p>
        </w:tc>
        <w:tc>
          <w:tcPr>
            <w:tcW w:w="3686" w:type="dxa"/>
          </w:tcPr>
          <w:p w:rsidR="00E41803" w:rsidRPr="009F1005" w:rsidRDefault="00E41803" w:rsidP="00EB202C">
            <w:pPr>
              <w:pStyle w:val="NormalIndent"/>
              <w:keepNex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Pr>
                <w:rFonts w:ascii="Helvetica" w:hAnsi="Helvetica" w:cs="Helvetica"/>
                <w:sz w:val="24"/>
                <w:szCs w:val="24"/>
              </w:rPr>
              <w:t>1.9535</w:t>
            </w:r>
          </w:p>
        </w:tc>
      </w:tr>
    </w:tbl>
    <w:p w:rsidR="00E41803" w:rsidRPr="00906B42" w:rsidRDefault="00E41803" w:rsidP="00E41803">
      <w:pPr>
        <w:spacing w:before="120" w:after="120"/>
        <w:ind w:left="720" w:hanging="720"/>
        <w:jc w:val="both"/>
        <w:rPr>
          <w:rFonts w:cs="Helvetica"/>
          <w:b/>
        </w:rPr>
      </w:pPr>
      <w:r w:rsidRPr="00906B42">
        <w:rPr>
          <w:rFonts w:cs="Helvetica"/>
          <w:b/>
        </w:rPr>
        <w:t>6</w:t>
      </w:r>
      <w:r w:rsidRPr="00906B42">
        <w:rPr>
          <w:rFonts w:cs="Helvetica"/>
          <w:b/>
        </w:rPr>
        <w:tab/>
        <w:t>Sewerage services</w:t>
      </w:r>
      <w:r>
        <w:rPr>
          <w:rFonts w:cs="Helvetica"/>
          <w:b/>
        </w:rPr>
        <w:t xml:space="preserve"> </w:t>
      </w:r>
      <w:r w:rsidRPr="00906B42">
        <w:rPr>
          <w:rFonts w:cs="Helvetica"/>
          <w:b/>
        </w:rPr>
        <w:t>– prices for customers generally</w:t>
      </w:r>
    </w:p>
    <w:p w:rsidR="00E41803" w:rsidRPr="00906B42" w:rsidRDefault="00E41803" w:rsidP="00E41803">
      <w:pPr>
        <w:keepNext/>
        <w:spacing w:after="120"/>
        <w:ind w:left="720" w:hanging="720"/>
        <w:jc w:val="both"/>
        <w:rPr>
          <w:rFonts w:cs="Helvetica"/>
        </w:rPr>
      </w:pPr>
      <w:r w:rsidRPr="00906B42">
        <w:rPr>
          <w:rFonts w:cs="Helvetica"/>
        </w:rPr>
        <w:tab/>
        <w:t>Prices for sewerage services are to distinguish between the following customers:</w:t>
      </w:r>
    </w:p>
    <w:p w:rsidR="00E41803" w:rsidRPr="00906B42" w:rsidRDefault="00E41803" w:rsidP="00E41803">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906B42">
        <w:rPr>
          <w:rFonts w:ascii="Helvetica" w:hAnsi="Helvetica" w:cs="Helvetica"/>
          <w:sz w:val="24"/>
          <w:szCs w:val="24"/>
        </w:rPr>
        <w:t>(a)</w:t>
      </w:r>
      <w:r w:rsidRPr="00906B42">
        <w:rPr>
          <w:rFonts w:ascii="Helvetica" w:hAnsi="Helvetica" w:cs="Helvetica"/>
          <w:sz w:val="24"/>
          <w:szCs w:val="24"/>
        </w:rPr>
        <w:tab/>
        <w:t>single residential dwelling sewerage customers;</w:t>
      </w:r>
    </w:p>
    <w:p w:rsidR="00E41803" w:rsidRPr="00906B42" w:rsidRDefault="00E41803" w:rsidP="00E41803">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906B42">
        <w:rPr>
          <w:rFonts w:ascii="Helvetica" w:hAnsi="Helvetica" w:cs="Helvetica"/>
          <w:sz w:val="24"/>
          <w:szCs w:val="24"/>
        </w:rPr>
        <w:t>(b)</w:t>
      </w:r>
      <w:r w:rsidRPr="00906B42">
        <w:rPr>
          <w:rFonts w:ascii="Helvetica" w:hAnsi="Helvetica" w:cs="Helvetica"/>
          <w:sz w:val="24"/>
          <w:szCs w:val="24"/>
        </w:rPr>
        <w:tab/>
        <w:t>multiple residential dwelling sewerage customers;</w:t>
      </w:r>
    </w:p>
    <w:p w:rsidR="00E41803" w:rsidRPr="00906B42" w:rsidRDefault="00E41803" w:rsidP="00E41803">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906B42">
        <w:rPr>
          <w:rFonts w:ascii="Helvetica" w:hAnsi="Helvetica" w:cs="Helvetica"/>
          <w:sz w:val="24"/>
          <w:szCs w:val="24"/>
        </w:rPr>
        <w:t>(c)</w:t>
      </w:r>
      <w:r w:rsidRPr="00906B42">
        <w:rPr>
          <w:rFonts w:ascii="Helvetica" w:hAnsi="Helvetica" w:cs="Helvetica"/>
          <w:sz w:val="24"/>
          <w:szCs w:val="24"/>
        </w:rPr>
        <w:tab/>
        <w:t>body corporate customers;</w:t>
      </w:r>
    </w:p>
    <w:p w:rsidR="00E41803" w:rsidRPr="00906B42" w:rsidRDefault="00E41803" w:rsidP="00E41803">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906B42">
        <w:rPr>
          <w:rFonts w:ascii="Helvetica" w:hAnsi="Helvetica" w:cs="Helvetica"/>
          <w:sz w:val="24"/>
          <w:szCs w:val="24"/>
        </w:rPr>
        <w:t>(d)</w:t>
      </w:r>
      <w:r w:rsidRPr="00906B42">
        <w:rPr>
          <w:rFonts w:ascii="Helvetica" w:hAnsi="Helvetica" w:cs="Helvetica"/>
          <w:sz w:val="24"/>
          <w:szCs w:val="24"/>
        </w:rPr>
        <w:tab/>
        <w:t>non-residential sewerage customers.</w:t>
      </w:r>
    </w:p>
    <w:p w:rsidR="00E41803" w:rsidRPr="00906B42" w:rsidRDefault="00E41803" w:rsidP="00E41803">
      <w:pPr>
        <w:keepNext/>
        <w:spacing w:after="120"/>
        <w:ind w:left="720" w:hanging="720"/>
        <w:jc w:val="both"/>
        <w:rPr>
          <w:rFonts w:cs="Helvetica"/>
          <w:b/>
        </w:rPr>
      </w:pPr>
      <w:r>
        <w:rPr>
          <w:rFonts w:cs="Helvetica"/>
          <w:b/>
        </w:rPr>
        <w:t>7</w:t>
      </w:r>
      <w:r>
        <w:rPr>
          <w:rFonts w:cs="Helvetica"/>
          <w:b/>
        </w:rPr>
        <w:tab/>
        <w:t xml:space="preserve">Sewerage services </w:t>
      </w:r>
      <w:r w:rsidRPr="00906B42">
        <w:rPr>
          <w:rFonts w:cs="Helvetica"/>
          <w:b/>
        </w:rPr>
        <w:t>– annual price for single residential dwelling sewerage customer</w:t>
      </w:r>
    </w:p>
    <w:p w:rsidR="00E41803" w:rsidRPr="00906B42" w:rsidRDefault="00E41803" w:rsidP="00E41803">
      <w:pPr>
        <w:spacing w:after="120"/>
        <w:ind w:left="720" w:hanging="720"/>
        <w:jc w:val="both"/>
        <w:rPr>
          <w:rFonts w:cs="Helvetica"/>
        </w:rPr>
      </w:pPr>
      <w:r w:rsidRPr="00906B42">
        <w:rPr>
          <w:rFonts w:cs="Helvetica"/>
        </w:rPr>
        <w:tab/>
        <w:t>A single residential dwelling sewerage customer may be charged, on a pro rata basis, a fixed annual price for sewerage services that does not exceed $</w:t>
      </w:r>
      <w:r>
        <w:rPr>
          <w:rFonts w:cs="Helvetica"/>
        </w:rPr>
        <w:t>822.81</w:t>
      </w:r>
      <w:r w:rsidRPr="00906B42">
        <w:rPr>
          <w:rFonts w:cs="Helvetica"/>
        </w:rPr>
        <w:t xml:space="preserve"> for each residential property, other than a unit, owned or occupied by the customer.</w:t>
      </w:r>
    </w:p>
    <w:p w:rsidR="00E41803" w:rsidRPr="00906B42" w:rsidRDefault="00E41803" w:rsidP="00E41803">
      <w:pPr>
        <w:keepNext/>
        <w:spacing w:after="120"/>
        <w:ind w:left="720" w:hanging="720"/>
        <w:jc w:val="both"/>
        <w:rPr>
          <w:rFonts w:cs="Helvetica"/>
          <w:b/>
        </w:rPr>
      </w:pPr>
      <w:r w:rsidRPr="00906B42">
        <w:rPr>
          <w:rFonts w:cs="Helvetica"/>
          <w:b/>
        </w:rPr>
        <w:t>8</w:t>
      </w:r>
      <w:r w:rsidRPr="00906B42">
        <w:rPr>
          <w:rFonts w:cs="Helvetica"/>
          <w:b/>
        </w:rPr>
        <w:tab/>
        <w:t>Sewerage services</w:t>
      </w:r>
      <w:r>
        <w:rPr>
          <w:rFonts w:cs="Helvetica"/>
          <w:b/>
        </w:rPr>
        <w:t xml:space="preserve"> </w:t>
      </w:r>
      <w:r w:rsidRPr="00906B42">
        <w:rPr>
          <w:rFonts w:cs="Helvetica"/>
          <w:b/>
        </w:rPr>
        <w:t>– annual price for multiple residential dwelling sewerage customer</w:t>
      </w:r>
    </w:p>
    <w:p w:rsidR="00E41803" w:rsidRPr="00906B42" w:rsidRDefault="00E41803" w:rsidP="00E41803">
      <w:pPr>
        <w:spacing w:after="120"/>
        <w:ind w:left="720" w:hanging="720"/>
        <w:jc w:val="both"/>
        <w:rPr>
          <w:rFonts w:cs="Helvetica"/>
        </w:rPr>
      </w:pPr>
      <w:r w:rsidRPr="00906B42">
        <w:rPr>
          <w:rFonts w:cs="Helvetica"/>
        </w:rPr>
        <w:t>(1)</w:t>
      </w:r>
      <w:r w:rsidRPr="00906B42">
        <w:rPr>
          <w:rFonts w:cs="Helvetica"/>
        </w:rPr>
        <w:tab/>
        <w:t>A multiple residential dwelling sewerage customer may be charged, on a pro rata basis, a fixed annual price for sewerage services that does not exceed $</w:t>
      </w:r>
      <w:r>
        <w:rPr>
          <w:rFonts w:cs="Helvetica"/>
        </w:rPr>
        <w:t>822.81</w:t>
      </w:r>
      <w:r w:rsidRPr="00906B42">
        <w:rPr>
          <w:rFonts w:cs="Helvetica"/>
        </w:rPr>
        <w:t xml:space="preserve"> for each residential dwelling on the residential property owned or occupied by the customer.</w:t>
      </w:r>
    </w:p>
    <w:p w:rsidR="00E41803" w:rsidRPr="00906B42" w:rsidRDefault="00E41803" w:rsidP="00E41803">
      <w:pPr>
        <w:spacing w:after="120"/>
        <w:ind w:left="720" w:hanging="720"/>
        <w:jc w:val="both"/>
        <w:rPr>
          <w:rFonts w:cs="Helvetica"/>
        </w:rPr>
      </w:pPr>
      <w:r w:rsidRPr="00906B42">
        <w:rPr>
          <w:rFonts w:cs="Helvetica"/>
        </w:rPr>
        <w:t>(2)</w:t>
      </w:r>
      <w:r w:rsidRPr="00906B42">
        <w:rPr>
          <w:rFonts w:cs="Helvetica"/>
        </w:rPr>
        <w:tab/>
        <w:t xml:space="preserve">A customer is a </w:t>
      </w:r>
      <w:r w:rsidRPr="00906B42">
        <w:rPr>
          <w:rFonts w:cs="Helvetica"/>
          <w:b/>
          <w:i/>
        </w:rPr>
        <w:t>multiple residential dwelling sewerage customer</w:t>
      </w:r>
      <w:r w:rsidRPr="00906B42">
        <w:rPr>
          <w:rFonts w:cs="Helvetica"/>
        </w:rPr>
        <w:t xml:space="preserve"> if:</w:t>
      </w:r>
    </w:p>
    <w:p w:rsidR="00E41803" w:rsidRPr="00906B42" w:rsidRDefault="00E41803" w:rsidP="00E41803">
      <w:pPr>
        <w:tabs>
          <w:tab w:val="left" w:pos="1276"/>
        </w:tabs>
        <w:spacing w:after="120"/>
        <w:ind w:left="1276" w:hanging="556"/>
        <w:jc w:val="both"/>
        <w:rPr>
          <w:rFonts w:cs="Helvetica"/>
        </w:rPr>
      </w:pPr>
      <w:r w:rsidRPr="00906B42">
        <w:rPr>
          <w:rFonts w:cs="Helvetica"/>
        </w:rPr>
        <w:t>(a)</w:t>
      </w:r>
      <w:r w:rsidRPr="00906B42">
        <w:rPr>
          <w:rFonts w:cs="Helvetica"/>
        </w:rPr>
        <w:tab/>
        <w:t>the customer is the owner of a residential property or the occupier of a residential dwelling on a residential property; and</w:t>
      </w:r>
    </w:p>
    <w:p w:rsidR="00E41803" w:rsidRPr="00906B42" w:rsidRDefault="00E41803" w:rsidP="00E41803">
      <w:pPr>
        <w:tabs>
          <w:tab w:val="left" w:pos="1276"/>
        </w:tabs>
        <w:spacing w:after="120"/>
        <w:ind w:left="1276" w:hanging="556"/>
        <w:jc w:val="both"/>
        <w:rPr>
          <w:rFonts w:cs="Helvetica"/>
        </w:rPr>
      </w:pPr>
      <w:r w:rsidRPr="00906B42">
        <w:rPr>
          <w:rFonts w:cs="Helvetica"/>
        </w:rPr>
        <w:t>(b)</w:t>
      </w:r>
      <w:r w:rsidRPr="00906B42">
        <w:rPr>
          <w:rFonts w:cs="Helvetica"/>
        </w:rPr>
        <w:tab/>
        <w:t>there are 2 or more residential dwellings on the property; and</w:t>
      </w:r>
    </w:p>
    <w:p w:rsidR="00E41803" w:rsidRPr="00906B42" w:rsidRDefault="00E41803" w:rsidP="00E41803">
      <w:pPr>
        <w:tabs>
          <w:tab w:val="left" w:pos="1276"/>
        </w:tabs>
        <w:spacing w:after="120"/>
        <w:ind w:left="1276" w:hanging="556"/>
        <w:jc w:val="both"/>
        <w:rPr>
          <w:rFonts w:cs="Helvetica"/>
        </w:rPr>
      </w:pPr>
      <w:r w:rsidRPr="00906B42">
        <w:rPr>
          <w:rFonts w:cs="Helvetica"/>
        </w:rPr>
        <w:t>(c)</w:t>
      </w:r>
      <w:r w:rsidRPr="00906B42">
        <w:rPr>
          <w:rFonts w:cs="Helvetica"/>
        </w:rPr>
        <w:tab/>
        <w:t xml:space="preserve">2 or more of the dwellings contain sanitary </w:t>
      </w:r>
      <w:r>
        <w:rPr>
          <w:rFonts w:cs="Helvetica"/>
        </w:rPr>
        <w:t>fittings</w:t>
      </w:r>
      <w:r w:rsidRPr="00906B42">
        <w:rPr>
          <w:rFonts w:cs="Helvetica"/>
        </w:rPr>
        <w:t>; and</w:t>
      </w:r>
    </w:p>
    <w:p w:rsidR="00E41803" w:rsidRPr="00906B42" w:rsidRDefault="00E41803" w:rsidP="00E41803">
      <w:pPr>
        <w:keepNext/>
        <w:tabs>
          <w:tab w:val="left" w:pos="1276"/>
        </w:tabs>
        <w:spacing w:after="120"/>
        <w:ind w:left="1276" w:hanging="556"/>
        <w:jc w:val="both"/>
        <w:rPr>
          <w:rFonts w:cs="Helvetica"/>
        </w:rPr>
      </w:pPr>
      <w:r w:rsidRPr="00906B42">
        <w:rPr>
          <w:rFonts w:cs="Helvetica"/>
        </w:rPr>
        <w:t>(d)</w:t>
      </w:r>
      <w:r w:rsidRPr="00906B42">
        <w:rPr>
          <w:rFonts w:cs="Helvetica"/>
        </w:rPr>
        <w:tab/>
        <w:t>in relation to:</w:t>
      </w:r>
    </w:p>
    <w:p w:rsidR="00E41803" w:rsidRPr="00906B42" w:rsidRDefault="00E41803" w:rsidP="00E41803">
      <w:pPr>
        <w:tabs>
          <w:tab w:val="left" w:pos="1276"/>
        </w:tabs>
        <w:spacing w:after="120"/>
        <w:ind w:left="1832" w:hanging="556"/>
        <w:jc w:val="both"/>
        <w:rPr>
          <w:rFonts w:cs="Helvetica"/>
        </w:rPr>
      </w:pPr>
      <w:r w:rsidRPr="00906B42">
        <w:rPr>
          <w:rFonts w:cs="Helvetica"/>
        </w:rPr>
        <w:t>(</w:t>
      </w:r>
      <w:proofErr w:type="spellStart"/>
      <w:r w:rsidRPr="00906B42">
        <w:rPr>
          <w:rFonts w:cs="Helvetica"/>
        </w:rPr>
        <w:t>i</w:t>
      </w:r>
      <w:proofErr w:type="spellEnd"/>
      <w:r w:rsidRPr="00906B42">
        <w:rPr>
          <w:rFonts w:cs="Helvetica"/>
        </w:rPr>
        <w:t>)</w:t>
      </w:r>
      <w:r w:rsidRPr="00906B42">
        <w:rPr>
          <w:rFonts w:cs="Helvetica"/>
        </w:rPr>
        <w:tab/>
        <w:t>a customer who is the owner of the property – the customer has a tenancy agreement or similar agreement with the occupiers of the residential dwellings; or</w:t>
      </w:r>
    </w:p>
    <w:p w:rsidR="00E41803" w:rsidRPr="00906B42" w:rsidRDefault="00E41803" w:rsidP="00E41803">
      <w:pPr>
        <w:tabs>
          <w:tab w:val="left" w:pos="1276"/>
        </w:tabs>
        <w:spacing w:after="120"/>
        <w:ind w:left="1832" w:hanging="556"/>
        <w:jc w:val="both"/>
        <w:rPr>
          <w:rFonts w:cs="Helvetica"/>
        </w:rPr>
      </w:pPr>
      <w:r w:rsidRPr="00906B42">
        <w:rPr>
          <w:rFonts w:cs="Helvetica"/>
        </w:rPr>
        <w:lastRenderedPageBreak/>
        <w:t>(ii)</w:t>
      </w:r>
      <w:r w:rsidRPr="00906B42">
        <w:rPr>
          <w:rFonts w:cs="Helvetica"/>
        </w:rPr>
        <w:tab/>
        <w:t>a customer who is the occupier of a residential dwelling on the property – the customer has a tenancy agreement or similar agreement with the occupiers of the other residential dwellings.</w:t>
      </w:r>
    </w:p>
    <w:p w:rsidR="00E41803" w:rsidRPr="00906B42" w:rsidRDefault="00E41803" w:rsidP="00E41803">
      <w:pPr>
        <w:keepNext/>
        <w:spacing w:after="120"/>
        <w:ind w:left="720" w:hanging="720"/>
        <w:jc w:val="both"/>
        <w:rPr>
          <w:rFonts w:cs="Helvetica"/>
          <w:b/>
        </w:rPr>
      </w:pPr>
      <w:r w:rsidRPr="00906B42">
        <w:rPr>
          <w:rFonts w:cs="Helvetica"/>
          <w:b/>
        </w:rPr>
        <w:t>9</w:t>
      </w:r>
      <w:r w:rsidRPr="00906B42">
        <w:rPr>
          <w:rFonts w:cs="Helvetica"/>
          <w:b/>
        </w:rPr>
        <w:tab/>
        <w:t>Sewerage services</w:t>
      </w:r>
      <w:r>
        <w:rPr>
          <w:rFonts w:cs="Helvetica"/>
          <w:b/>
        </w:rPr>
        <w:t xml:space="preserve"> </w:t>
      </w:r>
      <w:r w:rsidRPr="00906B42">
        <w:rPr>
          <w:rFonts w:cs="Helvetica"/>
          <w:b/>
        </w:rPr>
        <w:t>– annual price for body corporate customer</w:t>
      </w:r>
    </w:p>
    <w:p w:rsidR="00E41803" w:rsidRPr="00906B42" w:rsidRDefault="00E41803" w:rsidP="00E41803">
      <w:pPr>
        <w:spacing w:after="120"/>
        <w:ind w:left="680"/>
        <w:jc w:val="both"/>
        <w:rPr>
          <w:rFonts w:cs="Helvetica"/>
        </w:rPr>
      </w:pPr>
      <w:r w:rsidRPr="00906B42">
        <w:rPr>
          <w:rFonts w:cs="Helvetica"/>
        </w:rPr>
        <w:t>A body corporate customer may be charged, on a pro rata basis, a fixed annual price for sewerage services in respect of the development for which the customer is the body corporate that does not exceed:</w:t>
      </w:r>
    </w:p>
    <w:p w:rsidR="00E41803" w:rsidRPr="00906B42" w:rsidRDefault="00E41803" w:rsidP="00E41803">
      <w:pPr>
        <w:spacing w:after="120"/>
        <w:ind w:left="1418" w:hanging="720"/>
        <w:jc w:val="both"/>
        <w:rPr>
          <w:rFonts w:cs="Helvetica"/>
        </w:rPr>
      </w:pPr>
      <w:r w:rsidRPr="00906B42">
        <w:rPr>
          <w:rFonts w:cs="Helvetica"/>
        </w:rPr>
        <w:t>(a)</w:t>
      </w:r>
      <w:r w:rsidRPr="00906B42">
        <w:rPr>
          <w:rFonts w:cs="Helvetica"/>
        </w:rPr>
        <w:tab/>
        <w:t>$</w:t>
      </w:r>
      <w:r>
        <w:rPr>
          <w:rFonts w:cs="Helvetica"/>
        </w:rPr>
        <w:t>822.81</w:t>
      </w:r>
      <w:r w:rsidRPr="00906B42">
        <w:rPr>
          <w:rFonts w:cs="Helvetica"/>
        </w:rPr>
        <w:t xml:space="preserve"> for each unit of the development that is a residential dwelling; and</w:t>
      </w:r>
    </w:p>
    <w:p w:rsidR="00E41803" w:rsidRPr="00906B42" w:rsidRDefault="00E41803" w:rsidP="00E41803">
      <w:pPr>
        <w:spacing w:after="120"/>
        <w:ind w:left="1418" w:hanging="709"/>
        <w:jc w:val="both"/>
        <w:rPr>
          <w:rFonts w:cs="Helvetica"/>
        </w:rPr>
      </w:pPr>
      <w:r w:rsidRPr="00906B42">
        <w:rPr>
          <w:rFonts w:cs="Helvetica"/>
        </w:rPr>
        <w:t>(b)</w:t>
      </w:r>
      <w:r w:rsidRPr="00906B42">
        <w:rPr>
          <w:rFonts w:cs="Helvetica"/>
        </w:rPr>
        <w:tab/>
        <w:t xml:space="preserve">the amount permitted to be charged under clause 10 for each sanitary </w:t>
      </w:r>
      <w:r>
        <w:rPr>
          <w:rFonts w:cs="Helvetica"/>
        </w:rPr>
        <w:t>fitting</w:t>
      </w:r>
      <w:r w:rsidRPr="00906B42">
        <w:rPr>
          <w:rFonts w:cs="Helvetica"/>
        </w:rPr>
        <w:t xml:space="preserve"> in the development that is not located in a unit that is a residential dwelling.</w:t>
      </w:r>
    </w:p>
    <w:p w:rsidR="00E41803" w:rsidRPr="00906B42" w:rsidRDefault="00E41803" w:rsidP="00E41803">
      <w:pPr>
        <w:keepNext/>
        <w:spacing w:after="120"/>
        <w:ind w:left="720" w:hanging="720"/>
        <w:jc w:val="both"/>
        <w:rPr>
          <w:rFonts w:cs="Helvetica"/>
          <w:b/>
        </w:rPr>
      </w:pPr>
      <w:r>
        <w:rPr>
          <w:rFonts w:cs="Helvetica"/>
          <w:b/>
        </w:rPr>
        <w:t>10</w:t>
      </w:r>
      <w:r>
        <w:rPr>
          <w:rFonts w:cs="Helvetica"/>
          <w:b/>
        </w:rPr>
        <w:tab/>
        <w:t xml:space="preserve">Sewerage services </w:t>
      </w:r>
      <w:r w:rsidRPr="00906B42">
        <w:rPr>
          <w:rFonts w:cs="Helvetica"/>
          <w:b/>
        </w:rPr>
        <w:t>– annual price for non-residential sewerage customer</w:t>
      </w:r>
    </w:p>
    <w:p w:rsidR="00E41803" w:rsidRPr="00906B42" w:rsidRDefault="00E41803" w:rsidP="00E41803">
      <w:pPr>
        <w:keepNext/>
        <w:spacing w:after="120"/>
        <w:ind w:left="720" w:hanging="720"/>
        <w:jc w:val="both"/>
        <w:rPr>
          <w:rFonts w:cs="Helvetica"/>
        </w:rPr>
      </w:pPr>
      <w:r w:rsidRPr="00906B42">
        <w:rPr>
          <w:rFonts w:cs="Helvetica"/>
        </w:rPr>
        <w:tab/>
        <w:t>A non-residential sewerage customer may be charged, on a pro rata basis, for sewerage services supplied to the customer's property, a fixed annual price that:</w:t>
      </w:r>
    </w:p>
    <w:p w:rsidR="00E41803" w:rsidRPr="00906B42" w:rsidRDefault="00E41803" w:rsidP="00E41803">
      <w:pPr>
        <w:spacing w:after="120"/>
        <w:ind w:left="1440" w:hanging="720"/>
        <w:jc w:val="both"/>
        <w:rPr>
          <w:rFonts w:cs="Helvetica"/>
        </w:rPr>
      </w:pPr>
      <w:r w:rsidRPr="00906B42">
        <w:rPr>
          <w:rFonts w:cs="Helvetica"/>
        </w:rPr>
        <w:t>(a)</w:t>
      </w:r>
      <w:r w:rsidRPr="00906B42">
        <w:rPr>
          <w:rFonts w:cs="Helvetica"/>
        </w:rPr>
        <w:tab/>
        <w:t xml:space="preserve">is calculated with reference to the number of sanitary </w:t>
      </w:r>
      <w:r>
        <w:rPr>
          <w:rFonts w:cs="Helvetica"/>
        </w:rPr>
        <w:t>fittings</w:t>
      </w:r>
      <w:r w:rsidRPr="00906B42">
        <w:rPr>
          <w:rFonts w:cs="Helvetica"/>
        </w:rPr>
        <w:t xml:space="preserve"> on the property as specified in the following table; and</w:t>
      </w:r>
    </w:p>
    <w:p w:rsidR="00E41803" w:rsidRPr="00906B42" w:rsidRDefault="00E41803" w:rsidP="00E41803">
      <w:pPr>
        <w:spacing w:after="120"/>
        <w:ind w:left="1440" w:hanging="720"/>
        <w:jc w:val="both"/>
        <w:rPr>
          <w:rFonts w:cs="Helvetica"/>
        </w:rPr>
      </w:pPr>
      <w:r w:rsidRPr="00906B42">
        <w:rPr>
          <w:rFonts w:cs="Helvetica"/>
        </w:rPr>
        <w:t>(b)</w:t>
      </w:r>
      <w:r w:rsidRPr="00906B42">
        <w:rPr>
          <w:rFonts w:cs="Helvetica"/>
        </w:rPr>
        <w:tab/>
        <w:t>does not exceed the relevant amount specified in the 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ewerage services - annual price for non residential sewerage customer"/>
        <w:tblDescription w:val="Number of sanitary fittings/fixed annual price ($)"/>
      </w:tblPr>
      <w:tblGrid>
        <w:gridCol w:w="3663"/>
        <w:gridCol w:w="3822"/>
      </w:tblGrid>
      <w:tr w:rsidR="00E41803" w:rsidRPr="00906B42" w:rsidTr="00EB202C">
        <w:tc>
          <w:tcPr>
            <w:tcW w:w="0" w:type="auto"/>
          </w:tcPr>
          <w:p w:rsidR="00E41803" w:rsidRPr="00906B42" w:rsidRDefault="00E41803" w:rsidP="00EB202C">
            <w:pPr>
              <w:pStyle w:val="NormalIndent"/>
              <w:tabs>
                <w:tab w:val="clear" w:pos="720"/>
                <w:tab w:val="clear" w:pos="1440"/>
                <w:tab w:val="left" w:pos="0"/>
                <w:tab w:val="left" w:pos="142"/>
                <w:tab w:val="left" w:pos="284"/>
              </w:tabs>
              <w:spacing w:before="120" w:after="120" w:line="240" w:lineRule="auto"/>
              <w:ind w:left="142"/>
              <w:jc w:val="center"/>
              <w:rPr>
                <w:rFonts w:ascii="Helvetica" w:hAnsi="Helvetica" w:cs="Helvetica"/>
                <w:b/>
                <w:sz w:val="24"/>
                <w:szCs w:val="24"/>
              </w:rPr>
            </w:pPr>
            <w:r w:rsidRPr="00906B42">
              <w:rPr>
                <w:rFonts w:ascii="Helvetica" w:hAnsi="Helvetica" w:cs="Helvetica"/>
                <w:b/>
                <w:sz w:val="24"/>
                <w:szCs w:val="24"/>
              </w:rPr>
              <w:t xml:space="preserve">Number of sanitary </w:t>
            </w:r>
            <w:r>
              <w:rPr>
                <w:rFonts w:ascii="Helvetica" w:hAnsi="Helvetica" w:cs="Helvetica"/>
                <w:b/>
                <w:sz w:val="24"/>
                <w:szCs w:val="24"/>
              </w:rPr>
              <w:t>fittings</w:t>
            </w:r>
          </w:p>
        </w:tc>
        <w:tc>
          <w:tcPr>
            <w:tcW w:w="0" w:type="auto"/>
          </w:tcPr>
          <w:p w:rsidR="00E41803" w:rsidRPr="00906B42" w:rsidRDefault="00E41803" w:rsidP="00EB202C">
            <w:pPr>
              <w:pStyle w:val="NormalIndent"/>
              <w:tabs>
                <w:tab w:val="clear" w:pos="720"/>
                <w:tab w:val="clear" w:pos="1440"/>
                <w:tab w:val="left" w:pos="0"/>
                <w:tab w:val="left" w:pos="709"/>
              </w:tabs>
              <w:spacing w:before="120" w:after="120" w:line="240" w:lineRule="auto"/>
              <w:ind w:left="0"/>
              <w:jc w:val="center"/>
              <w:rPr>
                <w:rFonts w:ascii="Helvetica" w:hAnsi="Helvetica" w:cs="Helvetica"/>
                <w:sz w:val="24"/>
                <w:szCs w:val="24"/>
              </w:rPr>
            </w:pPr>
            <w:r w:rsidRPr="00906B42">
              <w:rPr>
                <w:rFonts w:ascii="Helvetica" w:hAnsi="Helvetica" w:cs="Helvetica"/>
                <w:b/>
                <w:sz w:val="24"/>
                <w:szCs w:val="24"/>
              </w:rPr>
              <w:t>Fixed Annual Price ($)</w:t>
            </w:r>
          </w:p>
        </w:tc>
      </w:tr>
      <w:tr w:rsidR="00E41803" w:rsidRPr="00906B42" w:rsidTr="00EB202C">
        <w:tc>
          <w:tcPr>
            <w:tcW w:w="0" w:type="auto"/>
          </w:tcPr>
          <w:p w:rsidR="00E41803" w:rsidRPr="00906B42"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06B42">
              <w:rPr>
                <w:rFonts w:ascii="Helvetica" w:hAnsi="Helvetica" w:cs="Helvetica"/>
                <w:sz w:val="24"/>
                <w:szCs w:val="24"/>
              </w:rPr>
              <w:t xml:space="preserve">0 – 2 sanitary </w:t>
            </w:r>
            <w:r>
              <w:rPr>
                <w:rFonts w:ascii="Helvetica" w:hAnsi="Helvetica" w:cs="Helvetica"/>
                <w:sz w:val="24"/>
                <w:szCs w:val="24"/>
              </w:rPr>
              <w:t>fittings</w:t>
            </w:r>
          </w:p>
        </w:tc>
        <w:tc>
          <w:tcPr>
            <w:tcW w:w="0" w:type="auto"/>
          </w:tcPr>
          <w:p w:rsidR="00E41803" w:rsidRPr="00906B42" w:rsidRDefault="00E41803" w:rsidP="00EB202C">
            <w:pPr>
              <w:pStyle w:val="NormalIndent"/>
              <w:tabs>
                <w:tab w:val="clear" w:pos="1440"/>
                <w:tab w:val="left" w:pos="0"/>
              </w:tabs>
              <w:spacing w:before="40" w:after="40" w:line="240" w:lineRule="auto"/>
              <w:ind w:left="0"/>
              <w:jc w:val="center"/>
              <w:rPr>
                <w:rFonts w:ascii="Helvetica" w:hAnsi="Helvetica" w:cs="Helvetica"/>
                <w:sz w:val="24"/>
                <w:szCs w:val="24"/>
              </w:rPr>
            </w:pPr>
            <w:r>
              <w:rPr>
                <w:rFonts w:ascii="Helvetica" w:hAnsi="Helvetica" w:cs="Helvetica"/>
                <w:sz w:val="24"/>
                <w:szCs w:val="24"/>
              </w:rPr>
              <w:t>822.81</w:t>
            </w:r>
          </w:p>
        </w:tc>
      </w:tr>
      <w:tr w:rsidR="00E41803" w:rsidRPr="00906B42" w:rsidTr="00EB202C">
        <w:tc>
          <w:tcPr>
            <w:tcW w:w="0" w:type="auto"/>
          </w:tcPr>
          <w:p w:rsidR="00E41803" w:rsidRPr="00906B42"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06B42">
              <w:rPr>
                <w:rFonts w:ascii="Helvetica" w:hAnsi="Helvetica" w:cs="Helvetica"/>
                <w:sz w:val="24"/>
                <w:szCs w:val="24"/>
              </w:rPr>
              <w:t xml:space="preserve">More than 2 sanitary </w:t>
            </w:r>
            <w:r>
              <w:rPr>
                <w:rFonts w:ascii="Helvetica" w:hAnsi="Helvetica" w:cs="Helvetica"/>
                <w:sz w:val="24"/>
                <w:szCs w:val="24"/>
              </w:rPr>
              <w:t>fittings</w:t>
            </w:r>
            <w:r w:rsidRPr="00906B42">
              <w:rPr>
                <w:rFonts w:ascii="Helvetica" w:hAnsi="Helvetica" w:cs="Helvetica"/>
                <w:sz w:val="24"/>
                <w:szCs w:val="24"/>
              </w:rPr>
              <w:t xml:space="preserve"> but less than 25</w:t>
            </w:r>
          </w:p>
        </w:tc>
        <w:tc>
          <w:tcPr>
            <w:tcW w:w="0" w:type="auto"/>
          </w:tcPr>
          <w:p w:rsidR="00E41803" w:rsidRPr="00906B42" w:rsidRDefault="00E41803" w:rsidP="00EB202C">
            <w:pPr>
              <w:pStyle w:val="NormalIndent"/>
              <w:tabs>
                <w:tab w:val="clear" w:pos="1440"/>
                <w:tab w:val="left" w:pos="0"/>
              </w:tabs>
              <w:spacing w:before="40" w:after="40" w:line="240" w:lineRule="auto"/>
              <w:ind w:left="0"/>
              <w:jc w:val="center"/>
              <w:rPr>
                <w:rFonts w:ascii="Helvetica" w:hAnsi="Helvetica" w:cs="Helvetica"/>
                <w:sz w:val="24"/>
                <w:szCs w:val="24"/>
              </w:rPr>
            </w:pPr>
            <w:r>
              <w:rPr>
                <w:rFonts w:ascii="Helvetica" w:hAnsi="Helvetica" w:cs="Helvetica"/>
                <w:sz w:val="24"/>
                <w:szCs w:val="24"/>
              </w:rPr>
              <w:t>822.81</w:t>
            </w:r>
            <w:r w:rsidRPr="00906B42">
              <w:rPr>
                <w:rFonts w:ascii="Helvetica" w:hAnsi="Helvetica" w:cs="Helvetica"/>
                <w:sz w:val="24"/>
                <w:szCs w:val="24"/>
              </w:rPr>
              <w:t xml:space="preserve"> plus </w:t>
            </w:r>
            <w:r>
              <w:rPr>
                <w:rFonts w:ascii="Helvetica" w:hAnsi="Helvetica" w:cs="Helvetica"/>
                <w:sz w:val="24"/>
                <w:szCs w:val="24"/>
              </w:rPr>
              <w:t>560.16</w:t>
            </w:r>
            <w:r w:rsidRPr="00906B42">
              <w:rPr>
                <w:rFonts w:ascii="Helvetica" w:hAnsi="Helvetica" w:cs="Helvetica"/>
                <w:sz w:val="24"/>
                <w:szCs w:val="24"/>
              </w:rPr>
              <w:t xml:space="preserve"> for each </w:t>
            </w:r>
            <w:r>
              <w:rPr>
                <w:rFonts w:ascii="Helvetica" w:hAnsi="Helvetica" w:cs="Helvetica"/>
                <w:sz w:val="24"/>
                <w:szCs w:val="24"/>
              </w:rPr>
              <w:t>fitting</w:t>
            </w:r>
            <w:r w:rsidRPr="00906B42">
              <w:rPr>
                <w:rFonts w:ascii="Helvetica" w:hAnsi="Helvetica" w:cs="Helvetica"/>
                <w:sz w:val="24"/>
                <w:szCs w:val="24"/>
              </w:rPr>
              <w:t xml:space="preserve"> more than 2</w:t>
            </w:r>
          </w:p>
        </w:tc>
      </w:tr>
      <w:tr w:rsidR="00E41803" w:rsidRPr="00906B42" w:rsidTr="00EB202C">
        <w:tc>
          <w:tcPr>
            <w:tcW w:w="0" w:type="auto"/>
          </w:tcPr>
          <w:p w:rsidR="00E41803" w:rsidRPr="00906B42"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06B42">
              <w:rPr>
                <w:rFonts w:ascii="Helvetica" w:hAnsi="Helvetica" w:cs="Helvetica"/>
                <w:sz w:val="24"/>
                <w:szCs w:val="24"/>
              </w:rPr>
              <w:t xml:space="preserve">More than 24 sanitary </w:t>
            </w:r>
            <w:r>
              <w:rPr>
                <w:rFonts w:ascii="Helvetica" w:hAnsi="Helvetica" w:cs="Helvetica"/>
                <w:sz w:val="24"/>
                <w:szCs w:val="24"/>
              </w:rPr>
              <w:t>fittings</w:t>
            </w:r>
            <w:r w:rsidRPr="00906B42">
              <w:rPr>
                <w:rFonts w:ascii="Helvetica" w:hAnsi="Helvetica" w:cs="Helvetica"/>
                <w:sz w:val="24"/>
                <w:szCs w:val="24"/>
              </w:rPr>
              <w:t xml:space="preserve"> but less than 50</w:t>
            </w:r>
          </w:p>
        </w:tc>
        <w:tc>
          <w:tcPr>
            <w:tcW w:w="0" w:type="auto"/>
          </w:tcPr>
          <w:p w:rsidR="00E41803" w:rsidRPr="00906B42" w:rsidRDefault="00E41803" w:rsidP="00EB202C">
            <w:pPr>
              <w:pStyle w:val="NormalIndent"/>
              <w:tabs>
                <w:tab w:val="clear" w:pos="1440"/>
                <w:tab w:val="left" w:pos="0"/>
              </w:tabs>
              <w:spacing w:before="40" w:after="40" w:line="240" w:lineRule="auto"/>
              <w:ind w:left="0"/>
              <w:jc w:val="center"/>
              <w:rPr>
                <w:rFonts w:ascii="Helvetica" w:hAnsi="Helvetica" w:cs="Helvetica"/>
                <w:sz w:val="24"/>
                <w:szCs w:val="24"/>
              </w:rPr>
            </w:pPr>
            <w:r>
              <w:rPr>
                <w:rFonts w:ascii="Helvetica" w:hAnsi="Helvetica" w:cs="Helvetica"/>
                <w:sz w:val="24"/>
                <w:szCs w:val="24"/>
              </w:rPr>
              <w:t>13 146.33</w:t>
            </w:r>
            <w:r w:rsidRPr="00906B42">
              <w:rPr>
                <w:rFonts w:ascii="Helvetica" w:hAnsi="Helvetica" w:cs="Helvetica"/>
                <w:sz w:val="24"/>
                <w:szCs w:val="24"/>
              </w:rPr>
              <w:t xml:space="preserve"> plus </w:t>
            </w:r>
            <w:r>
              <w:rPr>
                <w:rFonts w:ascii="Helvetica" w:hAnsi="Helvetica" w:cs="Helvetica"/>
                <w:sz w:val="24"/>
                <w:szCs w:val="24"/>
              </w:rPr>
              <w:t>525.45</w:t>
            </w:r>
            <w:r w:rsidRPr="00906B42">
              <w:rPr>
                <w:rFonts w:ascii="Helvetica" w:hAnsi="Helvetica" w:cs="Helvetica"/>
                <w:sz w:val="24"/>
                <w:szCs w:val="24"/>
              </w:rPr>
              <w:t xml:space="preserve"> for each </w:t>
            </w:r>
            <w:r>
              <w:rPr>
                <w:rFonts w:ascii="Helvetica" w:hAnsi="Helvetica" w:cs="Helvetica"/>
                <w:sz w:val="24"/>
                <w:szCs w:val="24"/>
              </w:rPr>
              <w:t>fitting</w:t>
            </w:r>
            <w:r w:rsidRPr="00906B42">
              <w:rPr>
                <w:rFonts w:ascii="Helvetica" w:hAnsi="Helvetica" w:cs="Helvetica"/>
                <w:sz w:val="24"/>
                <w:szCs w:val="24"/>
              </w:rPr>
              <w:t xml:space="preserve"> more than 24</w:t>
            </w:r>
          </w:p>
        </w:tc>
      </w:tr>
      <w:tr w:rsidR="00E41803" w:rsidRPr="00906B42" w:rsidTr="00EB202C">
        <w:tc>
          <w:tcPr>
            <w:tcW w:w="0" w:type="auto"/>
          </w:tcPr>
          <w:p w:rsidR="00E41803" w:rsidRPr="00906B42"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06B42">
              <w:rPr>
                <w:rFonts w:ascii="Helvetica" w:hAnsi="Helvetica" w:cs="Helvetica"/>
                <w:sz w:val="24"/>
                <w:szCs w:val="24"/>
              </w:rPr>
              <w:t xml:space="preserve">More than 49 sanitary </w:t>
            </w:r>
            <w:r>
              <w:rPr>
                <w:rFonts w:ascii="Helvetica" w:hAnsi="Helvetica" w:cs="Helvetica"/>
                <w:sz w:val="24"/>
                <w:szCs w:val="24"/>
              </w:rPr>
              <w:t>fittings</w:t>
            </w:r>
            <w:r w:rsidRPr="00906B42">
              <w:rPr>
                <w:rFonts w:ascii="Helvetica" w:hAnsi="Helvetica" w:cs="Helvetica"/>
                <w:sz w:val="24"/>
                <w:szCs w:val="24"/>
              </w:rPr>
              <w:t xml:space="preserve"> but less than 100</w:t>
            </w:r>
          </w:p>
        </w:tc>
        <w:tc>
          <w:tcPr>
            <w:tcW w:w="0" w:type="auto"/>
          </w:tcPr>
          <w:p w:rsidR="00E41803" w:rsidRPr="00906B42" w:rsidRDefault="00E41803" w:rsidP="00EB202C">
            <w:pPr>
              <w:pStyle w:val="NormalIndent"/>
              <w:tabs>
                <w:tab w:val="clear" w:pos="1440"/>
                <w:tab w:val="left" w:pos="0"/>
              </w:tabs>
              <w:spacing w:before="40" w:after="40" w:line="240" w:lineRule="auto"/>
              <w:ind w:left="0"/>
              <w:jc w:val="center"/>
              <w:rPr>
                <w:rFonts w:ascii="Helvetica" w:hAnsi="Helvetica" w:cs="Helvetica"/>
                <w:sz w:val="24"/>
                <w:szCs w:val="24"/>
              </w:rPr>
            </w:pPr>
            <w:r>
              <w:rPr>
                <w:rFonts w:ascii="Helvetica" w:hAnsi="Helvetica" w:cs="Helvetica"/>
                <w:sz w:val="24"/>
                <w:szCs w:val="24"/>
              </w:rPr>
              <w:t xml:space="preserve">26 282.58 </w:t>
            </w:r>
            <w:r w:rsidRPr="00906B42">
              <w:rPr>
                <w:rFonts w:ascii="Helvetica" w:hAnsi="Helvetica" w:cs="Helvetica"/>
                <w:sz w:val="24"/>
                <w:szCs w:val="24"/>
              </w:rPr>
              <w:t xml:space="preserve">plus </w:t>
            </w:r>
            <w:r>
              <w:rPr>
                <w:rFonts w:ascii="Helvetica" w:hAnsi="Helvetica" w:cs="Helvetica"/>
                <w:sz w:val="24"/>
                <w:szCs w:val="24"/>
              </w:rPr>
              <w:t>487.84</w:t>
            </w:r>
            <w:r w:rsidRPr="00906B42">
              <w:rPr>
                <w:rFonts w:ascii="Helvetica" w:hAnsi="Helvetica" w:cs="Helvetica"/>
                <w:sz w:val="24"/>
                <w:szCs w:val="24"/>
              </w:rPr>
              <w:t xml:space="preserve"> for each </w:t>
            </w:r>
            <w:r>
              <w:rPr>
                <w:rFonts w:ascii="Helvetica" w:hAnsi="Helvetica" w:cs="Helvetica"/>
                <w:sz w:val="24"/>
                <w:szCs w:val="24"/>
              </w:rPr>
              <w:t>fitting</w:t>
            </w:r>
            <w:r w:rsidRPr="00906B42">
              <w:rPr>
                <w:rFonts w:ascii="Helvetica" w:hAnsi="Helvetica" w:cs="Helvetica"/>
                <w:sz w:val="24"/>
                <w:szCs w:val="24"/>
              </w:rPr>
              <w:t xml:space="preserve"> more than 49</w:t>
            </w:r>
          </w:p>
        </w:tc>
      </w:tr>
      <w:tr w:rsidR="00E41803" w:rsidRPr="00906B42" w:rsidTr="00EB202C">
        <w:tc>
          <w:tcPr>
            <w:tcW w:w="0" w:type="auto"/>
          </w:tcPr>
          <w:p w:rsidR="00E41803" w:rsidRPr="00906B42"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06B42">
              <w:rPr>
                <w:rFonts w:ascii="Helvetica" w:hAnsi="Helvetica" w:cs="Helvetica"/>
                <w:sz w:val="24"/>
                <w:szCs w:val="24"/>
              </w:rPr>
              <w:t xml:space="preserve">More than 99 sanitary </w:t>
            </w:r>
            <w:r>
              <w:rPr>
                <w:rFonts w:ascii="Helvetica" w:hAnsi="Helvetica" w:cs="Helvetica"/>
                <w:sz w:val="24"/>
                <w:szCs w:val="24"/>
              </w:rPr>
              <w:t>fittings</w:t>
            </w:r>
            <w:r w:rsidRPr="00906B42">
              <w:rPr>
                <w:rFonts w:ascii="Helvetica" w:hAnsi="Helvetica" w:cs="Helvetica"/>
                <w:sz w:val="24"/>
                <w:szCs w:val="24"/>
              </w:rPr>
              <w:t xml:space="preserve"> but less than 150</w:t>
            </w:r>
          </w:p>
        </w:tc>
        <w:tc>
          <w:tcPr>
            <w:tcW w:w="0" w:type="auto"/>
          </w:tcPr>
          <w:p w:rsidR="00E41803" w:rsidRPr="00906B42" w:rsidRDefault="00E41803" w:rsidP="00EB202C">
            <w:pPr>
              <w:pStyle w:val="NormalIndent"/>
              <w:tabs>
                <w:tab w:val="clear" w:pos="1440"/>
                <w:tab w:val="left" w:pos="0"/>
              </w:tabs>
              <w:spacing w:before="40" w:after="40" w:line="240" w:lineRule="auto"/>
              <w:ind w:left="0"/>
              <w:jc w:val="center"/>
              <w:rPr>
                <w:rFonts w:ascii="Helvetica" w:hAnsi="Helvetica" w:cs="Helvetica"/>
                <w:sz w:val="24"/>
                <w:szCs w:val="24"/>
              </w:rPr>
            </w:pPr>
            <w:r>
              <w:rPr>
                <w:rFonts w:ascii="Helvetica" w:hAnsi="Helvetica" w:cs="Helvetica"/>
                <w:sz w:val="24"/>
                <w:szCs w:val="24"/>
              </w:rPr>
              <w:t>50 674.58</w:t>
            </w:r>
            <w:r w:rsidRPr="00906B42">
              <w:rPr>
                <w:rFonts w:ascii="Helvetica" w:hAnsi="Helvetica" w:cs="Helvetica"/>
                <w:sz w:val="24"/>
                <w:szCs w:val="24"/>
              </w:rPr>
              <w:t xml:space="preserve"> plus </w:t>
            </w:r>
            <w:r>
              <w:rPr>
                <w:rFonts w:ascii="Helvetica" w:hAnsi="Helvetica" w:cs="Helvetica"/>
                <w:sz w:val="24"/>
                <w:szCs w:val="24"/>
              </w:rPr>
              <w:t>453.28</w:t>
            </w:r>
            <w:r w:rsidRPr="00906B42">
              <w:rPr>
                <w:rFonts w:ascii="Helvetica" w:hAnsi="Helvetica" w:cs="Helvetica"/>
                <w:sz w:val="24"/>
                <w:szCs w:val="24"/>
              </w:rPr>
              <w:t xml:space="preserve"> for each </w:t>
            </w:r>
            <w:r>
              <w:rPr>
                <w:rFonts w:ascii="Helvetica" w:hAnsi="Helvetica" w:cs="Helvetica"/>
                <w:sz w:val="24"/>
                <w:szCs w:val="24"/>
              </w:rPr>
              <w:t>fitting</w:t>
            </w:r>
            <w:r w:rsidRPr="00906B42">
              <w:rPr>
                <w:rFonts w:ascii="Helvetica" w:hAnsi="Helvetica" w:cs="Helvetica"/>
                <w:sz w:val="24"/>
                <w:szCs w:val="24"/>
              </w:rPr>
              <w:t xml:space="preserve"> more than 99</w:t>
            </w:r>
          </w:p>
        </w:tc>
      </w:tr>
      <w:tr w:rsidR="00E41803" w:rsidRPr="00906B42" w:rsidTr="00EB202C">
        <w:tc>
          <w:tcPr>
            <w:tcW w:w="0" w:type="auto"/>
          </w:tcPr>
          <w:p w:rsidR="00E41803" w:rsidRPr="00906B42" w:rsidRDefault="00E41803" w:rsidP="00EB202C">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06B42">
              <w:rPr>
                <w:rFonts w:ascii="Helvetica" w:hAnsi="Helvetica" w:cs="Helvetica"/>
                <w:sz w:val="24"/>
                <w:szCs w:val="24"/>
              </w:rPr>
              <w:t xml:space="preserve">More than 149 sanitary </w:t>
            </w:r>
            <w:r>
              <w:rPr>
                <w:rFonts w:ascii="Helvetica" w:hAnsi="Helvetica" w:cs="Helvetica"/>
                <w:sz w:val="24"/>
                <w:szCs w:val="24"/>
              </w:rPr>
              <w:t>fittings</w:t>
            </w:r>
          </w:p>
        </w:tc>
        <w:tc>
          <w:tcPr>
            <w:tcW w:w="0" w:type="auto"/>
          </w:tcPr>
          <w:p w:rsidR="00E41803" w:rsidRPr="00906B42" w:rsidRDefault="00E41803" w:rsidP="00EB202C">
            <w:pPr>
              <w:pStyle w:val="NormalIndent"/>
              <w:tabs>
                <w:tab w:val="clear" w:pos="1440"/>
                <w:tab w:val="left" w:pos="0"/>
              </w:tabs>
              <w:spacing w:before="40" w:after="40" w:line="240" w:lineRule="auto"/>
              <w:ind w:left="0"/>
              <w:jc w:val="center"/>
              <w:rPr>
                <w:rFonts w:ascii="Helvetica" w:hAnsi="Helvetica" w:cs="Helvetica"/>
                <w:sz w:val="24"/>
                <w:szCs w:val="24"/>
              </w:rPr>
            </w:pPr>
            <w:r>
              <w:rPr>
                <w:rFonts w:ascii="Helvetica" w:hAnsi="Helvetica" w:cs="Helvetica"/>
                <w:sz w:val="24"/>
                <w:szCs w:val="24"/>
              </w:rPr>
              <w:t>73 338.58</w:t>
            </w:r>
            <w:r w:rsidRPr="00906B42">
              <w:rPr>
                <w:rFonts w:ascii="Helvetica" w:hAnsi="Helvetica" w:cs="Helvetica"/>
                <w:sz w:val="24"/>
                <w:szCs w:val="24"/>
              </w:rPr>
              <w:t xml:space="preserve"> plus </w:t>
            </w:r>
            <w:r>
              <w:rPr>
                <w:rFonts w:ascii="Helvetica" w:hAnsi="Helvetica" w:cs="Helvetica"/>
                <w:sz w:val="24"/>
                <w:szCs w:val="24"/>
              </w:rPr>
              <w:t>438.94</w:t>
            </w:r>
            <w:r w:rsidRPr="00906B42">
              <w:rPr>
                <w:rFonts w:ascii="Helvetica" w:hAnsi="Helvetica" w:cs="Helvetica"/>
                <w:sz w:val="24"/>
                <w:szCs w:val="24"/>
              </w:rPr>
              <w:t xml:space="preserve"> for each </w:t>
            </w:r>
            <w:r>
              <w:rPr>
                <w:rFonts w:ascii="Helvetica" w:hAnsi="Helvetica" w:cs="Helvetica"/>
                <w:sz w:val="24"/>
                <w:szCs w:val="24"/>
              </w:rPr>
              <w:t>fitting</w:t>
            </w:r>
            <w:r w:rsidRPr="00906B42">
              <w:rPr>
                <w:rFonts w:ascii="Helvetica" w:hAnsi="Helvetica" w:cs="Helvetica"/>
                <w:sz w:val="24"/>
                <w:szCs w:val="24"/>
              </w:rPr>
              <w:t xml:space="preserve"> more than 149</w:t>
            </w:r>
          </w:p>
        </w:tc>
      </w:tr>
    </w:tbl>
    <w:p w:rsidR="00E41803" w:rsidRPr="00906B42" w:rsidRDefault="00E41803" w:rsidP="00E41803">
      <w:pPr>
        <w:keepNext/>
        <w:spacing w:before="120" w:after="120"/>
        <w:jc w:val="both"/>
        <w:rPr>
          <w:rFonts w:cs="Helvetica"/>
          <w:b/>
        </w:rPr>
      </w:pPr>
      <w:r w:rsidRPr="00906B42">
        <w:rPr>
          <w:rFonts w:cs="Helvetica"/>
          <w:b/>
        </w:rPr>
        <w:t>11</w:t>
      </w:r>
      <w:r w:rsidRPr="00906B42">
        <w:rPr>
          <w:rFonts w:cs="Helvetica"/>
          <w:b/>
        </w:rPr>
        <w:tab/>
        <w:t>Prices for related services</w:t>
      </w:r>
    </w:p>
    <w:p w:rsidR="00E41803" w:rsidRPr="00906B42" w:rsidRDefault="00E41803" w:rsidP="00E41803">
      <w:pPr>
        <w:spacing w:after="120"/>
        <w:ind w:left="709"/>
        <w:jc w:val="both"/>
        <w:rPr>
          <w:rFonts w:cs="Helvetica"/>
        </w:rPr>
      </w:pPr>
      <w:r w:rsidRPr="00906B42">
        <w:rPr>
          <w:rFonts w:cs="Helvetica"/>
        </w:rPr>
        <w:t>A price charged for related services must be a fair and reasonable amount taking into consideration the costs of providing the services in an efficient manner.</w:t>
      </w:r>
    </w:p>
    <w:p w:rsidR="00E41803" w:rsidRPr="00906B42" w:rsidRDefault="00E41803" w:rsidP="00E41803">
      <w:pPr>
        <w:spacing w:after="120"/>
        <w:jc w:val="both"/>
        <w:rPr>
          <w:rFonts w:cs="Helvetica"/>
        </w:rPr>
      </w:pPr>
      <w:r w:rsidRPr="00906B42">
        <w:rPr>
          <w:rFonts w:cs="Helvetica"/>
          <w:b/>
        </w:rPr>
        <w:t>12</w:t>
      </w:r>
      <w:r w:rsidRPr="00906B42">
        <w:rPr>
          <w:rFonts w:cs="Helvetica"/>
          <w:b/>
        </w:rPr>
        <w:tab/>
        <w:t>Role of Utilities Commission</w:t>
      </w:r>
    </w:p>
    <w:p w:rsidR="00E41803" w:rsidRPr="00906B42" w:rsidRDefault="00E41803" w:rsidP="00E41803">
      <w:pPr>
        <w:spacing w:after="120"/>
        <w:ind w:left="709"/>
        <w:jc w:val="both"/>
        <w:rPr>
          <w:rFonts w:cs="Helvetica"/>
        </w:rPr>
      </w:pPr>
      <w:r w:rsidRPr="00906B42">
        <w:rPr>
          <w:rFonts w:cs="Helvetica"/>
        </w:rPr>
        <w:t>The Utilities Commission must:</w:t>
      </w:r>
    </w:p>
    <w:p w:rsidR="00E41803" w:rsidRPr="00906B42" w:rsidRDefault="00E41803" w:rsidP="00E41803">
      <w:pPr>
        <w:spacing w:after="120"/>
        <w:ind w:left="720"/>
        <w:jc w:val="both"/>
        <w:rPr>
          <w:rFonts w:cs="Helvetica"/>
        </w:rPr>
      </w:pPr>
      <w:r w:rsidRPr="00906B42">
        <w:rPr>
          <w:rFonts w:cs="Helvetica"/>
        </w:rPr>
        <w:t>(a)</w:t>
      </w:r>
      <w:r w:rsidRPr="00906B42">
        <w:rPr>
          <w:rFonts w:cs="Helvetica"/>
        </w:rPr>
        <w:tab/>
        <w:t>monitor compliance with this pricing order; and</w:t>
      </w:r>
    </w:p>
    <w:p w:rsidR="00E41803" w:rsidRPr="00906B42" w:rsidRDefault="00E41803" w:rsidP="00E41803">
      <w:pPr>
        <w:pStyle w:val="BodyTextIndent"/>
        <w:ind w:left="1440" w:hanging="720"/>
        <w:rPr>
          <w:rFonts w:cs="Helvetica"/>
          <w:szCs w:val="24"/>
        </w:rPr>
      </w:pPr>
      <w:r w:rsidRPr="00906B42">
        <w:rPr>
          <w:rFonts w:cs="Helvetica"/>
          <w:szCs w:val="24"/>
        </w:rPr>
        <w:t>(b)</w:t>
      </w:r>
      <w:r w:rsidRPr="00906B42">
        <w:rPr>
          <w:rFonts w:cs="Helvetica"/>
          <w:szCs w:val="24"/>
        </w:rPr>
        <w:tab/>
        <w:t xml:space="preserve">enforce this pricing order under section 23 of the </w:t>
      </w:r>
      <w:r w:rsidRPr="00906B42">
        <w:rPr>
          <w:rFonts w:cs="Helvetica"/>
          <w:i/>
          <w:szCs w:val="24"/>
        </w:rPr>
        <w:t>Utilities Commission Act</w:t>
      </w:r>
      <w:r w:rsidRPr="00906B42">
        <w:rPr>
          <w:rFonts w:cs="Helvetica"/>
          <w:szCs w:val="24"/>
        </w:rPr>
        <w:t xml:space="preserve"> in the same way as if it were a determination under that Act; and</w:t>
      </w:r>
    </w:p>
    <w:p w:rsidR="00E41803" w:rsidRPr="00906B42" w:rsidRDefault="00E41803" w:rsidP="00E41803">
      <w:pPr>
        <w:spacing w:after="120"/>
        <w:ind w:left="1440" w:hanging="720"/>
        <w:jc w:val="both"/>
        <w:rPr>
          <w:rFonts w:cs="Helvetica"/>
          <w:b/>
        </w:rPr>
      </w:pPr>
      <w:r w:rsidRPr="00906B42">
        <w:rPr>
          <w:rFonts w:cs="Helvetica"/>
        </w:rPr>
        <w:lastRenderedPageBreak/>
        <w:t>(c)</w:t>
      </w:r>
      <w:r w:rsidRPr="00906B42">
        <w:rPr>
          <w:rFonts w:cs="Helvetica"/>
        </w:rPr>
        <w:tab/>
        <w:t>investigate any complaints made to the Utilities Commission by customers that prices to which this pricing order applies do not comply with this order.</w:t>
      </w:r>
    </w:p>
    <w:p w:rsidR="00E41803" w:rsidRPr="001F2D88" w:rsidRDefault="00E41803" w:rsidP="00062953">
      <w:pPr>
        <w:tabs>
          <w:tab w:val="left" w:pos="8640"/>
        </w:tabs>
        <w:spacing w:before="720" w:line="360" w:lineRule="auto"/>
        <w:jc w:val="center"/>
        <w:rPr>
          <w:spacing w:val="-3"/>
        </w:rPr>
      </w:pPr>
      <w:r w:rsidRPr="00CE1DB8">
        <w:rPr>
          <w:spacing w:val="-3"/>
        </w:rPr>
        <w:t>Northern Territory of Australia</w:t>
      </w:r>
    </w:p>
    <w:p w:rsidR="00E41803" w:rsidRPr="004C196F" w:rsidRDefault="00E41803" w:rsidP="00E41803">
      <w:pPr>
        <w:spacing w:line="360" w:lineRule="auto"/>
        <w:jc w:val="center"/>
        <w:outlineLvl w:val="0"/>
        <w:rPr>
          <w:rFonts w:cs="Helvetica"/>
          <w:i/>
        </w:rPr>
      </w:pPr>
      <w:r>
        <w:rPr>
          <w:rFonts w:cs="Helvetica"/>
          <w:i/>
        </w:rPr>
        <w:t>Electricity Reform Act</w:t>
      </w:r>
    </w:p>
    <w:p w:rsidR="00E41803" w:rsidRPr="005D2BCA" w:rsidRDefault="00E41803" w:rsidP="00E41803">
      <w:pPr>
        <w:spacing w:line="360" w:lineRule="auto"/>
        <w:jc w:val="center"/>
        <w:rPr>
          <w:b/>
          <w:spacing w:val="-3"/>
        </w:rPr>
      </w:pPr>
      <w:r>
        <w:rPr>
          <w:b/>
          <w:spacing w:val="-3"/>
        </w:rPr>
        <w:t>Notice of Issue of Electricity Pricing Order</w:t>
      </w:r>
    </w:p>
    <w:p w:rsidR="00E41803" w:rsidRDefault="00E41803" w:rsidP="00E41803">
      <w:pPr>
        <w:spacing w:after="120" w:line="360" w:lineRule="auto"/>
        <w:jc w:val="both"/>
      </w:pPr>
      <w:r w:rsidRPr="00CE1DB8">
        <w:t xml:space="preserve">I, </w:t>
      </w:r>
      <w:r>
        <w:t>Nicole Susan Manison, Treasurer</w:t>
      </w:r>
      <w:r w:rsidRPr="00CE1DB8">
        <w:t>, under section </w:t>
      </w:r>
      <w:r>
        <w:t xml:space="preserve">44(8) </w:t>
      </w:r>
      <w:r w:rsidRPr="00CE1DB8">
        <w:t xml:space="preserve">of the </w:t>
      </w:r>
      <w:r>
        <w:rPr>
          <w:i/>
        </w:rPr>
        <w:t xml:space="preserve">Electricity Reform </w:t>
      </w:r>
      <w:r w:rsidRPr="00643A83">
        <w:rPr>
          <w:i/>
        </w:rPr>
        <w:t>Act</w:t>
      </w:r>
      <w:r w:rsidRPr="00CE1DB8">
        <w:t xml:space="preserve">, </w:t>
      </w:r>
      <w:r>
        <w:t>give notice that:</w:t>
      </w:r>
    </w:p>
    <w:p w:rsidR="00E41803" w:rsidRDefault="00E41803" w:rsidP="00E41803">
      <w:pPr>
        <w:numPr>
          <w:ilvl w:val="0"/>
          <w:numId w:val="47"/>
        </w:numPr>
        <w:spacing w:after="120" w:line="360" w:lineRule="auto"/>
        <w:ind w:left="680" w:hanging="680"/>
        <w:jc w:val="both"/>
      </w:pPr>
      <w:r>
        <w:t xml:space="preserve">an electricity pricing order regulating prices for the sale of electricity to customers of the class prescribed by regulation 13A(d) of the </w:t>
      </w:r>
      <w:r>
        <w:rPr>
          <w:i/>
        </w:rPr>
        <w:t>Electricity Reform (Administration) Regulations</w:t>
      </w:r>
      <w:r>
        <w:t xml:space="preserve"> has been issued; and</w:t>
      </w:r>
    </w:p>
    <w:p w:rsidR="00E41803" w:rsidRDefault="00E41803" w:rsidP="00E41803">
      <w:pPr>
        <w:numPr>
          <w:ilvl w:val="0"/>
          <w:numId w:val="47"/>
        </w:numPr>
        <w:spacing w:after="120" w:line="360" w:lineRule="auto"/>
        <w:ind w:left="680" w:hanging="680"/>
        <w:jc w:val="both"/>
      </w:pPr>
      <w:r>
        <w:t>the order will have the effect of regulating prices for the sale of electricity to those customers for the period from 1 July 2018 to 30 June 2019; and</w:t>
      </w:r>
    </w:p>
    <w:p w:rsidR="00E41803" w:rsidRDefault="00E41803" w:rsidP="00E41803">
      <w:pPr>
        <w:numPr>
          <w:ilvl w:val="0"/>
          <w:numId w:val="47"/>
        </w:numPr>
        <w:spacing w:after="120" w:line="360" w:lineRule="auto"/>
        <w:ind w:left="680" w:hanging="680"/>
        <w:jc w:val="both"/>
      </w:pPr>
      <w:r>
        <w:t xml:space="preserve">a copy of the order may be inspected at, and obtained from, any office of the Power and Water Corporation, Jacana Energy or any other person licenced under Part 3 of the </w:t>
      </w:r>
      <w:r>
        <w:rPr>
          <w:i/>
        </w:rPr>
        <w:t>Electricity Reform Act</w:t>
      </w:r>
      <w:r>
        <w:t xml:space="preserve"> to sell electricity.</w:t>
      </w:r>
    </w:p>
    <w:p w:rsidR="00E41803" w:rsidRPr="00CE1DB8" w:rsidRDefault="00E41803" w:rsidP="00062953">
      <w:pPr>
        <w:spacing w:before="240" w:after="240" w:line="360" w:lineRule="auto"/>
      </w:pPr>
      <w:r w:rsidRPr="00CE1DB8">
        <w:t>Dated</w:t>
      </w:r>
      <w:r w:rsidR="00062953">
        <w:t xml:space="preserve"> 14 June 2018</w:t>
      </w:r>
    </w:p>
    <w:p w:rsidR="00E41803" w:rsidRPr="00CE1DB8" w:rsidRDefault="00861B04" w:rsidP="00861B04">
      <w:pPr>
        <w:tabs>
          <w:tab w:val="left" w:pos="8640"/>
        </w:tabs>
        <w:spacing w:before="240"/>
        <w:jc w:val="right"/>
        <w:rPr>
          <w:spacing w:val="-3"/>
        </w:rPr>
      </w:pPr>
      <w:r>
        <w:rPr>
          <w:spacing w:val="-3"/>
        </w:rPr>
        <w:t>N. S. Manison</w:t>
      </w:r>
    </w:p>
    <w:p w:rsidR="00E41803" w:rsidRPr="00CE1DB8" w:rsidRDefault="00E41803" w:rsidP="00E41803">
      <w:pPr>
        <w:tabs>
          <w:tab w:val="left" w:pos="8640"/>
        </w:tabs>
        <w:jc w:val="right"/>
        <w:rPr>
          <w:spacing w:val="-3"/>
        </w:rPr>
      </w:pPr>
      <w:r>
        <w:rPr>
          <w:spacing w:val="-3"/>
        </w:rPr>
        <w:t>Treasurer</w:t>
      </w:r>
    </w:p>
    <w:p w:rsidR="00E41803" w:rsidRPr="00C96F1E" w:rsidRDefault="00E41803" w:rsidP="00062953">
      <w:pPr>
        <w:pageBreakBefore/>
        <w:widowControl w:val="0"/>
        <w:tabs>
          <w:tab w:val="left" w:pos="8640"/>
        </w:tabs>
        <w:spacing w:line="360" w:lineRule="auto"/>
        <w:jc w:val="center"/>
        <w:rPr>
          <w:rFonts w:cs="Helvetica"/>
          <w:spacing w:val="-3"/>
        </w:rPr>
      </w:pPr>
      <w:r w:rsidRPr="00C96F1E">
        <w:rPr>
          <w:rFonts w:cs="Helvetica"/>
          <w:spacing w:val="-3"/>
        </w:rPr>
        <w:lastRenderedPageBreak/>
        <w:t>Northern Territory of Australia</w:t>
      </w:r>
    </w:p>
    <w:p w:rsidR="00E41803" w:rsidRPr="00C96F1E" w:rsidRDefault="00E41803" w:rsidP="00E41803">
      <w:pPr>
        <w:spacing w:line="360" w:lineRule="auto"/>
        <w:jc w:val="center"/>
        <w:outlineLvl w:val="0"/>
        <w:rPr>
          <w:rFonts w:cs="Helvetica"/>
          <w:i/>
        </w:rPr>
      </w:pPr>
      <w:r w:rsidRPr="00C96F1E">
        <w:rPr>
          <w:rFonts w:cs="Helvetica"/>
          <w:i/>
        </w:rPr>
        <w:t>Electricity Reform Act</w:t>
      </w:r>
    </w:p>
    <w:p w:rsidR="00E41803" w:rsidRPr="00C96F1E" w:rsidRDefault="00E41803" w:rsidP="00E41803">
      <w:pPr>
        <w:spacing w:line="360" w:lineRule="auto"/>
        <w:jc w:val="center"/>
        <w:rPr>
          <w:rFonts w:cs="Helvetica"/>
          <w:b/>
          <w:spacing w:val="-3"/>
        </w:rPr>
      </w:pPr>
      <w:r w:rsidRPr="00C96F1E">
        <w:rPr>
          <w:rFonts w:cs="Helvetica"/>
          <w:b/>
          <w:spacing w:val="-3"/>
        </w:rPr>
        <w:t>Issue of Electricity Pricing Order</w:t>
      </w:r>
    </w:p>
    <w:p w:rsidR="00E41803" w:rsidRPr="00C96F1E" w:rsidRDefault="00E41803" w:rsidP="00E41803">
      <w:pPr>
        <w:spacing w:line="360" w:lineRule="auto"/>
        <w:jc w:val="center"/>
        <w:rPr>
          <w:rFonts w:cs="Helvetica"/>
          <w:spacing w:val="-3"/>
        </w:rPr>
      </w:pPr>
    </w:p>
    <w:p w:rsidR="00E41803" w:rsidRPr="00C96F1E" w:rsidRDefault="00E41803" w:rsidP="00E41803">
      <w:pPr>
        <w:spacing w:line="360" w:lineRule="auto"/>
        <w:jc w:val="both"/>
        <w:rPr>
          <w:rFonts w:cs="Helvetica"/>
        </w:rPr>
      </w:pPr>
      <w:r w:rsidRPr="00C96F1E">
        <w:rPr>
          <w:rFonts w:cs="Helvetica"/>
        </w:rPr>
        <w:t xml:space="preserve">I, </w:t>
      </w:r>
      <w:r>
        <w:rPr>
          <w:rFonts w:cs="Helvetica"/>
        </w:rPr>
        <w:t>Nicole Susan Manison,</w:t>
      </w:r>
      <w:r w:rsidRPr="00C96F1E">
        <w:rPr>
          <w:rFonts w:cs="Helvetica"/>
        </w:rPr>
        <w:t xml:space="preserve"> Treasurer, under section 44(1)(a) of the </w:t>
      </w:r>
      <w:r w:rsidRPr="00C96F1E">
        <w:rPr>
          <w:rFonts w:cs="Helvetica"/>
          <w:i/>
        </w:rPr>
        <w:t>Electricity Reform Act</w:t>
      </w:r>
      <w:r w:rsidRPr="00C96F1E">
        <w:rPr>
          <w:rFonts w:cs="Helvetica"/>
        </w:rPr>
        <w:t>, issue the electricity pricing order set out in the Schedule, to take effect on 1 July 201</w:t>
      </w:r>
      <w:r>
        <w:rPr>
          <w:rFonts w:cs="Helvetica"/>
        </w:rPr>
        <w:t>8</w:t>
      </w:r>
      <w:r w:rsidRPr="00C96F1E">
        <w:rPr>
          <w:rFonts w:cs="Helvetica"/>
        </w:rPr>
        <w:t xml:space="preserve"> and to remain in force for 12 months.</w:t>
      </w:r>
    </w:p>
    <w:p w:rsidR="00E41803" w:rsidRPr="00C96F1E" w:rsidRDefault="00E41803" w:rsidP="00207034">
      <w:pPr>
        <w:spacing w:before="240" w:after="240" w:line="360" w:lineRule="auto"/>
        <w:rPr>
          <w:rFonts w:cs="Helvetica"/>
        </w:rPr>
      </w:pPr>
      <w:r w:rsidRPr="00C96F1E">
        <w:rPr>
          <w:rFonts w:cs="Helvetica"/>
        </w:rPr>
        <w:t>Dated</w:t>
      </w:r>
      <w:r w:rsidR="00207034">
        <w:rPr>
          <w:rFonts w:cs="Helvetica"/>
        </w:rPr>
        <w:t xml:space="preserve"> 14 June 2018</w:t>
      </w:r>
    </w:p>
    <w:p w:rsidR="00E41803" w:rsidRPr="00C96F1E" w:rsidRDefault="00207034" w:rsidP="00207034">
      <w:pPr>
        <w:tabs>
          <w:tab w:val="left" w:pos="8640"/>
        </w:tabs>
        <w:spacing w:before="240"/>
        <w:jc w:val="right"/>
        <w:rPr>
          <w:rFonts w:cs="Helvetica"/>
          <w:spacing w:val="-3"/>
        </w:rPr>
      </w:pPr>
      <w:r>
        <w:rPr>
          <w:rFonts w:cs="Helvetica"/>
          <w:spacing w:val="-3"/>
        </w:rPr>
        <w:t>N. S. Manison</w:t>
      </w:r>
    </w:p>
    <w:p w:rsidR="00E41803" w:rsidRPr="00C96F1E" w:rsidRDefault="00E41803" w:rsidP="00207034">
      <w:pPr>
        <w:tabs>
          <w:tab w:val="left" w:pos="8640"/>
        </w:tabs>
        <w:spacing w:after="480"/>
        <w:jc w:val="right"/>
        <w:rPr>
          <w:rFonts w:cs="Helvetica"/>
          <w:spacing w:val="-3"/>
        </w:rPr>
      </w:pPr>
      <w:r w:rsidRPr="00C96F1E">
        <w:rPr>
          <w:rFonts w:cs="Helvetica"/>
          <w:spacing w:val="-3"/>
        </w:rPr>
        <w:t>Treasurer</w:t>
      </w:r>
    </w:p>
    <w:p w:rsidR="00E41803" w:rsidRPr="00C96F1E" w:rsidRDefault="00E41803" w:rsidP="00E41803">
      <w:pPr>
        <w:spacing w:line="360" w:lineRule="auto"/>
        <w:jc w:val="center"/>
        <w:rPr>
          <w:rFonts w:cs="Helvetica"/>
          <w:b/>
        </w:rPr>
      </w:pPr>
      <w:r w:rsidRPr="00C96F1E">
        <w:rPr>
          <w:rFonts w:cs="Helvetica"/>
          <w:b/>
        </w:rPr>
        <w:t>Schedule</w:t>
      </w:r>
    </w:p>
    <w:p w:rsidR="00E41803" w:rsidRPr="00C96F1E" w:rsidRDefault="00E41803" w:rsidP="00E41803">
      <w:pPr>
        <w:spacing w:line="360" w:lineRule="auto"/>
        <w:jc w:val="center"/>
        <w:rPr>
          <w:rFonts w:cs="Helvetica"/>
          <w:b/>
        </w:rPr>
      </w:pPr>
      <w:r w:rsidRPr="00C96F1E">
        <w:rPr>
          <w:rFonts w:cs="Helvetica"/>
          <w:b/>
        </w:rPr>
        <w:t>Electricity Pricing Order</w:t>
      </w:r>
    </w:p>
    <w:p w:rsidR="00E41803" w:rsidRPr="00C96F1E" w:rsidRDefault="00E41803" w:rsidP="00207034">
      <w:pPr>
        <w:spacing w:after="240"/>
        <w:jc w:val="center"/>
        <w:rPr>
          <w:rFonts w:cs="Helvetica"/>
        </w:rPr>
      </w:pPr>
      <w:r w:rsidRPr="00C96F1E">
        <w:rPr>
          <w:rFonts w:cs="Helvetica"/>
        </w:rPr>
        <w:t>Customers of the class prescribed by regulation 13A(d)</w:t>
      </w:r>
      <w:r w:rsidRPr="00C96F1E">
        <w:rPr>
          <w:rFonts w:cs="Helvetica"/>
        </w:rPr>
        <w:br/>
        <w:t xml:space="preserve">of the </w:t>
      </w:r>
      <w:r w:rsidRPr="00C96F1E">
        <w:rPr>
          <w:rFonts w:cs="Helvetica"/>
          <w:i/>
        </w:rPr>
        <w:t>Electricity Reform (Administration) Regulations</w:t>
      </w:r>
    </w:p>
    <w:p w:rsidR="00E41803" w:rsidRPr="00C96F1E" w:rsidRDefault="00207034" w:rsidP="000D141D">
      <w:pPr>
        <w:tabs>
          <w:tab w:val="left" w:pos="-720"/>
        </w:tabs>
        <w:spacing w:before="240" w:after="120"/>
        <w:rPr>
          <w:rFonts w:cs="Helvetica"/>
          <w:b/>
          <w:caps/>
        </w:rPr>
      </w:pPr>
      <w:r w:rsidRPr="00C96F1E">
        <w:rPr>
          <w:rFonts w:cs="Helvetica"/>
          <w:b/>
          <w:spacing w:val="-3"/>
        </w:rPr>
        <w:t>Part</w:t>
      </w:r>
      <w:r w:rsidRPr="00C96F1E">
        <w:rPr>
          <w:rFonts w:cs="Helvetica"/>
          <w:b/>
        </w:rPr>
        <w:t xml:space="preserve"> 1 – Preliminary Matters</w:t>
      </w:r>
    </w:p>
    <w:p w:rsidR="00E41803" w:rsidRPr="00C96F1E" w:rsidRDefault="00E41803" w:rsidP="00E41803">
      <w:pPr>
        <w:keepNext/>
        <w:spacing w:before="240" w:after="120"/>
        <w:jc w:val="both"/>
        <w:rPr>
          <w:rFonts w:cs="Helvetica"/>
          <w:b/>
        </w:rPr>
      </w:pPr>
      <w:r w:rsidRPr="00C96F1E">
        <w:rPr>
          <w:rFonts w:cs="Helvetica"/>
          <w:b/>
        </w:rPr>
        <w:t>1</w:t>
      </w:r>
      <w:r w:rsidRPr="00C96F1E">
        <w:rPr>
          <w:rFonts w:cs="Helvetica"/>
          <w:b/>
        </w:rPr>
        <w:tab/>
        <w:t>Definitions</w:t>
      </w:r>
    </w:p>
    <w:p w:rsidR="00E41803" w:rsidRPr="00C96F1E" w:rsidRDefault="00E41803" w:rsidP="00E41803">
      <w:pPr>
        <w:spacing w:after="120"/>
        <w:jc w:val="both"/>
        <w:rPr>
          <w:rFonts w:cs="Helvetica"/>
        </w:rPr>
      </w:pPr>
      <w:r w:rsidRPr="00C96F1E">
        <w:rPr>
          <w:rFonts w:cs="Helvetica"/>
        </w:rPr>
        <w:tab/>
        <w:t>In this electricity pricing order:</w:t>
      </w:r>
    </w:p>
    <w:p w:rsidR="00E41803" w:rsidRPr="00C96F1E" w:rsidRDefault="00E41803" w:rsidP="00E41803">
      <w:pPr>
        <w:tabs>
          <w:tab w:val="left" w:pos="-720"/>
        </w:tabs>
        <w:spacing w:after="120"/>
        <w:ind w:left="720" w:hanging="11"/>
        <w:jc w:val="both"/>
        <w:rPr>
          <w:rFonts w:cs="Helvetica"/>
        </w:rPr>
      </w:pPr>
      <w:r w:rsidRPr="00C96F1E">
        <w:rPr>
          <w:rFonts w:cs="Helvetica"/>
          <w:b/>
          <w:i/>
        </w:rPr>
        <w:t>billing entity</w:t>
      </w:r>
      <w:r w:rsidRPr="00C96F1E">
        <w:rPr>
          <w:rFonts w:cs="Helvetica"/>
        </w:rPr>
        <w:t xml:space="preserve"> means a person licensed under Part 3 of the </w:t>
      </w:r>
      <w:r w:rsidRPr="00C96F1E">
        <w:rPr>
          <w:rFonts w:cs="Helvetica"/>
          <w:i/>
        </w:rPr>
        <w:t xml:space="preserve">Electricity Reform Act </w:t>
      </w:r>
      <w:r w:rsidRPr="00C96F1E">
        <w:rPr>
          <w:rFonts w:cs="Helvetica"/>
        </w:rPr>
        <w:t>to sell electricity.</w:t>
      </w:r>
    </w:p>
    <w:p w:rsidR="00E41803" w:rsidRPr="00C96F1E" w:rsidRDefault="00E41803" w:rsidP="00E41803">
      <w:pPr>
        <w:tabs>
          <w:tab w:val="left" w:pos="-720"/>
        </w:tabs>
        <w:spacing w:after="120"/>
        <w:ind w:left="720" w:hanging="11"/>
        <w:jc w:val="both"/>
        <w:rPr>
          <w:rFonts w:cs="Helvetica"/>
        </w:rPr>
      </w:pPr>
      <w:r w:rsidRPr="00C96F1E">
        <w:rPr>
          <w:rFonts w:cs="Helvetica"/>
          <w:b/>
          <w:i/>
        </w:rPr>
        <w:t xml:space="preserve">caravan park resident tariff customer </w:t>
      </w:r>
      <w:r w:rsidRPr="00C96F1E">
        <w:rPr>
          <w:rFonts w:cs="Helvetica"/>
        </w:rPr>
        <w:t>means a prescribed customer who is on-supplied electricity by the proprietor of a caravan park who is:</w:t>
      </w:r>
    </w:p>
    <w:p w:rsidR="00E41803" w:rsidRPr="00C96F1E" w:rsidRDefault="00E41803" w:rsidP="00E41803">
      <w:pPr>
        <w:tabs>
          <w:tab w:val="left" w:pos="1260"/>
        </w:tabs>
        <w:spacing w:after="120"/>
        <w:ind w:left="1260" w:hanging="540"/>
        <w:jc w:val="both"/>
        <w:rPr>
          <w:rFonts w:cs="Helvetica"/>
        </w:rPr>
      </w:pPr>
      <w:r w:rsidRPr="00C96F1E">
        <w:rPr>
          <w:rFonts w:cs="Helvetica"/>
        </w:rPr>
        <w:t>(a)</w:t>
      </w:r>
      <w:r w:rsidRPr="00C96F1E">
        <w:rPr>
          <w:rFonts w:cs="Helvetica"/>
        </w:rPr>
        <w:tab/>
        <w:t xml:space="preserve">a commercial – standard tariff customer; or </w:t>
      </w:r>
    </w:p>
    <w:p w:rsidR="00E41803" w:rsidRPr="00C96F1E" w:rsidRDefault="00E41803" w:rsidP="00E41803">
      <w:pPr>
        <w:tabs>
          <w:tab w:val="left" w:pos="1260"/>
        </w:tabs>
        <w:spacing w:after="120"/>
        <w:ind w:left="1260" w:hanging="540"/>
        <w:jc w:val="both"/>
        <w:rPr>
          <w:rFonts w:cs="Helvetica"/>
        </w:rPr>
      </w:pPr>
      <w:r w:rsidRPr="00C96F1E">
        <w:rPr>
          <w:rFonts w:cs="Helvetica"/>
        </w:rPr>
        <w:t>(b)</w:t>
      </w:r>
      <w:r w:rsidRPr="00C96F1E">
        <w:rPr>
          <w:rFonts w:cs="Helvetica"/>
        </w:rPr>
        <w:tab/>
        <w:t>a commercial – time of use tariff customer.</w:t>
      </w:r>
    </w:p>
    <w:p w:rsidR="00E41803" w:rsidRPr="00C96F1E" w:rsidRDefault="00E41803" w:rsidP="00E41803">
      <w:pPr>
        <w:tabs>
          <w:tab w:val="left" w:pos="-720"/>
        </w:tabs>
        <w:spacing w:after="120"/>
        <w:ind w:left="720" w:hanging="11"/>
        <w:jc w:val="both"/>
        <w:rPr>
          <w:rFonts w:cs="Helvetica"/>
        </w:rPr>
      </w:pPr>
      <w:r w:rsidRPr="00C96F1E">
        <w:rPr>
          <w:rFonts w:cs="Helvetica"/>
          <w:b/>
          <w:i/>
        </w:rPr>
        <w:t xml:space="preserve">commercial – standard tariff customer </w:t>
      </w:r>
      <w:r w:rsidRPr="00C96F1E">
        <w:rPr>
          <w:rFonts w:cs="Helvetica"/>
        </w:rPr>
        <w:t xml:space="preserve">means a prescribed customer who: </w:t>
      </w:r>
    </w:p>
    <w:p w:rsidR="00E41803" w:rsidRPr="00C96F1E" w:rsidRDefault="00E41803" w:rsidP="00E41803">
      <w:pPr>
        <w:tabs>
          <w:tab w:val="left" w:pos="1260"/>
        </w:tabs>
        <w:spacing w:after="120"/>
        <w:ind w:left="1260" w:hanging="540"/>
        <w:jc w:val="both"/>
        <w:rPr>
          <w:rFonts w:cs="Helvetica"/>
        </w:rPr>
      </w:pPr>
      <w:r w:rsidRPr="00C96F1E">
        <w:rPr>
          <w:rFonts w:cs="Helvetica"/>
        </w:rPr>
        <w:t>(a)</w:t>
      </w:r>
      <w:r w:rsidRPr="00C96F1E">
        <w:rPr>
          <w:rFonts w:cs="Helvetica"/>
        </w:rPr>
        <w:tab/>
        <w:t>purchases electricity for commercial use; and</w:t>
      </w:r>
    </w:p>
    <w:p w:rsidR="00E41803" w:rsidRPr="00C96F1E" w:rsidRDefault="00E41803" w:rsidP="00E41803">
      <w:pPr>
        <w:tabs>
          <w:tab w:val="left" w:pos="1260"/>
        </w:tabs>
        <w:spacing w:after="120"/>
        <w:ind w:left="1260" w:hanging="540"/>
        <w:jc w:val="both"/>
        <w:rPr>
          <w:rFonts w:cs="Helvetica"/>
        </w:rPr>
      </w:pPr>
      <w:r w:rsidRPr="00C96F1E">
        <w:rPr>
          <w:rFonts w:cs="Helvetica"/>
        </w:rPr>
        <w:t>(b)</w:t>
      </w:r>
      <w:r w:rsidRPr="00C96F1E">
        <w:rPr>
          <w:rFonts w:cs="Helvetica"/>
        </w:rPr>
        <w:tab/>
        <w:t>does not elect to pay the commercial – time of use tariff; and</w:t>
      </w:r>
    </w:p>
    <w:p w:rsidR="00E41803" w:rsidRPr="00C96F1E" w:rsidRDefault="00E41803" w:rsidP="00E41803">
      <w:pPr>
        <w:tabs>
          <w:tab w:val="left" w:pos="1260"/>
        </w:tabs>
        <w:spacing w:after="120"/>
        <w:ind w:left="1260" w:hanging="540"/>
        <w:jc w:val="both"/>
        <w:rPr>
          <w:rFonts w:cs="Helvetica"/>
        </w:rPr>
      </w:pPr>
      <w:r w:rsidRPr="00C96F1E">
        <w:rPr>
          <w:rFonts w:cs="Helvetica"/>
        </w:rPr>
        <w:t>(c)</w:t>
      </w:r>
      <w:r w:rsidRPr="00C96F1E">
        <w:rPr>
          <w:rFonts w:cs="Helvetica"/>
        </w:rPr>
        <w:tab/>
        <w:t>is not a multipurpose tariff customer.</w:t>
      </w:r>
    </w:p>
    <w:p w:rsidR="00E41803" w:rsidRPr="00C96F1E" w:rsidRDefault="00E41803" w:rsidP="00E41803">
      <w:pPr>
        <w:tabs>
          <w:tab w:val="left" w:pos="-720"/>
        </w:tabs>
        <w:spacing w:after="120"/>
        <w:ind w:left="720" w:hanging="11"/>
        <w:jc w:val="both"/>
        <w:rPr>
          <w:rFonts w:cs="Helvetica"/>
        </w:rPr>
      </w:pPr>
      <w:r w:rsidRPr="00C96F1E">
        <w:rPr>
          <w:rFonts w:cs="Helvetica"/>
          <w:b/>
          <w:i/>
        </w:rPr>
        <w:t xml:space="preserve">commercial – time of use tariff customer </w:t>
      </w:r>
      <w:r w:rsidRPr="00C96F1E">
        <w:rPr>
          <w:rFonts w:cs="Helvetica"/>
        </w:rPr>
        <w:t>means a prescribed customer who:</w:t>
      </w:r>
    </w:p>
    <w:p w:rsidR="00E41803" w:rsidRPr="00C96F1E" w:rsidRDefault="00E41803" w:rsidP="00E41803">
      <w:pPr>
        <w:tabs>
          <w:tab w:val="left" w:pos="1260"/>
        </w:tabs>
        <w:spacing w:after="120"/>
        <w:ind w:left="1260" w:hanging="540"/>
        <w:jc w:val="both"/>
        <w:rPr>
          <w:rFonts w:cs="Helvetica"/>
        </w:rPr>
      </w:pPr>
      <w:r w:rsidRPr="00C96F1E">
        <w:rPr>
          <w:rFonts w:cs="Helvetica"/>
        </w:rPr>
        <w:t>(a)</w:t>
      </w:r>
      <w:r w:rsidRPr="00C96F1E">
        <w:rPr>
          <w:rFonts w:cs="Helvetica"/>
        </w:rPr>
        <w:tab/>
        <w:t>purchases electricity for commercial use; and</w:t>
      </w:r>
    </w:p>
    <w:p w:rsidR="00E41803" w:rsidRPr="00C96F1E" w:rsidRDefault="00E41803" w:rsidP="00E41803">
      <w:pPr>
        <w:tabs>
          <w:tab w:val="left" w:pos="1260"/>
        </w:tabs>
        <w:spacing w:after="120"/>
        <w:ind w:left="1260" w:hanging="540"/>
        <w:jc w:val="both"/>
        <w:rPr>
          <w:rFonts w:cs="Helvetica"/>
        </w:rPr>
      </w:pPr>
      <w:r w:rsidRPr="00C96F1E">
        <w:rPr>
          <w:rFonts w:cs="Helvetica"/>
        </w:rPr>
        <w:t>(b)</w:t>
      </w:r>
      <w:r w:rsidRPr="00C96F1E">
        <w:rPr>
          <w:rFonts w:cs="Helvetica"/>
        </w:rPr>
        <w:tab/>
        <w:t>elects to pay the commercial –  time of use tariff for a period of not less than 12 months; and</w:t>
      </w:r>
    </w:p>
    <w:p w:rsidR="00E41803" w:rsidRPr="00C96F1E" w:rsidRDefault="00E41803" w:rsidP="00E41803">
      <w:pPr>
        <w:tabs>
          <w:tab w:val="left" w:pos="1260"/>
        </w:tabs>
        <w:spacing w:after="120"/>
        <w:ind w:left="1260" w:hanging="540"/>
        <w:jc w:val="both"/>
        <w:rPr>
          <w:rFonts w:cs="Helvetica"/>
        </w:rPr>
      </w:pPr>
      <w:r w:rsidRPr="00C96F1E">
        <w:rPr>
          <w:rFonts w:cs="Helvetica"/>
        </w:rPr>
        <w:t>(c)</w:t>
      </w:r>
      <w:r w:rsidRPr="00C96F1E">
        <w:rPr>
          <w:rFonts w:cs="Helvetica"/>
        </w:rPr>
        <w:tab/>
        <w:t>is not a multipurpose tariff customer.</w:t>
      </w:r>
    </w:p>
    <w:p w:rsidR="00E41803" w:rsidRPr="00C96F1E" w:rsidRDefault="00E41803" w:rsidP="00E41803">
      <w:pPr>
        <w:tabs>
          <w:tab w:val="left" w:pos="-720"/>
        </w:tabs>
        <w:spacing w:after="120"/>
        <w:ind w:left="720" w:hanging="11"/>
        <w:jc w:val="both"/>
        <w:rPr>
          <w:rFonts w:cs="Helvetica"/>
        </w:rPr>
      </w:pPr>
      <w:r w:rsidRPr="00C96F1E">
        <w:rPr>
          <w:rFonts w:cs="Helvetica"/>
          <w:b/>
          <w:i/>
        </w:rPr>
        <w:lastRenderedPageBreak/>
        <w:t>commercial use</w:t>
      </w:r>
      <w:r w:rsidRPr="00C96F1E">
        <w:rPr>
          <w:rFonts w:cs="Helvetica"/>
        </w:rPr>
        <w:t>, of electricity, means the electricity is consumed on premises used for conducting a business or for conducting the activities of a public benevolent institution (PBI) tariff customer.</w:t>
      </w:r>
    </w:p>
    <w:p w:rsidR="00E41803" w:rsidRPr="00C96F1E" w:rsidRDefault="00E41803" w:rsidP="00E41803">
      <w:pPr>
        <w:tabs>
          <w:tab w:val="left" w:pos="-720"/>
        </w:tabs>
        <w:spacing w:after="120"/>
        <w:ind w:left="720" w:hanging="11"/>
        <w:jc w:val="both"/>
        <w:rPr>
          <w:rFonts w:cs="Helvetica"/>
        </w:rPr>
      </w:pPr>
      <w:r w:rsidRPr="00C96F1E">
        <w:rPr>
          <w:rFonts w:cs="Helvetica"/>
          <w:b/>
          <w:i/>
        </w:rPr>
        <w:t>domestic pre-payment meter tariff customer</w:t>
      </w:r>
      <w:r w:rsidRPr="00C96F1E">
        <w:rPr>
          <w:rFonts w:cs="Helvetica"/>
        </w:rPr>
        <w:t xml:space="preserve"> means a prescribed customer who purchases electricity that is:</w:t>
      </w:r>
    </w:p>
    <w:p w:rsidR="00E41803" w:rsidRPr="00C96F1E" w:rsidRDefault="00E41803" w:rsidP="00E41803">
      <w:pPr>
        <w:tabs>
          <w:tab w:val="left" w:pos="1260"/>
        </w:tabs>
        <w:spacing w:after="120"/>
        <w:ind w:left="1260" w:hanging="540"/>
        <w:jc w:val="both"/>
        <w:rPr>
          <w:rFonts w:cs="Helvetica"/>
        </w:rPr>
      </w:pPr>
      <w:r w:rsidRPr="00C96F1E">
        <w:rPr>
          <w:rFonts w:cs="Helvetica"/>
        </w:rPr>
        <w:t>(a)</w:t>
      </w:r>
      <w:r w:rsidRPr="00C96F1E">
        <w:rPr>
          <w:rFonts w:cs="Helvetica"/>
        </w:rPr>
        <w:tab/>
        <w:t>primarily for domestic use; and</w:t>
      </w:r>
    </w:p>
    <w:p w:rsidR="00E41803" w:rsidRPr="00C96F1E" w:rsidRDefault="00E41803" w:rsidP="00E41803">
      <w:pPr>
        <w:tabs>
          <w:tab w:val="left" w:pos="1260"/>
        </w:tabs>
        <w:spacing w:after="120"/>
        <w:ind w:left="1260" w:hanging="540"/>
        <w:jc w:val="both"/>
        <w:rPr>
          <w:rFonts w:cs="Helvetica"/>
        </w:rPr>
      </w:pPr>
      <w:r w:rsidRPr="00C96F1E">
        <w:rPr>
          <w:rFonts w:cs="Helvetica"/>
        </w:rPr>
        <w:t>(b)</w:t>
      </w:r>
      <w:r w:rsidRPr="00C96F1E">
        <w:rPr>
          <w:rFonts w:cs="Helvetica"/>
        </w:rPr>
        <w:tab/>
        <w:t>supplied through a  pre-payment meter.</w:t>
      </w:r>
    </w:p>
    <w:p w:rsidR="00E41803" w:rsidRPr="00C96F1E" w:rsidRDefault="00E41803" w:rsidP="00E41803">
      <w:pPr>
        <w:tabs>
          <w:tab w:val="left" w:pos="-720"/>
        </w:tabs>
        <w:spacing w:after="120"/>
        <w:ind w:left="720" w:hanging="11"/>
        <w:jc w:val="both"/>
        <w:rPr>
          <w:rFonts w:cs="Helvetica"/>
        </w:rPr>
      </w:pPr>
      <w:r w:rsidRPr="00C96F1E">
        <w:rPr>
          <w:rFonts w:cs="Helvetica"/>
          <w:b/>
          <w:i/>
        </w:rPr>
        <w:t xml:space="preserve">domestic – standard tariff customer </w:t>
      </w:r>
      <w:r w:rsidRPr="00C96F1E">
        <w:rPr>
          <w:rFonts w:cs="Helvetica"/>
        </w:rPr>
        <w:t>means a prescribed customer who:</w:t>
      </w:r>
    </w:p>
    <w:p w:rsidR="00E41803" w:rsidRPr="00C96F1E" w:rsidRDefault="00E41803" w:rsidP="00E41803">
      <w:pPr>
        <w:tabs>
          <w:tab w:val="left" w:pos="1260"/>
        </w:tabs>
        <w:spacing w:after="120"/>
        <w:ind w:left="1260" w:hanging="540"/>
        <w:jc w:val="both"/>
        <w:rPr>
          <w:rFonts w:cs="Helvetica"/>
        </w:rPr>
      </w:pPr>
      <w:r w:rsidRPr="00C96F1E">
        <w:rPr>
          <w:rFonts w:cs="Helvetica"/>
        </w:rPr>
        <w:t>(a)</w:t>
      </w:r>
      <w:r w:rsidRPr="00C96F1E">
        <w:rPr>
          <w:rFonts w:cs="Helvetica"/>
        </w:rPr>
        <w:tab/>
        <w:t>purchases electricity primarily for domestic use; and</w:t>
      </w:r>
    </w:p>
    <w:p w:rsidR="00E41803" w:rsidRPr="00C96F1E" w:rsidRDefault="00E41803" w:rsidP="00E41803">
      <w:pPr>
        <w:tabs>
          <w:tab w:val="left" w:pos="1260"/>
        </w:tabs>
        <w:spacing w:after="120"/>
        <w:ind w:left="1260" w:hanging="540"/>
        <w:jc w:val="both"/>
        <w:rPr>
          <w:rFonts w:cs="Helvetica"/>
        </w:rPr>
      </w:pPr>
      <w:r w:rsidRPr="00C96F1E">
        <w:rPr>
          <w:rFonts w:cs="Helvetica"/>
        </w:rPr>
        <w:t>(b)</w:t>
      </w:r>
      <w:r w:rsidRPr="00C96F1E">
        <w:rPr>
          <w:rFonts w:cs="Helvetica"/>
        </w:rPr>
        <w:tab/>
        <w:t>does not purchase the electricity through a pre-payment meter; and</w:t>
      </w:r>
    </w:p>
    <w:p w:rsidR="00E41803" w:rsidRPr="00C96F1E" w:rsidRDefault="00E41803" w:rsidP="00E41803">
      <w:pPr>
        <w:tabs>
          <w:tab w:val="left" w:pos="1260"/>
        </w:tabs>
        <w:spacing w:after="120"/>
        <w:ind w:left="1260" w:hanging="540"/>
        <w:jc w:val="both"/>
        <w:rPr>
          <w:rFonts w:cs="Helvetica"/>
        </w:rPr>
      </w:pPr>
      <w:r w:rsidRPr="00C96F1E">
        <w:rPr>
          <w:rFonts w:cs="Helvetica"/>
        </w:rPr>
        <w:t>(c)</w:t>
      </w:r>
      <w:r w:rsidRPr="00C96F1E">
        <w:rPr>
          <w:rFonts w:cs="Helvetica"/>
        </w:rPr>
        <w:tab/>
        <w:t>does not elect to pay the domestic – time of use tariff; and</w:t>
      </w:r>
    </w:p>
    <w:p w:rsidR="00E41803" w:rsidRPr="00C96F1E" w:rsidRDefault="00E41803" w:rsidP="00E41803">
      <w:pPr>
        <w:tabs>
          <w:tab w:val="left" w:pos="1260"/>
        </w:tabs>
        <w:spacing w:after="120"/>
        <w:ind w:left="1260" w:hanging="540"/>
        <w:jc w:val="both"/>
        <w:rPr>
          <w:rFonts w:cs="Helvetica"/>
        </w:rPr>
      </w:pPr>
      <w:r w:rsidRPr="00C96F1E">
        <w:rPr>
          <w:rFonts w:cs="Helvetica"/>
        </w:rPr>
        <w:t>(d)</w:t>
      </w:r>
      <w:r w:rsidRPr="00C96F1E">
        <w:rPr>
          <w:rFonts w:cs="Helvetica"/>
        </w:rPr>
        <w:tab/>
        <w:t>is not a multipurpose tariff customer.</w:t>
      </w:r>
    </w:p>
    <w:p w:rsidR="00E41803" w:rsidRPr="00C96F1E" w:rsidRDefault="00E41803" w:rsidP="00E41803">
      <w:pPr>
        <w:tabs>
          <w:tab w:val="left" w:pos="-720"/>
        </w:tabs>
        <w:spacing w:after="120"/>
        <w:ind w:left="720" w:hanging="11"/>
        <w:jc w:val="both"/>
        <w:rPr>
          <w:rFonts w:cs="Helvetica"/>
        </w:rPr>
      </w:pPr>
      <w:r w:rsidRPr="00C96F1E">
        <w:rPr>
          <w:rFonts w:cs="Helvetica"/>
          <w:b/>
          <w:i/>
        </w:rPr>
        <w:t>domestic – time of use tariff customer</w:t>
      </w:r>
      <w:r w:rsidRPr="00C96F1E">
        <w:rPr>
          <w:rFonts w:cs="Helvetica"/>
        </w:rPr>
        <w:t xml:space="preserve"> means a prescribed customer who:</w:t>
      </w:r>
    </w:p>
    <w:p w:rsidR="00E41803" w:rsidRPr="00C96F1E" w:rsidRDefault="00E41803" w:rsidP="00E41803">
      <w:pPr>
        <w:tabs>
          <w:tab w:val="left" w:pos="1260"/>
        </w:tabs>
        <w:spacing w:after="120"/>
        <w:ind w:left="1260" w:hanging="540"/>
        <w:jc w:val="both"/>
        <w:rPr>
          <w:rFonts w:cs="Helvetica"/>
        </w:rPr>
      </w:pPr>
      <w:r w:rsidRPr="00C96F1E">
        <w:rPr>
          <w:rFonts w:cs="Helvetica"/>
        </w:rPr>
        <w:t>(a)</w:t>
      </w:r>
      <w:r w:rsidRPr="00C96F1E">
        <w:rPr>
          <w:rFonts w:cs="Helvetica"/>
        </w:rPr>
        <w:tab/>
        <w:t>purchases electricity primarily for domestic use; and</w:t>
      </w:r>
    </w:p>
    <w:p w:rsidR="00E41803" w:rsidRPr="00C96F1E" w:rsidRDefault="00E41803" w:rsidP="00E41803">
      <w:pPr>
        <w:tabs>
          <w:tab w:val="left" w:pos="1260"/>
        </w:tabs>
        <w:spacing w:after="120"/>
        <w:ind w:left="1260" w:hanging="540"/>
        <w:jc w:val="both"/>
        <w:rPr>
          <w:rFonts w:cs="Helvetica"/>
        </w:rPr>
      </w:pPr>
      <w:r w:rsidRPr="00C96F1E">
        <w:rPr>
          <w:rFonts w:cs="Helvetica"/>
        </w:rPr>
        <w:t>(b)</w:t>
      </w:r>
      <w:r w:rsidRPr="00C96F1E">
        <w:rPr>
          <w:rFonts w:cs="Helvetica"/>
        </w:rPr>
        <w:tab/>
        <w:t>elects to pay the domestic – time of use tariff for a period of not less than 12 months; and</w:t>
      </w:r>
    </w:p>
    <w:p w:rsidR="00E41803" w:rsidRPr="00C96F1E" w:rsidRDefault="00E41803" w:rsidP="00E41803">
      <w:pPr>
        <w:tabs>
          <w:tab w:val="left" w:pos="1260"/>
        </w:tabs>
        <w:spacing w:after="120"/>
        <w:ind w:left="1260" w:hanging="540"/>
        <w:jc w:val="both"/>
        <w:rPr>
          <w:rFonts w:cs="Helvetica"/>
        </w:rPr>
      </w:pPr>
      <w:r w:rsidRPr="00C96F1E">
        <w:rPr>
          <w:rFonts w:cs="Helvetica"/>
        </w:rPr>
        <w:t>(c)</w:t>
      </w:r>
      <w:r w:rsidRPr="00C96F1E">
        <w:rPr>
          <w:rFonts w:cs="Helvetica"/>
        </w:rPr>
        <w:tab/>
        <w:t>agrees to pay for any associated meter upgrade costs; and</w:t>
      </w:r>
    </w:p>
    <w:p w:rsidR="00E41803" w:rsidRPr="00C96F1E" w:rsidRDefault="00E41803" w:rsidP="00E41803">
      <w:pPr>
        <w:tabs>
          <w:tab w:val="left" w:pos="1260"/>
        </w:tabs>
        <w:spacing w:after="120"/>
        <w:ind w:left="1260" w:hanging="540"/>
        <w:jc w:val="both"/>
        <w:rPr>
          <w:rFonts w:cs="Helvetica"/>
        </w:rPr>
      </w:pPr>
      <w:r w:rsidRPr="00C96F1E">
        <w:rPr>
          <w:rFonts w:cs="Helvetica"/>
        </w:rPr>
        <w:t>(d)</w:t>
      </w:r>
      <w:r w:rsidRPr="00C96F1E">
        <w:rPr>
          <w:rFonts w:cs="Helvetica"/>
        </w:rPr>
        <w:tab/>
        <w:t>is not a multipurpose tariff customer.</w:t>
      </w:r>
    </w:p>
    <w:p w:rsidR="00E41803" w:rsidRPr="00C96F1E" w:rsidRDefault="00E41803" w:rsidP="00E41803">
      <w:pPr>
        <w:tabs>
          <w:tab w:val="left" w:pos="-720"/>
        </w:tabs>
        <w:spacing w:after="120"/>
        <w:ind w:left="720" w:hanging="11"/>
        <w:jc w:val="both"/>
        <w:rPr>
          <w:rFonts w:cs="Helvetica"/>
        </w:rPr>
      </w:pPr>
      <w:r w:rsidRPr="00C96F1E">
        <w:rPr>
          <w:rFonts w:cs="Helvetica"/>
          <w:b/>
          <w:i/>
        </w:rPr>
        <w:t>domestic use</w:t>
      </w:r>
      <w:r w:rsidRPr="00C96F1E">
        <w:rPr>
          <w:rFonts w:cs="Helvetica"/>
        </w:rPr>
        <w:t>, of electricity, means the electricity is consumed for domestic purposes on residential premises.</w:t>
      </w:r>
    </w:p>
    <w:p w:rsidR="00E41803" w:rsidRPr="00C96F1E" w:rsidRDefault="00E41803" w:rsidP="00E41803">
      <w:pPr>
        <w:tabs>
          <w:tab w:val="left" w:pos="-720"/>
        </w:tabs>
        <w:spacing w:after="120"/>
        <w:ind w:left="720" w:hanging="11"/>
        <w:jc w:val="both"/>
        <w:rPr>
          <w:rFonts w:cs="Helvetica"/>
        </w:rPr>
      </w:pPr>
      <w:r w:rsidRPr="00C96F1E">
        <w:rPr>
          <w:rFonts w:cs="Helvetica"/>
          <w:b/>
          <w:i/>
        </w:rPr>
        <w:t>general non-metered installation customer</w:t>
      </w:r>
      <w:r w:rsidRPr="00C96F1E">
        <w:rPr>
          <w:rFonts w:cs="Helvetica"/>
        </w:rPr>
        <w:t xml:space="preserve"> means a prescribed customer who purchases electricity for the non-metered supply of electricity to an electrical installation other than for street lighting.</w:t>
      </w:r>
    </w:p>
    <w:p w:rsidR="00E41803" w:rsidRPr="00C96F1E" w:rsidRDefault="00E41803" w:rsidP="00E41803">
      <w:pPr>
        <w:tabs>
          <w:tab w:val="left" w:pos="-720"/>
        </w:tabs>
        <w:spacing w:after="120"/>
        <w:ind w:left="720" w:hanging="11"/>
        <w:jc w:val="both"/>
        <w:rPr>
          <w:rFonts w:cs="Helvetica"/>
        </w:rPr>
      </w:pPr>
      <w:r w:rsidRPr="00C96F1E">
        <w:rPr>
          <w:rFonts w:cs="Helvetica"/>
          <w:b/>
          <w:i/>
        </w:rPr>
        <w:t>kWh</w:t>
      </w:r>
      <w:r w:rsidRPr="00C96F1E">
        <w:rPr>
          <w:rFonts w:cs="Helvetica"/>
        </w:rPr>
        <w:t xml:space="preserve"> means kilowatt hours.</w:t>
      </w:r>
    </w:p>
    <w:p w:rsidR="00E41803" w:rsidRPr="00C96F1E" w:rsidRDefault="00E41803" w:rsidP="00E41803">
      <w:pPr>
        <w:tabs>
          <w:tab w:val="left" w:pos="-720"/>
        </w:tabs>
        <w:spacing w:after="120"/>
        <w:ind w:left="720" w:hanging="11"/>
        <w:jc w:val="both"/>
        <w:rPr>
          <w:rFonts w:cs="Helvetica"/>
        </w:rPr>
      </w:pPr>
      <w:r w:rsidRPr="00C96F1E">
        <w:rPr>
          <w:rFonts w:cs="Helvetica"/>
          <w:b/>
          <w:i/>
        </w:rPr>
        <w:t xml:space="preserve">multipurpose tariff customer </w:t>
      </w:r>
      <w:r w:rsidRPr="00C96F1E">
        <w:rPr>
          <w:rFonts w:cs="Helvetica"/>
        </w:rPr>
        <w:t xml:space="preserve">means a prescribed customer who: </w:t>
      </w:r>
    </w:p>
    <w:p w:rsidR="00E41803" w:rsidRPr="00C96F1E" w:rsidRDefault="00E41803" w:rsidP="00E41803">
      <w:pPr>
        <w:tabs>
          <w:tab w:val="left" w:pos="1260"/>
        </w:tabs>
        <w:spacing w:after="120"/>
        <w:ind w:left="1260" w:hanging="540"/>
        <w:jc w:val="both"/>
        <w:rPr>
          <w:rFonts w:cs="Helvetica"/>
        </w:rPr>
      </w:pPr>
      <w:r w:rsidRPr="00C96F1E">
        <w:rPr>
          <w:rFonts w:cs="Helvetica"/>
        </w:rPr>
        <w:t>(a)</w:t>
      </w:r>
      <w:r w:rsidRPr="00C96F1E">
        <w:rPr>
          <w:rFonts w:cs="Helvetica"/>
        </w:rPr>
        <w:tab/>
        <w:t>purchases electricity in excess of 16 425 kWh per annum for multipurpose use; and</w:t>
      </w:r>
    </w:p>
    <w:p w:rsidR="00E41803" w:rsidRPr="00C96F1E" w:rsidRDefault="00E41803" w:rsidP="00E41803">
      <w:pPr>
        <w:tabs>
          <w:tab w:val="left" w:pos="1260"/>
        </w:tabs>
        <w:spacing w:after="120"/>
        <w:ind w:left="1260" w:hanging="540"/>
        <w:jc w:val="both"/>
        <w:rPr>
          <w:rFonts w:cs="Helvetica"/>
        </w:rPr>
      </w:pPr>
      <w:r w:rsidRPr="00C96F1E">
        <w:rPr>
          <w:rFonts w:cs="Helvetica"/>
        </w:rPr>
        <w:t>(b)</w:t>
      </w:r>
      <w:r w:rsidRPr="00C96F1E">
        <w:rPr>
          <w:rFonts w:cs="Helvetica"/>
        </w:rPr>
        <w:tab/>
        <w:t>does not purchase the electricity through a pre-payment meter.</w:t>
      </w:r>
    </w:p>
    <w:p w:rsidR="00E41803" w:rsidRPr="00C96F1E" w:rsidRDefault="00E41803" w:rsidP="00E41803">
      <w:pPr>
        <w:tabs>
          <w:tab w:val="left" w:pos="-720"/>
        </w:tabs>
        <w:spacing w:after="120"/>
        <w:ind w:left="720" w:hanging="11"/>
        <w:jc w:val="both"/>
        <w:rPr>
          <w:rFonts w:cs="Helvetica"/>
        </w:rPr>
      </w:pPr>
      <w:r w:rsidRPr="00C96F1E">
        <w:rPr>
          <w:rFonts w:cs="Helvetica"/>
          <w:b/>
          <w:i/>
        </w:rPr>
        <w:t>multipurpose use</w:t>
      </w:r>
      <w:r w:rsidRPr="00C96F1E">
        <w:rPr>
          <w:rFonts w:cs="Helvetica"/>
        </w:rPr>
        <w:t xml:space="preserve">, of electricity, means the electricity is consumed for both: </w:t>
      </w:r>
    </w:p>
    <w:p w:rsidR="00E41803" w:rsidRPr="00C96F1E" w:rsidRDefault="00E41803" w:rsidP="00E41803">
      <w:pPr>
        <w:tabs>
          <w:tab w:val="left" w:pos="1260"/>
        </w:tabs>
        <w:spacing w:after="120"/>
        <w:ind w:left="1260" w:hanging="540"/>
        <w:jc w:val="both"/>
        <w:rPr>
          <w:rFonts w:cs="Helvetica"/>
        </w:rPr>
      </w:pPr>
      <w:r w:rsidRPr="00C96F1E">
        <w:rPr>
          <w:rFonts w:cs="Helvetica"/>
        </w:rPr>
        <w:t>(a)</w:t>
      </w:r>
      <w:r w:rsidRPr="00C96F1E">
        <w:rPr>
          <w:rFonts w:cs="Helvetica"/>
        </w:rPr>
        <w:tab/>
        <w:t>domestic purposes on residential premises; and</w:t>
      </w:r>
    </w:p>
    <w:p w:rsidR="00E41803" w:rsidRPr="00C96F1E" w:rsidRDefault="00E41803" w:rsidP="00E41803">
      <w:pPr>
        <w:tabs>
          <w:tab w:val="left" w:pos="1260"/>
        </w:tabs>
        <w:spacing w:after="120"/>
        <w:ind w:left="1260" w:hanging="540"/>
        <w:jc w:val="both"/>
        <w:rPr>
          <w:rFonts w:cs="Helvetica"/>
        </w:rPr>
      </w:pPr>
      <w:r w:rsidRPr="00C96F1E">
        <w:rPr>
          <w:rFonts w:cs="Helvetica"/>
        </w:rPr>
        <w:t>(b)</w:t>
      </w:r>
      <w:r w:rsidRPr="00C96F1E">
        <w:rPr>
          <w:rFonts w:cs="Helvetica"/>
        </w:rPr>
        <w:tab/>
        <w:t>conducting a business on the residential premises or the land on which the premises are located (for example, for agricultural purposes).</w:t>
      </w:r>
    </w:p>
    <w:p w:rsidR="00E41803" w:rsidRPr="00C96F1E" w:rsidRDefault="00E41803" w:rsidP="00E41803">
      <w:pPr>
        <w:tabs>
          <w:tab w:val="left" w:pos="-720"/>
        </w:tabs>
        <w:spacing w:before="240" w:after="120"/>
        <w:ind w:left="720" w:hanging="11"/>
        <w:jc w:val="both"/>
        <w:rPr>
          <w:rFonts w:cs="Helvetica"/>
        </w:rPr>
      </w:pPr>
      <w:r w:rsidRPr="00C96F1E">
        <w:rPr>
          <w:rFonts w:cs="Helvetica"/>
          <w:b/>
          <w:i/>
        </w:rPr>
        <w:t>prescribed customers</w:t>
      </w:r>
      <w:r w:rsidRPr="00C96F1E">
        <w:rPr>
          <w:rFonts w:cs="Helvetica"/>
        </w:rPr>
        <w:t xml:space="preserve">, means customers of the class prescribed by regulation 13A(d) of the </w:t>
      </w:r>
      <w:r w:rsidRPr="00C96F1E">
        <w:rPr>
          <w:rFonts w:cs="Helvetica"/>
          <w:i/>
        </w:rPr>
        <w:t>Electricity Reform (Administration) Regulations</w:t>
      </w:r>
      <w:r w:rsidRPr="00C96F1E">
        <w:rPr>
          <w:rFonts w:cs="Helvetica"/>
        </w:rPr>
        <w:t>.</w:t>
      </w:r>
    </w:p>
    <w:p w:rsidR="00E41803" w:rsidRPr="00C96F1E" w:rsidRDefault="00E41803" w:rsidP="00E41803">
      <w:pPr>
        <w:tabs>
          <w:tab w:val="left" w:pos="-720"/>
        </w:tabs>
        <w:spacing w:before="240" w:after="120"/>
        <w:ind w:left="720" w:hanging="11"/>
        <w:jc w:val="both"/>
        <w:rPr>
          <w:rFonts w:cs="Helvetica"/>
        </w:rPr>
      </w:pPr>
      <w:r w:rsidRPr="00C96F1E">
        <w:rPr>
          <w:rFonts w:cs="Helvetica"/>
          <w:b/>
          <w:i/>
        </w:rPr>
        <w:t xml:space="preserve">pricing period </w:t>
      </w:r>
      <w:r w:rsidRPr="00C96F1E">
        <w:rPr>
          <w:rFonts w:cs="Helvetica"/>
        </w:rPr>
        <w:t>means 1 July 201</w:t>
      </w:r>
      <w:r>
        <w:rPr>
          <w:rFonts w:cs="Helvetica"/>
        </w:rPr>
        <w:t>8 to 30 June 2019</w:t>
      </w:r>
      <w:r w:rsidRPr="00C96F1E">
        <w:rPr>
          <w:rFonts w:cs="Helvetica"/>
        </w:rPr>
        <w:t>.</w:t>
      </w:r>
    </w:p>
    <w:p w:rsidR="00E41803" w:rsidRPr="00C96F1E" w:rsidRDefault="00E41803" w:rsidP="00E41803">
      <w:pPr>
        <w:tabs>
          <w:tab w:val="left" w:pos="-720"/>
        </w:tabs>
        <w:spacing w:before="240" w:after="120"/>
        <w:ind w:left="720" w:hanging="11"/>
        <w:jc w:val="both"/>
        <w:rPr>
          <w:rFonts w:cs="Helvetica"/>
        </w:rPr>
      </w:pPr>
      <w:r w:rsidRPr="00C96F1E">
        <w:rPr>
          <w:rFonts w:cs="Helvetica"/>
          <w:b/>
          <w:i/>
        </w:rPr>
        <w:lastRenderedPageBreak/>
        <w:t>public benevolent institution (PBI) tariff customer</w:t>
      </w:r>
      <w:r w:rsidRPr="00C96F1E">
        <w:rPr>
          <w:rFonts w:cs="Helvetica"/>
        </w:rPr>
        <w:t xml:space="preserve"> means a prescribed customer that is an organisation registered with the Australian Charities and Not-for-profits Commission (ACNC).</w:t>
      </w:r>
    </w:p>
    <w:p w:rsidR="00E41803" w:rsidRPr="00C96F1E" w:rsidRDefault="00E41803" w:rsidP="00E41803">
      <w:pPr>
        <w:tabs>
          <w:tab w:val="left" w:pos="-720"/>
        </w:tabs>
        <w:spacing w:before="240" w:after="120"/>
        <w:ind w:left="720" w:hanging="11"/>
        <w:jc w:val="both"/>
        <w:rPr>
          <w:rFonts w:cs="Helvetica"/>
        </w:rPr>
      </w:pPr>
      <w:r w:rsidRPr="00C96F1E">
        <w:rPr>
          <w:rFonts w:cs="Helvetica"/>
          <w:b/>
          <w:i/>
        </w:rPr>
        <w:t xml:space="preserve">residential premises </w:t>
      </w:r>
      <w:r w:rsidRPr="00C96F1E">
        <w:rPr>
          <w:rFonts w:cs="Helvetica"/>
        </w:rPr>
        <w:t>does not include:</w:t>
      </w:r>
    </w:p>
    <w:p w:rsidR="00E41803" w:rsidRPr="00C96F1E" w:rsidRDefault="00E41803" w:rsidP="00E41803">
      <w:pPr>
        <w:tabs>
          <w:tab w:val="left" w:pos="1260"/>
        </w:tabs>
        <w:spacing w:after="120"/>
        <w:ind w:left="1260" w:hanging="540"/>
        <w:jc w:val="both"/>
        <w:rPr>
          <w:rFonts w:cs="Helvetica"/>
        </w:rPr>
      </w:pPr>
      <w:r w:rsidRPr="00C96F1E">
        <w:rPr>
          <w:rFonts w:cs="Helvetica"/>
        </w:rPr>
        <w:t>(a)</w:t>
      </w:r>
      <w:r w:rsidRPr="00C96F1E">
        <w:rPr>
          <w:rFonts w:cs="Helvetica"/>
        </w:rPr>
        <w:tab/>
        <w:t>a hostel, motel, hotel, guest house or caravan park; or</w:t>
      </w:r>
    </w:p>
    <w:p w:rsidR="00E41803" w:rsidRPr="00C96F1E" w:rsidRDefault="00E41803" w:rsidP="00E41803">
      <w:pPr>
        <w:tabs>
          <w:tab w:val="left" w:pos="1260"/>
        </w:tabs>
        <w:spacing w:after="120"/>
        <w:ind w:left="1260" w:hanging="540"/>
        <w:jc w:val="both"/>
        <w:rPr>
          <w:rFonts w:cs="Helvetica"/>
        </w:rPr>
      </w:pPr>
      <w:r w:rsidRPr="00C96F1E">
        <w:rPr>
          <w:rFonts w:cs="Helvetica"/>
        </w:rPr>
        <w:t>(b)</w:t>
      </w:r>
      <w:r w:rsidRPr="00C96F1E">
        <w:rPr>
          <w:rFonts w:cs="Helvetica"/>
        </w:rPr>
        <w:tab/>
        <w:t>premises on which a caretaker resides and is otherwise used for non-residential purposes.</w:t>
      </w:r>
    </w:p>
    <w:p w:rsidR="00E41803" w:rsidRPr="00C96F1E" w:rsidRDefault="00E41803" w:rsidP="00E41803">
      <w:pPr>
        <w:tabs>
          <w:tab w:val="left" w:pos="-720"/>
        </w:tabs>
        <w:spacing w:before="240" w:after="120"/>
        <w:ind w:left="720" w:hanging="11"/>
        <w:jc w:val="both"/>
        <w:rPr>
          <w:rFonts w:cs="Helvetica"/>
        </w:rPr>
      </w:pPr>
      <w:r w:rsidRPr="00C96F1E">
        <w:rPr>
          <w:rFonts w:cs="Helvetica"/>
          <w:b/>
          <w:i/>
        </w:rPr>
        <w:t xml:space="preserve">street lighting customer </w:t>
      </w:r>
      <w:r w:rsidRPr="00C96F1E">
        <w:rPr>
          <w:rFonts w:cs="Helvetica"/>
        </w:rPr>
        <w:t>means a prescribed customer who purchases electricity for the non-metered supply of electricity to an electrical installation that provides street lighting, including public lighting.</w:t>
      </w:r>
    </w:p>
    <w:p w:rsidR="00E41803" w:rsidRPr="00C96F1E" w:rsidRDefault="00E41803" w:rsidP="00B40625">
      <w:pPr>
        <w:widowControl w:val="0"/>
        <w:tabs>
          <w:tab w:val="left" w:pos="-720"/>
        </w:tabs>
        <w:spacing w:before="240" w:after="120"/>
        <w:ind w:left="720" w:hanging="720"/>
        <w:jc w:val="both"/>
        <w:rPr>
          <w:rFonts w:cs="Helvetica"/>
          <w:b/>
        </w:rPr>
      </w:pPr>
      <w:r w:rsidRPr="00C96F1E">
        <w:rPr>
          <w:rFonts w:cs="Helvetica"/>
          <w:b/>
        </w:rPr>
        <w:t>2</w:t>
      </w:r>
      <w:r w:rsidRPr="00C96F1E">
        <w:rPr>
          <w:rFonts w:cs="Helvetica"/>
          <w:b/>
        </w:rPr>
        <w:tab/>
        <w:t>Regulation of retail prices during pricing period</w:t>
      </w:r>
    </w:p>
    <w:p w:rsidR="00E41803" w:rsidRPr="00C96F1E" w:rsidRDefault="00E41803" w:rsidP="00E41803">
      <w:pPr>
        <w:tabs>
          <w:tab w:val="left" w:pos="-720"/>
        </w:tabs>
        <w:spacing w:after="120"/>
        <w:ind w:left="720" w:hanging="720"/>
        <w:jc w:val="both"/>
        <w:rPr>
          <w:rFonts w:cs="Helvetica"/>
        </w:rPr>
      </w:pPr>
      <w:r w:rsidRPr="00C96F1E">
        <w:rPr>
          <w:rFonts w:cs="Helvetica"/>
        </w:rPr>
        <w:t>(1)</w:t>
      </w:r>
      <w:r w:rsidRPr="00C96F1E">
        <w:rPr>
          <w:rFonts w:cs="Helvetica"/>
        </w:rPr>
        <w:tab/>
        <w:t>This electricity pricing order regulates the retail prices (inclusive of GST) a billing entity may charge prescribed customers for the sale of electricity, and for the provision of related services, during the pricing period.</w:t>
      </w:r>
    </w:p>
    <w:p w:rsidR="00E41803" w:rsidRPr="00C96F1E" w:rsidRDefault="00E41803" w:rsidP="00E41803">
      <w:pPr>
        <w:keepNext/>
        <w:tabs>
          <w:tab w:val="left" w:pos="-720"/>
        </w:tabs>
        <w:spacing w:after="120"/>
        <w:ind w:left="720" w:hanging="720"/>
        <w:jc w:val="both"/>
        <w:rPr>
          <w:rFonts w:cs="Helvetica"/>
        </w:rPr>
      </w:pPr>
      <w:r w:rsidRPr="00C96F1E">
        <w:rPr>
          <w:rFonts w:cs="Helvetica"/>
        </w:rPr>
        <w:t>(2)</w:t>
      </w:r>
      <w:r w:rsidRPr="00C96F1E">
        <w:rPr>
          <w:rFonts w:cs="Helvetica"/>
        </w:rPr>
        <w:tab/>
        <w:t>For subclause (1):</w:t>
      </w:r>
    </w:p>
    <w:p w:rsidR="00E41803" w:rsidRPr="00C96F1E" w:rsidRDefault="00E41803" w:rsidP="00E41803">
      <w:pPr>
        <w:tabs>
          <w:tab w:val="left" w:pos="-720"/>
        </w:tabs>
        <w:spacing w:after="120"/>
        <w:ind w:left="1440" w:hanging="731"/>
        <w:jc w:val="both"/>
        <w:rPr>
          <w:rFonts w:cs="Helvetica"/>
        </w:rPr>
      </w:pPr>
      <w:r w:rsidRPr="00C96F1E">
        <w:rPr>
          <w:rFonts w:cs="Helvetica"/>
        </w:rPr>
        <w:t>(a)</w:t>
      </w:r>
      <w:r w:rsidRPr="00C96F1E">
        <w:rPr>
          <w:rFonts w:cs="Helvetica"/>
        </w:rPr>
        <w:tab/>
        <w:t>related services are the services the billing entity provides to prescribed customers that are ancillary to supplying electricity to the customers; and</w:t>
      </w:r>
    </w:p>
    <w:p w:rsidR="00E41803" w:rsidRPr="00C96F1E" w:rsidRDefault="00E41803" w:rsidP="00E41803">
      <w:pPr>
        <w:tabs>
          <w:tab w:val="left" w:pos="-720"/>
        </w:tabs>
        <w:spacing w:after="240"/>
        <w:ind w:left="1440" w:hanging="731"/>
        <w:jc w:val="both"/>
        <w:rPr>
          <w:rFonts w:cs="Helvetica"/>
        </w:rPr>
      </w:pPr>
      <w:r w:rsidRPr="00C96F1E">
        <w:rPr>
          <w:rFonts w:cs="Helvetica"/>
        </w:rPr>
        <w:t>(b)</w:t>
      </w:r>
      <w:r w:rsidRPr="00C96F1E">
        <w:rPr>
          <w:rFonts w:cs="Helvetica"/>
        </w:rPr>
        <w:tab/>
        <w:t>the billing entity may charge retail prices for related services that are fair and reasonable taking into consideration the costs of supplying the electricity.</w:t>
      </w:r>
    </w:p>
    <w:p w:rsidR="00E41803" w:rsidRPr="00C96F1E" w:rsidRDefault="00B40625" w:rsidP="000D141D">
      <w:pPr>
        <w:tabs>
          <w:tab w:val="left" w:pos="-720"/>
        </w:tabs>
        <w:spacing w:before="240" w:after="120"/>
        <w:rPr>
          <w:rFonts w:cs="Helvetica"/>
          <w:b/>
          <w:spacing w:val="-3"/>
        </w:rPr>
      </w:pPr>
      <w:r w:rsidRPr="00C96F1E">
        <w:rPr>
          <w:rFonts w:cs="Helvetica"/>
          <w:b/>
        </w:rPr>
        <w:t>Part</w:t>
      </w:r>
      <w:r w:rsidRPr="00C96F1E">
        <w:rPr>
          <w:rFonts w:cs="Helvetica"/>
          <w:b/>
          <w:spacing w:val="-3"/>
        </w:rPr>
        <w:t xml:space="preserve"> 2 – </w:t>
      </w:r>
      <w:r w:rsidRPr="00C96F1E">
        <w:rPr>
          <w:rFonts w:cs="Helvetica"/>
          <w:b/>
        </w:rPr>
        <w:t>General Supply</w:t>
      </w:r>
    </w:p>
    <w:p w:rsidR="00E41803" w:rsidRPr="00C96F1E" w:rsidRDefault="00E41803" w:rsidP="00E41803">
      <w:pPr>
        <w:keepNext/>
        <w:spacing w:before="240" w:after="120"/>
        <w:jc w:val="both"/>
        <w:rPr>
          <w:rFonts w:cs="Helvetica"/>
          <w:b/>
        </w:rPr>
      </w:pPr>
      <w:r w:rsidRPr="00C96F1E">
        <w:rPr>
          <w:rFonts w:cs="Helvetica"/>
          <w:b/>
        </w:rPr>
        <w:t>3</w:t>
      </w:r>
      <w:r w:rsidRPr="00C96F1E">
        <w:rPr>
          <w:rFonts w:cs="Helvetica"/>
          <w:b/>
        </w:rPr>
        <w:tab/>
        <w:t>Application of Part</w:t>
      </w:r>
    </w:p>
    <w:p w:rsidR="00E41803" w:rsidRPr="00C96F1E" w:rsidRDefault="00E41803" w:rsidP="00E41803">
      <w:pPr>
        <w:keepNext/>
        <w:spacing w:before="240" w:after="120"/>
        <w:jc w:val="both"/>
        <w:rPr>
          <w:rFonts w:cs="Helvetica"/>
        </w:rPr>
      </w:pPr>
      <w:r w:rsidRPr="00C96F1E">
        <w:rPr>
          <w:rFonts w:cs="Helvetica"/>
        </w:rPr>
        <w:t>(1)</w:t>
      </w:r>
      <w:r w:rsidRPr="00C96F1E">
        <w:rPr>
          <w:rFonts w:cs="Helvetica"/>
        </w:rPr>
        <w:tab/>
        <w:t>This Part applies in relation to the following prescribed customers:</w:t>
      </w:r>
    </w:p>
    <w:p w:rsidR="00E41803" w:rsidRPr="00C96F1E" w:rsidRDefault="00E41803" w:rsidP="00E41803">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Helvetica"/>
        </w:rPr>
      </w:pPr>
      <w:r w:rsidRPr="00C96F1E">
        <w:rPr>
          <w:rFonts w:cs="Helvetica"/>
        </w:rPr>
        <w:t>(a)</w:t>
      </w:r>
      <w:r w:rsidRPr="00C96F1E">
        <w:rPr>
          <w:rFonts w:cs="Helvetica"/>
        </w:rPr>
        <w:tab/>
        <w:t>commercial – standard tariff customers;</w:t>
      </w:r>
    </w:p>
    <w:p w:rsidR="00E41803" w:rsidRPr="00C96F1E" w:rsidRDefault="00E41803" w:rsidP="00E41803">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Helvetica"/>
        </w:rPr>
      </w:pPr>
      <w:r w:rsidRPr="00C96F1E">
        <w:rPr>
          <w:rFonts w:cs="Helvetica"/>
        </w:rPr>
        <w:t>(b)</w:t>
      </w:r>
      <w:r w:rsidRPr="00C96F1E">
        <w:rPr>
          <w:rFonts w:cs="Helvetica"/>
        </w:rPr>
        <w:tab/>
        <w:t>commercial – time of use tariff customers;</w:t>
      </w:r>
    </w:p>
    <w:p w:rsidR="00E41803" w:rsidRPr="00C96F1E" w:rsidRDefault="00E41803" w:rsidP="00E41803">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Helvetica"/>
        </w:rPr>
      </w:pPr>
      <w:r w:rsidRPr="00C96F1E">
        <w:rPr>
          <w:rFonts w:cs="Helvetica"/>
        </w:rPr>
        <w:t>(c)</w:t>
      </w:r>
      <w:r w:rsidRPr="00C96F1E">
        <w:rPr>
          <w:rFonts w:cs="Helvetica"/>
        </w:rPr>
        <w:tab/>
        <w:t>caravan park resident tariff customers;</w:t>
      </w:r>
    </w:p>
    <w:p w:rsidR="00E41803" w:rsidRPr="00C96F1E" w:rsidRDefault="00E41803" w:rsidP="00E41803">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Helvetica"/>
        </w:rPr>
      </w:pPr>
      <w:r w:rsidRPr="00C96F1E">
        <w:rPr>
          <w:rFonts w:cs="Helvetica"/>
        </w:rPr>
        <w:t>(d)</w:t>
      </w:r>
      <w:r w:rsidRPr="00C96F1E">
        <w:rPr>
          <w:rFonts w:cs="Helvetica"/>
        </w:rPr>
        <w:tab/>
        <w:t>domestic – pre-payment meter tariff customers;</w:t>
      </w:r>
    </w:p>
    <w:p w:rsidR="00E41803" w:rsidRPr="00C96F1E" w:rsidRDefault="00E41803" w:rsidP="00E41803">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Helvetica"/>
        </w:rPr>
      </w:pPr>
      <w:r w:rsidRPr="00C96F1E">
        <w:rPr>
          <w:rFonts w:cs="Helvetica"/>
        </w:rPr>
        <w:t>(e)</w:t>
      </w:r>
      <w:r w:rsidRPr="00C96F1E">
        <w:rPr>
          <w:rFonts w:cs="Helvetica"/>
        </w:rPr>
        <w:tab/>
        <w:t>domestic – standard tariff customers;</w:t>
      </w:r>
    </w:p>
    <w:p w:rsidR="00E41803" w:rsidRPr="00C96F1E" w:rsidRDefault="00E41803" w:rsidP="00E41803">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Helvetica"/>
        </w:rPr>
      </w:pPr>
      <w:r w:rsidRPr="00C96F1E">
        <w:rPr>
          <w:rFonts w:cs="Helvetica"/>
        </w:rPr>
        <w:t>(f)</w:t>
      </w:r>
      <w:r w:rsidRPr="00C96F1E">
        <w:rPr>
          <w:rFonts w:cs="Helvetica"/>
        </w:rPr>
        <w:tab/>
        <w:t>domestic – time of use tariff customers;</w:t>
      </w:r>
    </w:p>
    <w:p w:rsidR="00E41803" w:rsidRPr="00C96F1E" w:rsidRDefault="00E41803" w:rsidP="00E41803">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Helvetica"/>
        </w:rPr>
      </w:pPr>
      <w:r w:rsidRPr="00C96F1E">
        <w:rPr>
          <w:rFonts w:cs="Helvetica"/>
        </w:rPr>
        <w:t>(g)</w:t>
      </w:r>
      <w:r w:rsidRPr="00C96F1E">
        <w:rPr>
          <w:rFonts w:cs="Helvetica"/>
        </w:rPr>
        <w:tab/>
        <w:t>multipurpose tariff customers;</w:t>
      </w:r>
    </w:p>
    <w:p w:rsidR="00E41803" w:rsidRPr="00C96F1E" w:rsidRDefault="00E41803" w:rsidP="00E41803">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Helvetica"/>
        </w:rPr>
      </w:pPr>
      <w:r w:rsidRPr="00C96F1E">
        <w:rPr>
          <w:rFonts w:cs="Helvetica"/>
        </w:rPr>
        <w:t>(h)</w:t>
      </w:r>
      <w:r w:rsidRPr="00C96F1E">
        <w:rPr>
          <w:rFonts w:cs="Helvetica"/>
        </w:rPr>
        <w:tab/>
        <w:t>public benevolent institution (PBI) tariff customers.</w:t>
      </w:r>
    </w:p>
    <w:p w:rsidR="00E41803" w:rsidRPr="00C96F1E" w:rsidRDefault="00E41803" w:rsidP="00E41803">
      <w:pPr>
        <w:tabs>
          <w:tab w:val="left" w:pos="-720"/>
        </w:tabs>
        <w:spacing w:before="240" w:after="120"/>
        <w:ind w:left="720" w:hanging="720"/>
        <w:jc w:val="both"/>
        <w:rPr>
          <w:rFonts w:cs="Helvetica"/>
        </w:rPr>
      </w:pPr>
      <w:r w:rsidRPr="00C96F1E">
        <w:rPr>
          <w:rFonts w:cs="Helvetica"/>
        </w:rPr>
        <w:t>(2)</w:t>
      </w:r>
      <w:r w:rsidRPr="00C96F1E">
        <w:rPr>
          <w:rFonts w:cs="Helvetica"/>
        </w:rPr>
        <w:tab/>
        <w:t>The billing entity must ensure that the retail prices it charges under this Part distinguish between the prescribed customers mentioned in subclause (1).</w:t>
      </w:r>
    </w:p>
    <w:p w:rsidR="00E41803" w:rsidRPr="00C96F1E" w:rsidRDefault="00E41803" w:rsidP="00E41803">
      <w:pPr>
        <w:keepNext/>
        <w:spacing w:before="240" w:after="120"/>
        <w:jc w:val="both"/>
        <w:rPr>
          <w:rFonts w:cs="Helvetica"/>
          <w:b/>
        </w:rPr>
      </w:pPr>
      <w:r w:rsidRPr="00C96F1E">
        <w:rPr>
          <w:rFonts w:cs="Helvetica"/>
          <w:b/>
        </w:rPr>
        <w:lastRenderedPageBreak/>
        <w:t>4</w:t>
      </w:r>
      <w:r w:rsidRPr="00C96F1E">
        <w:rPr>
          <w:rFonts w:cs="Helvetica"/>
          <w:b/>
        </w:rPr>
        <w:tab/>
        <w:t>Fixed daily charges for supply of electricity</w:t>
      </w:r>
    </w:p>
    <w:p w:rsidR="00E41803" w:rsidRPr="00C96F1E" w:rsidRDefault="00E41803" w:rsidP="00E41803">
      <w:pPr>
        <w:spacing w:after="120"/>
        <w:ind w:left="720" w:hanging="720"/>
        <w:jc w:val="both"/>
        <w:rPr>
          <w:rFonts w:cs="Helvetica"/>
        </w:rPr>
      </w:pPr>
      <w:r w:rsidRPr="00C96F1E">
        <w:rPr>
          <w:rFonts w:cs="Helvetica"/>
        </w:rPr>
        <w:tab/>
        <w:t>A prescribed customer specified in the following table may be charged for the supply of electricity a fixed daily charge not exceeding the amount specified opposite the customer.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ixed daily charges for supply of electricity "/>
        <w:tblDescription w:val="Prescribed customer/fixed daily charge ($)"/>
      </w:tblPr>
      <w:tblGrid>
        <w:gridCol w:w="4942"/>
        <w:gridCol w:w="2543"/>
      </w:tblGrid>
      <w:tr w:rsidR="00E41803" w:rsidRPr="00C96F1E" w:rsidTr="00EB202C">
        <w:tc>
          <w:tcPr>
            <w:tcW w:w="4961" w:type="dxa"/>
          </w:tcPr>
          <w:p w:rsidR="00E41803" w:rsidRPr="00C96F1E" w:rsidRDefault="00E41803" w:rsidP="00EB202C">
            <w:pPr>
              <w:spacing w:before="40" w:after="40"/>
              <w:jc w:val="center"/>
              <w:rPr>
                <w:rFonts w:cs="Helvetica"/>
                <w:sz w:val="20"/>
                <w:szCs w:val="20"/>
              </w:rPr>
            </w:pPr>
            <w:r w:rsidRPr="00C96F1E">
              <w:rPr>
                <w:rFonts w:cs="Helvetica"/>
                <w:b/>
                <w:sz w:val="20"/>
                <w:szCs w:val="20"/>
              </w:rPr>
              <w:t>Prescribed Customer</w:t>
            </w:r>
          </w:p>
        </w:tc>
        <w:tc>
          <w:tcPr>
            <w:tcW w:w="2552" w:type="dxa"/>
          </w:tcPr>
          <w:p w:rsidR="00E41803" w:rsidRPr="00C96F1E" w:rsidRDefault="00E41803" w:rsidP="00EB202C">
            <w:pPr>
              <w:spacing w:before="40" w:after="40"/>
              <w:jc w:val="center"/>
              <w:rPr>
                <w:rFonts w:cs="Helvetica"/>
                <w:b/>
                <w:sz w:val="20"/>
                <w:szCs w:val="20"/>
              </w:rPr>
            </w:pPr>
            <w:r w:rsidRPr="00C96F1E">
              <w:rPr>
                <w:rFonts w:cs="Helvetica"/>
                <w:b/>
                <w:sz w:val="20"/>
                <w:szCs w:val="20"/>
              </w:rPr>
              <w:t>Fixed Daily Charge ($)</w:t>
            </w:r>
          </w:p>
        </w:tc>
      </w:tr>
      <w:tr w:rsidR="00E41803" w:rsidRPr="00C96F1E" w:rsidTr="00EB202C">
        <w:tc>
          <w:tcPr>
            <w:tcW w:w="4961" w:type="dxa"/>
          </w:tcPr>
          <w:p w:rsidR="00E41803" w:rsidRPr="00C96F1E" w:rsidRDefault="00E41803" w:rsidP="00EB202C">
            <w:pPr>
              <w:spacing w:before="40" w:after="40"/>
              <w:jc w:val="both"/>
              <w:rPr>
                <w:rFonts w:cs="Helvetica"/>
                <w:sz w:val="20"/>
                <w:szCs w:val="20"/>
              </w:rPr>
            </w:pPr>
            <w:r w:rsidRPr="00C96F1E">
              <w:rPr>
                <w:rFonts w:cs="Helvetica"/>
                <w:sz w:val="20"/>
                <w:szCs w:val="20"/>
              </w:rPr>
              <w:t>Commercial – standard tariff</w:t>
            </w:r>
          </w:p>
        </w:tc>
        <w:tc>
          <w:tcPr>
            <w:tcW w:w="2552" w:type="dxa"/>
          </w:tcPr>
          <w:p w:rsidR="00E41803" w:rsidRPr="00C96F1E" w:rsidRDefault="00E41803" w:rsidP="00EB202C">
            <w:pPr>
              <w:spacing w:before="40" w:after="40"/>
              <w:jc w:val="center"/>
              <w:rPr>
                <w:rFonts w:cs="Helvetica"/>
                <w:sz w:val="20"/>
                <w:szCs w:val="20"/>
              </w:rPr>
            </w:pPr>
            <w:r w:rsidRPr="00C96F1E">
              <w:rPr>
                <w:rFonts w:cs="Helvetica"/>
                <w:sz w:val="20"/>
                <w:szCs w:val="20"/>
              </w:rPr>
              <w:t>0.7</w:t>
            </w:r>
            <w:r>
              <w:rPr>
                <w:rFonts w:cs="Helvetica"/>
                <w:sz w:val="20"/>
                <w:szCs w:val="20"/>
              </w:rPr>
              <w:t>988</w:t>
            </w:r>
          </w:p>
        </w:tc>
      </w:tr>
      <w:tr w:rsidR="00E41803" w:rsidRPr="00C96F1E" w:rsidTr="00EB202C">
        <w:trPr>
          <w:trHeight w:val="229"/>
        </w:trPr>
        <w:tc>
          <w:tcPr>
            <w:tcW w:w="4961" w:type="dxa"/>
          </w:tcPr>
          <w:p w:rsidR="00E41803" w:rsidRPr="00C96F1E" w:rsidRDefault="00E41803" w:rsidP="00EB202C">
            <w:pPr>
              <w:spacing w:before="40" w:after="40"/>
              <w:jc w:val="both"/>
              <w:rPr>
                <w:rFonts w:cs="Helvetica"/>
                <w:sz w:val="20"/>
                <w:szCs w:val="20"/>
              </w:rPr>
            </w:pPr>
            <w:r w:rsidRPr="00C96F1E">
              <w:rPr>
                <w:rFonts w:cs="Helvetica"/>
                <w:sz w:val="20"/>
                <w:szCs w:val="20"/>
              </w:rPr>
              <w:t>Commercial – time of use tariff</w:t>
            </w:r>
          </w:p>
        </w:tc>
        <w:tc>
          <w:tcPr>
            <w:tcW w:w="2552" w:type="dxa"/>
          </w:tcPr>
          <w:p w:rsidR="00E41803" w:rsidRPr="00C96F1E" w:rsidRDefault="00E41803" w:rsidP="00EB202C">
            <w:pPr>
              <w:spacing w:before="40" w:after="40"/>
              <w:jc w:val="center"/>
              <w:rPr>
                <w:rFonts w:cs="Helvetica"/>
                <w:sz w:val="20"/>
                <w:szCs w:val="20"/>
              </w:rPr>
            </w:pPr>
            <w:r w:rsidRPr="00C96F1E">
              <w:rPr>
                <w:rFonts w:cs="Helvetica"/>
                <w:sz w:val="20"/>
                <w:szCs w:val="20"/>
              </w:rPr>
              <w:t>0.79</w:t>
            </w:r>
            <w:r>
              <w:rPr>
                <w:rFonts w:cs="Helvetica"/>
                <w:sz w:val="20"/>
                <w:szCs w:val="20"/>
              </w:rPr>
              <w:t>88</w:t>
            </w:r>
          </w:p>
        </w:tc>
      </w:tr>
      <w:tr w:rsidR="00E41803" w:rsidRPr="00C96F1E" w:rsidTr="00EB202C">
        <w:tc>
          <w:tcPr>
            <w:tcW w:w="4961" w:type="dxa"/>
          </w:tcPr>
          <w:p w:rsidR="00E41803" w:rsidRPr="00C96F1E" w:rsidRDefault="00E41803" w:rsidP="00EB202C">
            <w:pPr>
              <w:spacing w:before="40" w:after="40"/>
              <w:jc w:val="both"/>
              <w:rPr>
                <w:rFonts w:cs="Helvetica"/>
                <w:sz w:val="20"/>
                <w:szCs w:val="20"/>
              </w:rPr>
            </w:pPr>
            <w:r w:rsidRPr="00C96F1E">
              <w:rPr>
                <w:rFonts w:cs="Helvetica"/>
                <w:sz w:val="20"/>
                <w:szCs w:val="20"/>
              </w:rPr>
              <w:t>Domestic – standard tariff</w:t>
            </w:r>
          </w:p>
        </w:tc>
        <w:tc>
          <w:tcPr>
            <w:tcW w:w="2552" w:type="dxa"/>
          </w:tcPr>
          <w:p w:rsidR="00E41803" w:rsidRPr="00C96F1E" w:rsidRDefault="00E41803" w:rsidP="00EB202C">
            <w:pPr>
              <w:spacing w:before="40" w:after="40"/>
              <w:jc w:val="center"/>
              <w:rPr>
                <w:rFonts w:cs="Helvetica"/>
                <w:sz w:val="20"/>
                <w:szCs w:val="20"/>
              </w:rPr>
            </w:pPr>
            <w:r w:rsidRPr="00C96F1E">
              <w:rPr>
                <w:rFonts w:cs="Helvetica"/>
                <w:sz w:val="20"/>
                <w:szCs w:val="20"/>
              </w:rPr>
              <w:t>0.5</w:t>
            </w:r>
            <w:r>
              <w:rPr>
                <w:rFonts w:cs="Helvetica"/>
                <w:sz w:val="20"/>
                <w:szCs w:val="20"/>
              </w:rPr>
              <w:t>116</w:t>
            </w:r>
          </w:p>
        </w:tc>
      </w:tr>
      <w:tr w:rsidR="00E41803" w:rsidRPr="00C96F1E" w:rsidTr="00EB202C">
        <w:tc>
          <w:tcPr>
            <w:tcW w:w="4961" w:type="dxa"/>
          </w:tcPr>
          <w:p w:rsidR="00E41803" w:rsidRPr="00C96F1E" w:rsidRDefault="00E41803" w:rsidP="00EB202C">
            <w:pPr>
              <w:spacing w:before="40" w:after="40"/>
              <w:jc w:val="both"/>
              <w:rPr>
                <w:rFonts w:cs="Helvetica"/>
                <w:sz w:val="20"/>
                <w:szCs w:val="20"/>
              </w:rPr>
            </w:pPr>
            <w:r w:rsidRPr="00C96F1E">
              <w:rPr>
                <w:rFonts w:cs="Helvetica"/>
                <w:sz w:val="20"/>
                <w:szCs w:val="20"/>
              </w:rPr>
              <w:t>Domestic – time of use tariff</w:t>
            </w:r>
          </w:p>
        </w:tc>
        <w:tc>
          <w:tcPr>
            <w:tcW w:w="2552" w:type="dxa"/>
          </w:tcPr>
          <w:p w:rsidR="00E41803" w:rsidRPr="00C96F1E" w:rsidRDefault="00E41803" w:rsidP="00EB202C">
            <w:pPr>
              <w:spacing w:before="40" w:after="40"/>
              <w:jc w:val="center"/>
              <w:rPr>
                <w:rFonts w:cs="Helvetica"/>
                <w:sz w:val="20"/>
                <w:szCs w:val="20"/>
              </w:rPr>
            </w:pPr>
            <w:r w:rsidRPr="00C96F1E">
              <w:rPr>
                <w:rFonts w:cs="Helvetica"/>
                <w:sz w:val="20"/>
                <w:szCs w:val="20"/>
              </w:rPr>
              <w:t>0.5</w:t>
            </w:r>
            <w:r>
              <w:rPr>
                <w:rFonts w:cs="Helvetica"/>
                <w:sz w:val="20"/>
                <w:szCs w:val="20"/>
              </w:rPr>
              <w:t>116</w:t>
            </w:r>
          </w:p>
        </w:tc>
      </w:tr>
      <w:tr w:rsidR="00E41803" w:rsidRPr="00C96F1E" w:rsidTr="00EB202C">
        <w:tc>
          <w:tcPr>
            <w:tcW w:w="4961" w:type="dxa"/>
          </w:tcPr>
          <w:p w:rsidR="00E41803" w:rsidRPr="00C96F1E" w:rsidRDefault="00E41803" w:rsidP="00EB202C">
            <w:pPr>
              <w:spacing w:before="40" w:after="40"/>
              <w:jc w:val="both"/>
              <w:rPr>
                <w:rFonts w:cs="Helvetica"/>
                <w:sz w:val="20"/>
                <w:szCs w:val="20"/>
              </w:rPr>
            </w:pPr>
            <w:r w:rsidRPr="00C96F1E">
              <w:rPr>
                <w:rFonts w:cs="Helvetica"/>
                <w:sz w:val="20"/>
                <w:szCs w:val="20"/>
              </w:rPr>
              <w:t>Multipurpose tariff</w:t>
            </w:r>
          </w:p>
        </w:tc>
        <w:tc>
          <w:tcPr>
            <w:tcW w:w="2552" w:type="dxa"/>
          </w:tcPr>
          <w:p w:rsidR="00E41803" w:rsidRPr="00C96F1E" w:rsidRDefault="00E41803" w:rsidP="00EB202C">
            <w:pPr>
              <w:spacing w:before="40" w:after="40"/>
              <w:jc w:val="center"/>
              <w:rPr>
                <w:rFonts w:cs="Helvetica"/>
                <w:sz w:val="20"/>
                <w:szCs w:val="20"/>
              </w:rPr>
            </w:pPr>
            <w:r w:rsidRPr="00C96F1E">
              <w:rPr>
                <w:rFonts w:cs="Helvetica"/>
                <w:sz w:val="20"/>
                <w:szCs w:val="20"/>
              </w:rPr>
              <w:t>0.5</w:t>
            </w:r>
            <w:r>
              <w:rPr>
                <w:rFonts w:cs="Helvetica"/>
                <w:sz w:val="20"/>
                <w:szCs w:val="20"/>
              </w:rPr>
              <w:t>116</w:t>
            </w:r>
          </w:p>
        </w:tc>
      </w:tr>
      <w:tr w:rsidR="00E41803" w:rsidRPr="00C96F1E" w:rsidTr="00EB202C">
        <w:tc>
          <w:tcPr>
            <w:tcW w:w="4961" w:type="dxa"/>
          </w:tcPr>
          <w:p w:rsidR="00E41803" w:rsidRPr="00C96F1E" w:rsidRDefault="00E41803" w:rsidP="00EB202C">
            <w:pPr>
              <w:spacing w:before="40" w:after="40"/>
              <w:jc w:val="both"/>
              <w:rPr>
                <w:rFonts w:cs="Helvetica"/>
                <w:sz w:val="20"/>
                <w:szCs w:val="20"/>
              </w:rPr>
            </w:pPr>
            <w:r w:rsidRPr="00C96F1E">
              <w:rPr>
                <w:rFonts w:cs="Helvetica"/>
                <w:sz w:val="20"/>
                <w:szCs w:val="20"/>
              </w:rPr>
              <w:t>Public benevolent institution (PBI) tariff</w:t>
            </w:r>
          </w:p>
        </w:tc>
        <w:tc>
          <w:tcPr>
            <w:tcW w:w="2552" w:type="dxa"/>
          </w:tcPr>
          <w:p w:rsidR="00E41803" w:rsidRPr="00C96F1E" w:rsidRDefault="00E41803" w:rsidP="00EB202C">
            <w:pPr>
              <w:spacing w:before="40" w:after="40"/>
              <w:jc w:val="center"/>
              <w:rPr>
                <w:rFonts w:cs="Helvetica"/>
                <w:sz w:val="20"/>
                <w:szCs w:val="20"/>
              </w:rPr>
            </w:pPr>
            <w:r w:rsidRPr="00C96F1E">
              <w:rPr>
                <w:rFonts w:cs="Helvetica"/>
                <w:sz w:val="20"/>
                <w:szCs w:val="20"/>
              </w:rPr>
              <w:t>0.6</w:t>
            </w:r>
            <w:r>
              <w:rPr>
                <w:rFonts w:cs="Helvetica"/>
                <w:sz w:val="20"/>
                <w:szCs w:val="20"/>
              </w:rPr>
              <w:t>242</w:t>
            </w:r>
          </w:p>
        </w:tc>
      </w:tr>
    </w:tbl>
    <w:p w:rsidR="00E41803" w:rsidRPr="00C96F1E" w:rsidRDefault="00E41803" w:rsidP="00B40625">
      <w:pPr>
        <w:widowControl w:val="0"/>
        <w:spacing w:before="240" w:after="120"/>
        <w:jc w:val="both"/>
        <w:rPr>
          <w:rFonts w:cs="Helvetica"/>
        </w:rPr>
      </w:pPr>
      <w:r w:rsidRPr="00C96F1E">
        <w:rPr>
          <w:rFonts w:cs="Helvetica"/>
          <w:b/>
        </w:rPr>
        <w:t>5</w:t>
      </w:r>
      <w:r w:rsidRPr="00C96F1E">
        <w:rPr>
          <w:rFonts w:cs="Helvetica"/>
          <w:b/>
        </w:rPr>
        <w:tab/>
        <w:t>Charges for consumption of electricity</w:t>
      </w:r>
    </w:p>
    <w:p w:rsidR="00E41803" w:rsidRPr="00C96F1E" w:rsidRDefault="00E41803" w:rsidP="00E41803">
      <w:pPr>
        <w:keepNext/>
        <w:widowControl w:val="0"/>
        <w:spacing w:after="120"/>
        <w:ind w:left="720" w:hanging="720"/>
        <w:jc w:val="both"/>
        <w:rPr>
          <w:rFonts w:cs="Helvetica"/>
        </w:rPr>
      </w:pPr>
      <w:r w:rsidRPr="00C96F1E">
        <w:rPr>
          <w:rFonts w:cs="Helvetica"/>
        </w:rPr>
        <w:tab/>
        <w:t>A prescribed customer specified in the following table may be charged for the consumption of electricity an amount per kWh that does not exceed the amount specified opposite the customer.</w:t>
      </w: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harges for consumption of electricity "/>
        <w:tblDescription w:val="Presscribed customer/Charge (cents/kWh)"/>
      </w:tblPr>
      <w:tblGrid>
        <w:gridCol w:w="3827"/>
        <w:gridCol w:w="3686"/>
      </w:tblGrid>
      <w:tr w:rsidR="00E41803" w:rsidRPr="00C96F1E" w:rsidTr="00EB202C">
        <w:tc>
          <w:tcPr>
            <w:tcW w:w="3827" w:type="dxa"/>
          </w:tcPr>
          <w:p w:rsidR="00E41803" w:rsidRPr="00C96F1E" w:rsidRDefault="00E41803" w:rsidP="00EB202C">
            <w:pPr>
              <w:spacing w:before="40" w:after="40"/>
              <w:jc w:val="center"/>
              <w:rPr>
                <w:rFonts w:cs="Helvetica"/>
                <w:sz w:val="20"/>
                <w:szCs w:val="20"/>
              </w:rPr>
            </w:pPr>
            <w:r w:rsidRPr="00C96F1E">
              <w:rPr>
                <w:rFonts w:cs="Helvetica"/>
                <w:b/>
                <w:sz w:val="20"/>
                <w:szCs w:val="20"/>
              </w:rPr>
              <w:t>Prescribed Customer</w:t>
            </w:r>
          </w:p>
        </w:tc>
        <w:tc>
          <w:tcPr>
            <w:tcW w:w="3686" w:type="dxa"/>
          </w:tcPr>
          <w:p w:rsidR="00E41803" w:rsidRPr="00C96F1E" w:rsidRDefault="00E41803" w:rsidP="00EB202C">
            <w:pPr>
              <w:spacing w:before="40" w:after="40"/>
              <w:jc w:val="center"/>
              <w:rPr>
                <w:rFonts w:cs="Helvetica"/>
                <w:b/>
                <w:sz w:val="20"/>
                <w:szCs w:val="20"/>
              </w:rPr>
            </w:pPr>
            <w:r w:rsidRPr="00C96F1E">
              <w:rPr>
                <w:rFonts w:cs="Helvetica"/>
                <w:b/>
                <w:sz w:val="20"/>
                <w:szCs w:val="20"/>
              </w:rPr>
              <w:t>Charge (cents/kWh)</w:t>
            </w:r>
          </w:p>
        </w:tc>
      </w:tr>
      <w:tr w:rsidR="00E41803" w:rsidRPr="00C96F1E" w:rsidTr="00EB202C">
        <w:tc>
          <w:tcPr>
            <w:tcW w:w="3827" w:type="dxa"/>
          </w:tcPr>
          <w:p w:rsidR="00E41803" w:rsidRPr="00C96F1E" w:rsidRDefault="00E41803" w:rsidP="00EB202C">
            <w:pPr>
              <w:spacing w:before="40" w:after="40"/>
              <w:jc w:val="both"/>
              <w:rPr>
                <w:rFonts w:cs="Helvetica"/>
                <w:sz w:val="20"/>
                <w:szCs w:val="20"/>
              </w:rPr>
            </w:pPr>
            <w:r w:rsidRPr="00C96F1E">
              <w:rPr>
                <w:rFonts w:cs="Helvetica"/>
                <w:sz w:val="20"/>
                <w:szCs w:val="20"/>
              </w:rPr>
              <w:t>Commercial – standard tariff</w:t>
            </w:r>
          </w:p>
        </w:tc>
        <w:tc>
          <w:tcPr>
            <w:tcW w:w="3686" w:type="dxa"/>
          </w:tcPr>
          <w:p w:rsidR="00E41803" w:rsidRPr="00C96F1E" w:rsidRDefault="00E41803" w:rsidP="00EB202C">
            <w:pPr>
              <w:spacing w:before="40" w:after="40"/>
              <w:jc w:val="center"/>
              <w:rPr>
                <w:rFonts w:cs="Helvetica"/>
                <w:sz w:val="20"/>
                <w:szCs w:val="20"/>
              </w:rPr>
            </w:pPr>
            <w:r>
              <w:rPr>
                <w:rFonts w:cs="Helvetica"/>
                <w:sz w:val="20"/>
                <w:szCs w:val="20"/>
              </w:rPr>
              <w:t>30.20</w:t>
            </w:r>
          </w:p>
        </w:tc>
      </w:tr>
      <w:tr w:rsidR="00E41803" w:rsidRPr="00C96F1E" w:rsidTr="00EB202C">
        <w:trPr>
          <w:trHeight w:val="1550"/>
        </w:trPr>
        <w:tc>
          <w:tcPr>
            <w:tcW w:w="3827" w:type="dxa"/>
          </w:tcPr>
          <w:p w:rsidR="00E41803" w:rsidRPr="00C96F1E" w:rsidRDefault="00E41803" w:rsidP="00EB202C">
            <w:pPr>
              <w:spacing w:before="40" w:after="40"/>
              <w:jc w:val="both"/>
              <w:rPr>
                <w:rFonts w:cs="Helvetica"/>
                <w:sz w:val="20"/>
                <w:szCs w:val="20"/>
              </w:rPr>
            </w:pPr>
            <w:r w:rsidRPr="00C96F1E">
              <w:rPr>
                <w:rFonts w:cs="Helvetica"/>
                <w:sz w:val="20"/>
                <w:szCs w:val="20"/>
              </w:rPr>
              <w:t xml:space="preserve">Commercial – time of use tariff </w:t>
            </w:r>
          </w:p>
        </w:tc>
        <w:tc>
          <w:tcPr>
            <w:tcW w:w="3686" w:type="dxa"/>
          </w:tcPr>
          <w:p w:rsidR="00E41803" w:rsidRPr="00C96F1E" w:rsidRDefault="00E41803" w:rsidP="00EB202C">
            <w:pPr>
              <w:spacing w:before="40" w:after="120"/>
              <w:jc w:val="center"/>
              <w:rPr>
                <w:rFonts w:cs="Helvetica"/>
                <w:sz w:val="20"/>
                <w:szCs w:val="20"/>
              </w:rPr>
            </w:pPr>
            <w:r w:rsidRPr="00C96F1E">
              <w:rPr>
                <w:rFonts w:cs="Helvetica"/>
                <w:sz w:val="20"/>
                <w:szCs w:val="20"/>
              </w:rPr>
              <w:t>38.</w:t>
            </w:r>
            <w:r>
              <w:rPr>
                <w:rFonts w:cs="Helvetica"/>
                <w:sz w:val="20"/>
                <w:szCs w:val="20"/>
              </w:rPr>
              <w:t>64</w:t>
            </w:r>
            <w:r w:rsidRPr="00C96F1E">
              <w:rPr>
                <w:rFonts w:cs="Helvetica"/>
                <w:sz w:val="20"/>
                <w:szCs w:val="20"/>
              </w:rPr>
              <w:br/>
              <w:t>during peak operation</w:t>
            </w:r>
            <w:r w:rsidRPr="00C96F1E">
              <w:rPr>
                <w:rFonts w:cs="Helvetica"/>
                <w:sz w:val="20"/>
                <w:szCs w:val="20"/>
              </w:rPr>
              <w:br/>
              <w:t>(6am to 6pm on all days)</w:t>
            </w:r>
          </w:p>
          <w:p w:rsidR="00E41803" w:rsidRPr="00C96F1E" w:rsidRDefault="00E41803" w:rsidP="00EB202C">
            <w:pPr>
              <w:spacing w:before="40" w:after="40"/>
              <w:jc w:val="center"/>
              <w:rPr>
                <w:rFonts w:cs="Helvetica"/>
                <w:sz w:val="20"/>
                <w:szCs w:val="20"/>
              </w:rPr>
            </w:pPr>
            <w:r w:rsidRPr="00C96F1E">
              <w:rPr>
                <w:rFonts w:cs="Helvetica"/>
                <w:sz w:val="20"/>
                <w:szCs w:val="20"/>
              </w:rPr>
              <w:t>21.</w:t>
            </w:r>
            <w:r>
              <w:rPr>
                <w:rFonts w:cs="Helvetica"/>
                <w:sz w:val="20"/>
                <w:szCs w:val="20"/>
              </w:rPr>
              <w:t>75</w:t>
            </w:r>
            <w:r w:rsidRPr="00C96F1E">
              <w:rPr>
                <w:rFonts w:cs="Helvetica"/>
                <w:sz w:val="20"/>
                <w:szCs w:val="20"/>
              </w:rPr>
              <w:br/>
              <w:t>during off-peak operation</w:t>
            </w:r>
            <w:r w:rsidRPr="00C96F1E">
              <w:rPr>
                <w:rFonts w:cs="Helvetica"/>
                <w:sz w:val="20"/>
                <w:szCs w:val="20"/>
              </w:rPr>
              <w:br/>
              <w:t>(6pm to 6am on all days)</w:t>
            </w:r>
          </w:p>
        </w:tc>
      </w:tr>
      <w:tr w:rsidR="00E41803" w:rsidRPr="00C96F1E" w:rsidTr="00EB202C">
        <w:tc>
          <w:tcPr>
            <w:tcW w:w="3827" w:type="dxa"/>
          </w:tcPr>
          <w:p w:rsidR="00E41803" w:rsidRPr="00C96F1E" w:rsidRDefault="00E41803" w:rsidP="00EB202C">
            <w:pPr>
              <w:spacing w:before="40" w:after="40"/>
              <w:jc w:val="both"/>
              <w:rPr>
                <w:rFonts w:cs="Helvetica"/>
                <w:sz w:val="20"/>
                <w:szCs w:val="20"/>
              </w:rPr>
            </w:pPr>
            <w:r w:rsidRPr="00C96F1E">
              <w:rPr>
                <w:rFonts w:cs="Helvetica"/>
                <w:sz w:val="20"/>
                <w:szCs w:val="20"/>
              </w:rPr>
              <w:t>Caravan park resident tariff</w:t>
            </w:r>
          </w:p>
        </w:tc>
        <w:tc>
          <w:tcPr>
            <w:tcW w:w="3686" w:type="dxa"/>
          </w:tcPr>
          <w:p w:rsidR="00E41803" w:rsidRPr="00C96F1E" w:rsidRDefault="00E41803" w:rsidP="00EB202C">
            <w:pPr>
              <w:spacing w:before="40" w:after="40"/>
              <w:jc w:val="center"/>
              <w:rPr>
                <w:rFonts w:cs="Helvetica"/>
                <w:sz w:val="20"/>
                <w:szCs w:val="20"/>
              </w:rPr>
            </w:pPr>
            <w:r w:rsidRPr="00C96F1E">
              <w:rPr>
                <w:rFonts w:cs="Helvetica"/>
                <w:sz w:val="20"/>
                <w:szCs w:val="20"/>
              </w:rPr>
              <w:t>34.</w:t>
            </w:r>
            <w:r>
              <w:rPr>
                <w:rFonts w:cs="Helvetica"/>
                <w:sz w:val="20"/>
                <w:szCs w:val="20"/>
              </w:rPr>
              <w:t>64</w:t>
            </w:r>
          </w:p>
        </w:tc>
      </w:tr>
      <w:tr w:rsidR="00E41803" w:rsidRPr="00C96F1E" w:rsidTr="00EB202C">
        <w:tc>
          <w:tcPr>
            <w:tcW w:w="3827" w:type="dxa"/>
          </w:tcPr>
          <w:p w:rsidR="00E41803" w:rsidRPr="00C96F1E" w:rsidRDefault="00E41803" w:rsidP="00EB202C">
            <w:pPr>
              <w:spacing w:before="40" w:after="40"/>
              <w:jc w:val="both"/>
              <w:rPr>
                <w:rFonts w:cs="Helvetica"/>
                <w:sz w:val="20"/>
                <w:szCs w:val="20"/>
              </w:rPr>
            </w:pPr>
            <w:r w:rsidRPr="00C96F1E">
              <w:rPr>
                <w:rFonts w:cs="Helvetica"/>
                <w:sz w:val="20"/>
                <w:szCs w:val="20"/>
              </w:rPr>
              <w:t>Domestic – pre-payment meter tariff</w:t>
            </w:r>
          </w:p>
        </w:tc>
        <w:tc>
          <w:tcPr>
            <w:tcW w:w="3686" w:type="dxa"/>
          </w:tcPr>
          <w:p w:rsidR="00E41803" w:rsidRPr="00C96F1E" w:rsidRDefault="00E41803" w:rsidP="00EB202C">
            <w:pPr>
              <w:spacing w:before="40" w:after="40"/>
              <w:jc w:val="center"/>
              <w:rPr>
                <w:rFonts w:cs="Helvetica"/>
                <w:sz w:val="20"/>
                <w:szCs w:val="20"/>
              </w:rPr>
            </w:pPr>
            <w:r w:rsidRPr="00C96F1E">
              <w:rPr>
                <w:rFonts w:cs="Helvetica"/>
                <w:sz w:val="20"/>
                <w:szCs w:val="20"/>
              </w:rPr>
              <w:t>28.</w:t>
            </w:r>
            <w:r>
              <w:rPr>
                <w:rFonts w:cs="Helvetica"/>
                <w:sz w:val="20"/>
                <w:szCs w:val="20"/>
              </w:rPr>
              <w:t>53</w:t>
            </w:r>
          </w:p>
        </w:tc>
      </w:tr>
      <w:tr w:rsidR="00E41803" w:rsidRPr="00C96F1E" w:rsidTr="00EB202C">
        <w:tc>
          <w:tcPr>
            <w:tcW w:w="3827" w:type="dxa"/>
          </w:tcPr>
          <w:p w:rsidR="00E41803" w:rsidRPr="00C96F1E" w:rsidRDefault="00E41803" w:rsidP="00EB202C">
            <w:pPr>
              <w:spacing w:before="40" w:after="40"/>
              <w:rPr>
                <w:rFonts w:cs="Helvetica"/>
                <w:sz w:val="20"/>
                <w:szCs w:val="20"/>
              </w:rPr>
            </w:pPr>
            <w:r w:rsidRPr="00C96F1E">
              <w:rPr>
                <w:rFonts w:cs="Helvetica"/>
                <w:sz w:val="20"/>
                <w:szCs w:val="20"/>
              </w:rPr>
              <w:t xml:space="preserve">Domestic – standard tariff </w:t>
            </w:r>
          </w:p>
        </w:tc>
        <w:tc>
          <w:tcPr>
            <w:tcW w:w="3686" w:type="dxa"/>
          </w:tcPr>
          <w:p w:rsidR="00E41803" w:rsidRPr="00C96F1E" w:rsidRDefault="00E41803" w:rsidP="00EB202C">
            <w:pPr>
              <w:spacing w:before="40" w:after="40"/>
              <w:jc w:val="center"/>
              <w:rPr>
                <w:rFonts w:cs="Helvetica"/>
                <w:sz w:val="20"/>
                <w:szCs w:val="20"/>
              </w:rPr>
            </w:pPr>
            <w:r w:rsidRPr="00C96F1E">
              <w:rPr>
                <w:rFonts w:cs="Helvetica"/>
                <w:sz w:val="20"/>
                <w:szCs w:val="20"/>
              </w:rPr>
              <w:t>25.</w:t>
            </w:r>
            <w:r>
              <w:rPr>
                <w:rFonts w:cs="Helvetica"/>
                <w:sz w:val="20"/>
                <w:szCs w:val="20"/>
              </w:rPr>
              <w:t>95</w:t>
            </w:r>
          </w:p>
        </w:tc>
      </w:tr>
      <w:tr w:rsidR="00E41803" w:rsidRPr="00C96F1E" w:rsidTr="00EB202C">
        <w:trPr>
          <w:trHeight w:val="2010"/>
        </w:trPr>
        <w:tc>
          <w:tcPr>
            <w:tcW w:w="3827" w:type="dxa"/>
          </w:tcPr>
          <w:p w:rsidR="00E41803" w:rsidRPr="00C96F1E" w:rsidRDefault="00E41803" w:rsidP="00EB202C">
            <w:pPr>
              <w:widowControl w:val="0"/>
              <w:spacing w:before="40" w:after="40"/>
              <w:jc w:val="both"/>
              <w:rPr>
                <w:rFonts w:cs="Helvetica"/>
                <w:sz w:val="20"/>
                <w:szCs w:val="20"/>
              </w:rPr>
            </w:pPr>
            <w:r w:rsidRPr="00C96F1E">
              <w:rPr>
                <w:rFonts w:cs="Helvetica"/>
                <w:sz w:val="20"/>
                <w:szCs w:val="20"/>
              </w:rPr>
              <w:t xml:space="preserve">Domestic – time of use tariff </w:t>
            </w:r>
          </w:p>
        </w:tc>
        <w:tc>
          <w:tcPr>
            <w:tcW w:w="3686" w:type="dxa"/>
          </w:tcPr>
          <w:p w:rsidR="00E41803" w:rsidRPr="00C96F1E" w:rsidRDefault="00E41803" w:rsidP="00EB202C">
            <w:pPr>
              <w:spacing w:before="40" w:after="120"/>
              <w:jc w:val="center"/>
              <w:rPr>
                <w:rFonts w:cs="Helvetica"/>
                <w:sz w:val="20"/>
                <w:szCs w:val="20"/>
              </w:rPr>
            </w:pPr>
            <w:r w:rsidRPr="00C96F1E">
              <w:rPr>
                <w:rFonts w:cs="Helvetica"/>
                <w:sz w:val="20"/>
                <w:szCs w:val="20"/>
              </w:rPr>
              <w:t>30.</w:t>
            </w:r>
            <w:r>
              <w:rPr>
                <w:rFonts w:cs="Helvetica"/>
                <w:sz w:val="20"/>
                <w:szCs w:val="20"/>
              </w:rPr>
              <w:t>61</w:t>
            </w:r>
            <w:r w:rsidRPr="00C96F1E">
              <w:rPr>
                <w:rFonts w:cs="Helvetica"/>
                <w:sz w:val="20"/>
                <w:szCs w:val="20"/>
              </w:rPr>
              <w:br/>
              <w:t>during peak operation</w:t>
            </w:r>
            <w:r w:rsidRPr="00C96F1E">
              <w:rPr>
                <w:rFonts w:cs="Helvetica"/>
                <w:sz w:val="20"/>
                <w:szCs w:val="20"/>
              </w:rPr>
              <w:br/>
              <w:t>(6am to 6pm weekdays including public holidays)</w:t>
            </w:r>
          </w:p>
          <w:p w:rsidR="00E41803" w:rsidRPr="00C96F1E" w:rsidRDefault="00E41803" w:rsidP="00EB202C">
            <w:pPr>
              <w:spacing w:before="40" w:after="40"/>
              <w:jc w:val="center"/>
              <w:rPr>
                <w:rFonts w:cs="Helvetica"/>
                <w:sz w:val="20"/>
                <w:szCs w:val="20"/>
              </w:rPr>
            </w:pPr>
            <w:r>
              <w:rPr>
                <w:rFonts w:cs="Helvetica"/>
                <w:sz w:val="20"/>
                <w:szCs w:val="20"/>
              </w:rPr>
              <w:t>23.34</w:t>
            </w:r>
            <w:r w:rsidRPr="00C96F1E">
              <w:rPr>
                <w:rFonts w:cs="Helvetica"/>
                <w:sz w:val="20"/>
                <w:szCs w:val="20"/>
              </w:rPr>
              <w:br/>
              <w:t>during off-peak operation</w:t>
            </w:r>
            <w:r w:rsidRPr="00C96F1E">
              <w:rPr>
                <w:rFonts w:cs="Helvetica"/>
                <w:sz w:val="20"/>
                <w:szCs w:val="20"/>
              </w:rPr>
              <w:br/>
              <w:t>(6pm to 6am weekdays and all weekends)</w:t>
            </w:r>
          </w:p>
        </w:tc>
      </w:tr>
      <w:tr w:rsidR="00E41803" w:rsidRPr="00C96F1E" w:rsidTr="00EB202C">
        <w:trPr>
          <w:trHeight w:val="1090"/>
        </w:trPr>
        <w:tc>
          <w:tcPr>
            <w:tcW w:w="3827" w:type="dxa"/>
          </w:tcPr>
          <w:p w:rsidR="00E41803" w:rsidRPr="00C96F1E" w:rsidRDefault="00E41803" w:rsidP="00EB202C">
            <w:pPr>
              <w:spacing w:before="40" w:after="40"/>
              <w:rPr>
                <w:rFonts w:cs="Helvetica"/>
                <w:sz w:val="20"/>
                <w:szCs w:val="20"/>
              </w:rPr>
            </w:pPr>
            <w:r w:rsidRPr="00C96F1E">
              <w:rPr>
                <w:rFonts w:cs="Helvetica"/>
                <w:sz w:val="20"/>
                <w:szCs w:val="20"/>
              </w:rPr>
              <w:t>Multipurpose tariff</w:t>
            </w:r>
          </w:p>
        </w:tc>
        <w:tc>
          <w:tcPr>
            <w:tcW w:w="3686" w:type="dxa"/>
          </w:tcPr>
          <w:p w:rsidR="00E41803" w:rsidRPr="00C96F1E" w:rsidRDefault="00E41803" w:rsidP="00EB202C">
            <w:pPr>
              <w:spacing w:before="40" w:after="120"/>
              <w:jc w:val="center"/>
              <w:rPr>
                <w:rFonts w:cs="Helvetica"/>
                <w:sz w:val="20"/>
                <w:szCs w:val="20"/>
              </w:rPr>
            </w:pPr>
            <w:r w:rsidRPr="00C96F1E">
              <w:rPr>
                <w:rFonts w:cs="Helvetica"/>
                <w:sz w:val="20"/>
                <w:szCs w:val="20"/>
              </w:rPr>
              <w:t>25.</w:t>
            </w:r>
            <w:r>
              <w:rPr>
                <w:rFonts w:cs="Helvetica"/>
                <w:sz w:val="20"/>
                <w:szCs w:val="20"/>
              </w:rPr>
              <w:t>95</w:t>
            </w:r>
            <w:r w:rsidRPr="00C96F1E">
              <w:rPr>
                <w:rFonts w:cs="Helvetica"/>
                <w:sz w:val="20"/>
                <w:szCs w:val="20"/>
              </w:rPr>
              <w:br/>
              <w:t>for the first 45 kWh per day</w:t>
            </w:r>
          </w:p>
          <w:p w:rsidR="00E41803" w:rsidRPr="00C96F1E" w:rsidRDefault="00E41803" w:rsidP="00EB202C">
            <w:pPr>
              <w:spacing w:before="40" w:after="40"/>
              <w:jc w:val="center"/>
              <w:rPr>
                <w:rFonts w:cs="Helvetica"/>
                <w:sz w:val="20"/>
                <w:szCs w:val="20"/>
              </w:rPr>
            </w:pPr>
            <w:r>
              <w:rPr>
                <w:rFonts w:cs="Helvetica"/>
                <w:sz w:val="20"/>
                <w:szCs w:val="20"/>
              </w:rPr>
              <w:t>30.20</w:t>
            </w:r>
            <w:r w:rsidRPr="00C96F1E">
              <w:rPr>
                <w:rFonts w:cs="Helvetica"/>
                <w:sz w:val="20"/>
                <w:szCs w:val="20"/>
              </w:rPr>
              <w:br/>
              <w:t>above 45 kWh per day</w:t>
            </w:r>
          </w:p>
        </w:tc>
      </w:tr>
      <w:tr w:rsidR="00E41803" w:rsidRPr="00C96F1E" w:rsidTr="00EB202C">
        <w:tc>
          <w:tcPr>
            <w:tcW w:w="3827" w:type="dxa"/>
          </w:tcPr>
          <w:p w:rsidR="00E41803" w:rsidRPr="00C96F1E" w:rsidRDefault="00E41803" w:rsidP="00EB202C">
            <w:pPr>
              <w:spacing w:before="40" w:after="40"/>
              <w:rPr>
                <w:rFonts w:cs="Helvetica"/>
                <w:sz w:val="20"/>
                <w:szCs w:val="20"/>
              </w:rPr>
            </w:pPr>
            <w:r w:rsidRPr="00C96F1E">
              <w:rPr>
                <w:rFonts w:cs="Helvetica"/>
                <w:sz w:val="20"/>
                <w:szCs w:val="20"/>
              </w:rPr>
              <w:t>Public benevolent institution (PBI) tariff</w:t>
            </w:r>
          </w:p>
        </w:tc>
        <w:tc>
          <w:tcPr>
            <w:tcW w:w="3686" w:type="dxa"/>
          </w:tcPr>
          <w:p w:rsidR="00E41803" w:rsidRPr="00C96F1E" w:rsidRDefault="00E41803" w:rsidP="00EB202C">
            <w:pPr>
              <w:spacing w:before="40" w:after="40"/>
              <w:jc w:val="center"/>
              <w:rPr>
                <w:rFonts w:cs="Helvetica"/>
                <w:sz w:val="20"/>
                <w:szCs w:val="20"/>
              </w:rPr>
            </w:pPr>
            <w:r w:rsidRPr="00C96F1E">
              <w:rPr>
                <w:rFonts w:cs="Helvetica"/>
                <w:sz w:val="20"/>
                <w:szCs w:val="20"/>
              </w:rPr>
              <w:t>26.</w:t>
            </w:r>
            <w:r>
              <w:rPr>
                <w:rFonts w:cs="Helvetica"/>
                <w:sz w:val="20"/>
                <w:szCs w:val="20"/>
              </w:rPr>
              <w:t>74</w:t>
            </w:r>
          </w:p>
        </w:tc>
      </w:tr>
    </w:tbl>
    <w:p w:rsidR="00E41803" w:rsidRPr="00C96F1E" w:rsidRDefault="00B40625" w:rsidP="000D141D">
      <w:pPr>
        <w:tabs>
          <w:tab w:val="left" w:pos="-720"/>
        </w:tabs>
        <w:spacing w:before="240" w:after="120"/>
        <w:rPr>
          <w:rFonts w:cs="Helvetica"/>
          <w:b/>
          <w:spacing w:val="-3"/>
        </w:rPr>
      </w:pPr>
      <w:r w:rsidRPr="00C96F1E">
        <w:rPr>
          <w:rFonts w:cs="Helvetica"/>
          <w:b/>
          <w:spacing w:val="-3"/>
        </w:rPr>
        <w:t>Part 3</w:t>
      </w:r>
      <w:r w:rsidRPr="00C96F1E">
        <w:rPr>
          <w:rFonts w:cs="Helvetica"/>
          <w:b/>
          <w:spacing w:val="-3"/>
        </w:rPr>
        <w:tab/>
        <w:t>Non-Metered Supply</w:t>
      </w:r>
    </w:p>
    <w:p w:rsidR="00E41803" w:rsidRPr="00C96F1E" w:rsidRDefault="00E41803" w:rsidP="00E41803">
      <w:pPr>
        <w:keepNext/>
        <w:tabs>
          <w:tab w:val="left" w:pos="-720"/>
        </w:tabs>
        <w:spacing w:before="240" w:after="120"/>
        <w:jc w:val="both"/>
        <w:rPr>
          <w:rFonts w:cs="Helvetica"/>
          <w:b/>
        </w:rPr>
      </w:pPr>
      <w:r w:rsidRPr="00C96F1E">
        <w:rPr>
          <w:rFonts w:cs="Helvetica"/>
          <w:b/>
        </w:rPr>
        <w:t>6</w:t>
      </w:r>
      <w:r w:rsidRPr="00C96F1E">
        <w:rPr>
          <w:rFonts w:cs="Helvetica"/>
          <w:b/>
        </w:rPr>
        <w:tab/>
        <w:t xml:space="preserve">Application of Part </w:t>
      </w:r>
    </w:p>
    <w:p w:rsidR="00E41803" w:rsidRPr="00C96F1E" w:rsidRDefault="00E41803" w:rsidP="00E41803">
      <w:pPr>
        <w:tabs>
          <w:tab w:val="left" w:pos="-720"/>
        </w:tabs>
        <w:spacing w:after="120"/>
        <w:jc w:val="both"/>
        <w:rPr>
          <w:rFonts w:cs="Helvetica"/>
        </w:rPr>
      </w:pPr>
      <w:r w:rsidRPr="00C96F1E">
        <w:rPr>
          <w:rFonts w:cs="Helvetica"/>
        </w:rPr>
        <w:t>(1)</w:t>
      </w:r>
      <w:r w:rsidRPr="00C96F1E">
        <w:rPr>
          <w:rFonts w:cs="Helvetica"/>
        </w:rPr>
        <w:tab/>
        <w:t>This Part applies in relation to the following prescribed customers:</w:t>
      </w:r>
    </w:p>
    <w:p w:rsidR="00E41803" w:rsidRPr="00C96F1E" w:rsidRDefault="00E41803" w:rsidP="00E41803">
      <w:pPr>
        <w:tabs>
          <w:tab w:val="left" w:pos="-720"/>
        </w:tabs>
        <w:spacing w:after="120"/>
        <w:ind w:left="1440" w:hanging="731"/>
        <w:jc w:val="both"/>
        <w:rPr>
          <w:rFonts w:cs="Helvetica"/>
        </w:rPr>
      </w:pPr>
      <w:r w:rsidRPr="00C96F1E">
        <w:rPr>
          <w:rFonts w:cs="Helvetica"/>
        </w:rPr>
        <w:t>(a)</w:t>
      </w:r>
      <w:r w:rsidRPr="00C96F1E">
        <w:rPr>
          <w:rFonts w:cs="Helvetica"/>
        </w:rPr>
        <w:tab/>
        <w:t>general non-metered installation customers; and</w:t>
      </w:r>
    </w:p>
    <w:p w:rsidR="00E41803" w:rsidRPr="00C96F1E" w:rsidRDefault="00E41803" w:rsidP="00E41803">
      <w:pPr>
        <w:tabs>
          <w:tab w:val="left" w:pos="-720"/>
        </w:tabs>
        <w:spacing w:after="240"/>
        <w:ind w:left="1440" w:hanging="731"/>
        <w:jc w:val="both"/>
        <w:rPr>
          <w:rFonts w:cs="Helvetica"/>
        </w:rPr>
      </w:pPr>
      <w:r w:rsidRPr="00C96F1E">
        <w:rPr>
          <w:rFonts w:cs="Helvetica"/>
        </w:rPr>
        <w:t>(b)</w:t>
      </w:r>
      <w:r w:rsidRPr="00C96F1E">
        <w:rPr>
          <w:rFonts w:cs="Helvetica"/>
        </w:rPr>
        <w:tab/>
        <w:t>street lighting customers.</w:t>
      </w:r>
    </w:p>
    <w:p w:rsidR="00E41803" w:rsidRPr="00C96F1E" w:rsidRDefault="00E41803" w:rsidP="00E41803">
      <w:pPr>
        <w:tabs>
          <w:tab w:val="left" w:pos="-720"/>
        </w:tabs>
        <w:spacing w:before="240" w:after="120"/>
        <w:ind w:left="720" w:hanging="720"/>
        <w:jc w:val="both"/>
        <w:rPr>
          <w:rFonts w:cs="Helvetica"/>
        </w:rPr>
      </w:pPr>
      <w:r w:rsidRPr="00C96F1E">
        <w:rPr>
          <w:rFonts w:cs="Helvetica"/>
        </w:rPr>
        <w:lastRenderedPageBreak/>
        <w:t>(2)</w:t>
      </w:r>
      <w:r w:rsidRPr="00C96F1E">
        <w:rPr>
          <w:rFonts w:cs="Helvetica"/>
        </w:rPr>
        <w:tab/>
        <w:t>The billing entity must ensure that the retail prices it charges under this Part distinguish between the prescribed customers mentioned in subclause (1).</w:t>
      </w:r>
    </w:p>
    <w:p w:rsidR="00E41803" w:rsidRPr="00C96F1E" w:rsidRDefault="00E41803" w:rsidP="00E41803">
      <w:pPr>
        <w:keepNext/>
        <w:tabs>
          <w:tab w:val="left" w:pos="-720"/>
        </w:tabs>
        <w:spacing w:before="240" w:after="120"/>
        <w:ind w:left="720" w:hanging="720"/>
        <w:jc w:val="both"/>
        <w:rPr>
          <w:rFonts w:cs="Helvetica"/>
          <w:b/>
        </w:rPr>
      </w:pPr>
      <w:r w:rsidRPr="00C96F1E">
        <w:rPr>
          <w:rFonts w:cs="Helvetica"/>
          <w:b/>
        </w:rPr>
        <w:t>7</w:t>
      </w:r>
      <w:r w:rsidRPr="00C96F1E">
        <w:rPr>
          <w:rFonts w:cs="Helvetica"/>
          <w:b/>
        </w:rPr>
        <w:tab/>
        <w:t>General non-metered installation customer</w:t>
      </w:r>
    </w:p>
    <w:p w:rsidR="00E41803" w:rsidRPr="00C96F1E" w:rsidRDefault="00E41803" w:rsidP="00E41803">
      <w:pPr>
        <w:keepNext/>
        <w:spacing w:after="120"/>
        <w:ind w:left="720" w:hanging="720"/>
        <w:jc w:val="both"/>
        <w:rPr>
          <w:rFonts w:cs="Helvetica"/>
        </w:rPr>
      </w:pPr>
      <w:r w:rsidRPr="00C96F1E">
        <w:rPr>
          <w:rFonts w:cs="Helvetica"/>
        </w:rPr>
        <w:tab/>
        <w:t>The billing entity may charge a general non-metered installation customer, on a pro rata basis per annum, for the consumption of electricity supplied to the customer's electrical installations during a period of operation specified in the following table, a retail price calculated on the basis of the amount specified opposite the period.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General non-metered installation customer"/>
        <w:tblDescription w:val="Period of operation/annual charge ($per watt)"/>
      </w:tblPr>
      <w:tblGrid>
        <w:gridCol w:w="3813"/>
        <w:gridCol w:w="3672"/>
      </w:tblGrid>
      <w:tr w:rsidR="00E41803" w:rsidRPr="00C96F1E" w:rsidTr="00EB202C">
        <w:tc>
          <w:tcPr>
            <w:tcW w:w="3827" w:type="dxa"/>
          </w:tcPr>
          <w:p w:rsidR="00E41803" w:rsidRPr="00C96F1E" w:rsidRDefault="00E41803" w:rsidP="00B40625">
            <w:pPr>
              <w:widowControl w:val="0"/>
              <w:spacing w:before="40" w:after="40"/>
              <w:jc w:val="center"/>
              <w:rPr>
                <w:rFonts w:cs="Helvetica"/>
                <w:sz w:val="20"/>
                <w:szCs w:val="20"/>
              </w:rPr>
            </w:pPr>
            <w:r w:rsidRPr="00C96F1E">
              <w:rPr>
                <w:rFonts w:cs="Helvetica"/>
                <w:b/>
                <w:sz w:val="20"/>
                <w:szCs w:val="20"/>
              </w:rPr>
              <w:t>Period of operation</w:t>
            </w:r>
          </w:p>
        </w:tc>
        <w:tc>
          <w:tcPr>
            <w:tcW w:w="3686" w:type="dxa"/>
          </w:tcPr>
          <w:p w:rsidR="00E41803" w:rsidRPr="00C96F1E" w:rsidRDefault="00E41803" w:rsidP="00EB202C">
            <w:pPr>
              <w:spacing w:before="40" w:after="40"/>
              <w:jc w:val="center"/>
              <w:rPr>
                <w:rFonts w:cs="Helvetica"/>
                <w:b/>
                <w:sz w:val="20"/>
                <w:szCs w:val="20"/>
              </w:rPr>
            </w:pPr>
            <w:r w:rsidRPr="00C96F1E">
              <w:rPr>
                <w:rFonts w:cs="Helvetica"/>
                <w:b/>
                <w:sz w:val="20"/>
                <w:szCs w:val="20"/>
              </w:rPr>
              <w:t>Annual charge ($ per watt)</w:t>
            </w:r>
          </w:p>
        </w:tc>
      </w:tr>
      <w:tr w:rsidR="00E41803" w:rsidRPr="00C96F1E" w:rsidTr="00EB202C">
        <w:tc>
          <w:tcPr>
            <w:tcW w:w="3827" w:type="dxa"/>
          </w:tcPr>
          <w:p w:rsidR="00E41803" w:rsidRPr="00C96F1E" w:rsidRDefault="00E41803" w:rsidP="00EB202C">
            <w:pPr>
              <w:spacing w:before="40" w:after="40"/>
              <w:jc w:val="both"/>
              <w:rPr>
                <w:rFonts w:cs="Helvetica"/>
                <w:sz w:val="20"/>
                <w:szCs w:val="20"/>
              </w:rPr>
            </w:pPr>
            <w:r w:rsidRPr="00C96F1E">
              <w:rPr>
                <w:rFonts w:cs="Helvetica"/>
                <w:sz w:val="20"/>
                <w:szCs w:val="20"/>
              </w:rPr>
              <w:t>Off-peak operation (6pm to 6am)</w:t>
            </w:r>
          </w:p>
        </w:tc>
        <w:tc>
          <w:tcPr>
            <w:tcW w:w="3686" w:type="dxa"/>
          </w:tcPr>
          <w:p w:rsidR="00E41803" w:rsidRPr="00C96F1E" w:rsidRDefault="00E41803" w:rsidP="00EB202C">
            <w:pPr>
              <w:spacing w:before="40" w:after="40"/>
              <w:jc w:val="center"/>
              <w:rPr>
                <w:rFonts w:cs="Helvetica"/>
                <w:sz w:val="20"/>
                <w:szCs w:val="20"/>
              </w:rPr>
            </w:pPr>
            <w:r w:rsidRPr="00C96F1E">
              <w:rPr>
                <w:rFonts w:cs="Helvetica"/>
                <w:sz w:val="20"/>
                <w:szCs w:val="20"/>
              </w:rPr>
              <w:t>1.1</w:t>
            </w:r>
            <w:r>
              <w:rPr>
                <w:rFonts w:cs="Helvetica"/>
                <w:sz w:val="20"/>
                <w:szCs w:val="20"/>
              </w:rPr>
              <w:t>38</w:t>
            </w:r>
          </w:p>
        </w:tc>
      </w:tr>
      <w:tr w:rsidR="00E41803" w:rsidRPr="00C96F1E" w:rsidTr="00EB202C">
        <w:tc>
          <w:tcPr>
            <w:tcW w:w="3827" w:type="dxa"/>
          </w:tcPr>
          <w:p w:rsidR="00E41803" w:rsidRPr="00C96F1E" w:rsidRDefault="00E41803" w:rsidP="00EB202C">
            <w:pPr>
              <w:spacing w:before="40" w:after="40"/>
              <w:jc w:val="both"/>
              <w:rPr>
                <w:rFonts w:cs="Helvetica"/>
                <w:sz w:val="20"/>
                <w:szCs w:val="20"/>
              </w:rPr>
            </w:pPr>
            <w:r w:rsidRPr="00C96F1E">
              <w:rPr>
                <w:rFonts w:cs="Helvetica"/>
                <w:sz w:val="20"/>
                <w:szCs w:val="20"/>
              </w:rPr>
              <w:t>Peak operation (6am to 6pm)</w:t>
            </w:r>
          </w:p>
        </w:tc>
        <w:tc>
          <w:tcPr>
            <w:tcW w:w="3686" w:type="dxa"/>
          </w:tcPr>
          <w:p w:rsidR="00E41803" w:rsidRPr="00C96F1E" w:rsidRDefault="00E41803" w:rsidP="00EB202C">
            <w:pPr>
              <w:spacing w:before="40" w:after="40"/>
              <w:jc w:val="center"/>
              <w:rPr>
                <w:rFonts w:cs="Helvetica"/>
                <w:sz w:val="20"/>
                <w:szCs w:val="20"/>
              </w:rPr>
            </w:pPr>
            <w:r w:rsidRPr="00C96F1E">
              <w:rPr>
                <w:rFonts w:cs="Helvetica"/>
                <w:sz w:val="20"/>
                <w:szCs w:val="20"/>
              </w:rPr>
              <w:t>1.2</w:t>
            </w:r>
            <w:r>
              <w:rPr>
                <w:rFonts w:cs="Helvetica"/>
                <w:sz w:val="20"/>
                <w:szCs w:val="20"/>
              </w:rPr>
              <w:t>65</w:t>
            </w:r>
          </w:p>
        </w:tc>
      </w:tr>
      <w:tr w:rsidR="00E41803" w:rsidRPr="00C96F1E" w:rsidTr="00EB202C">
        <w:trPr>
          <w:trHeight w:val="229"/>
        </w:trPr>
        <w:tc>
          <w:tcPr>
            <w:tcW w:w="3827" w:type="dxa"/>
          </w:tcPr>
          <w:p w:rsidR="00E41803" w:rsidRPr="00C96F1E" w:rsidRDefault="00E41803" w:rsidP="00EB202C">
            <w:pPr>
              <w:spacing w:before="40" w:after="40"/>
              <w:jc w:val="both"/>
              <w:rPr>
                <w:rFonts w:cs="Helvetica"/>
                <w:sz w:val="20"/>
                <w:szCs w:val="20"/>
              </w:rPr>
            </w:pPr>
            <w:r w:rsidRPr="00C96F1E">
              <w:rPr>
                <w:rFonts w:cs="Helvetica"/>
                <w:sz w:val="20"/>
                <w:szCs w:val="20"/>
              </w:rPr>
              <w:t>24 hour operation</w:t>
            </w:r>
          </w:p>
        </w:tc>
        <w:tc>
          <w:tcPr>
            <w:tcW w:w="3686" w:type="dxa"/>
          </w:tcPr>
          <w:p w:rsidR="00E41803" w:rsidRPr="00C96F1E" w:rsidRDefault="00E41803" w:rsidP="00EB202C">
            <w:pPr>
              <w:spacing w:before="40" w:after="40"/>
              <w:jc w:val="center"/>
              <w:rPr>
                <w:rFonts w:cs="Helvetica"/>
                <w:sz w:val="20"/>
                <w:szCs w:val="20"/>
              </w:rPr>
            </w:pPr>
            <w:r w:rsidRPr="00C96F1E">
              <w:rPr>
                <w:rFonts w:cs="Helvetica"/>
                <w:sz w:val="20"/>
                <w:szCs w:val="20"/>
              </w:rPr>
              <w:t>2.4</w:t>
            </w:r>
            <w:r>
              <w:rPr>
                <w:rFonts w:cs="Helvetica"/>
                <w:sz w:val="20"/>
                <w:szCs w:val="20"/>
              </w:rPr>
              <w:t>59</w:t>
            </w:r>
          </w:p>
        </w:tc>
      </w:tr>
    </w:tbl>
    <w:p w:rsidR="00E41803" w:rsidRPr="00C96F1E" w:rsidRDefault="00E41803" w:rsidP="00E41803">
      <w:pPr>
        <w:keepNext/>
        <w:tabs>
          <w:tab w:val="left" w:pos="-720"/>
        </w:tabs>
        <w:spacing w:before="240" w:after="120"/>
        <w:ind w:left="720" w:hanging="720"/>
        <w:jc w:val="both"/>
        <w:rPr>
          <w:rFonts w:cs="Helvetica"/>
          <w:b/>
        </w:rPr>
      </w:pPr>
      <w:r w:rsidRPr="00C96F1E">
        <w:rPr>
          <w:rFonts w:cs="Helvetica"/>
          <w:b/>
        </w:rPr>
        <w:t>8</w:t>
      </w:r>
      <w:r w:rsidRPr="00C96F1E">
        <w:rPr>
          <w:rFonts w:cs="Helvetica"/>
          <w:b/>
        </w:rPr>
        <w:tab/>
        <w:t>Street lighting customer</w:t>
      </w:r>
    </w:p>
    <w:p w:rsidR="00E41803" w:rsidRPr="00C96F1E" w:rsidRDefault="00E41803" w:rsidP="00E41803">
      <w:pPr>
        <w:spacing w:after="120"/>
        <w:ind w:left="720" w:hanging="720"/>
        <w:jc w:val="both"/>
        <w:rPr>
          <w:rFonts w:cs="Helvetica"/>
        </w:rPr>
      </w:pPr>
      <w:r w:rsidRPr="00C96F1E">
        <w:rPr>
          <w:rFonts w:cs="Helvetica"/>
        </w:rPr>
        <w:t>(1)</w:t>
      </w:r>
      <w:r w:rsidRPr="00C96F1E">
        <w:rPr>
          <w:rFonts w:cs="Helvetica"/>
        </w:rPr>
        <w:tab/>
        <w:t>The billing entity may charge a street lighting customer, on a pro rata basis per annum, for the consumption of electricity supplied to the customer's electrical installations of a light wattage range specified in the following table, a retail price not exceeding the amount specified opposite the wattage range.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treet lighting customer"/>
        <w:tblDescription w:val="Light wattage range/annual charge ($)"/>
      </w:tblPr>
      <w:tblGrid>
        <w:gridCol w:w="3531"/>
        <w:gridCol w:w="3954"/>
      </w:tblGrid>
      <w:tr w:rsidR="00E41803" w:rsidRPr="00C96F1E" w:rsidTr="00EB202C">
        <w:tc>
          <w:tcPr>
            <w:tcW w:w="3544" w:type="dxa"/>
          </w:tcPr>
          <w:p w:rsidR="00E41803" w:rsidRPr="00C96F1E" w:rsidRDefault="00E41803" w:rsidP="00EB202C">
            <w:pPr>
              <w:spacing w:before="40" w:after="40"/>
              <w:jc w:val="center"/>
              <w:rPr>
                <w:rFonts w:cs="Helvetica"/>
                <w:sz w:val="20"/>
                <w:szCs w:val="20"/>
              </w:rPr>
            </w:pPr>
            <w:r w:rsidRPr="00C96F1E">
              <w:rPr>
                <w:rFonts w:cs="Helvetica"/>
                <w:b/>
                <w:sz w:val="20"/>
                <w:szCs w:val="20"/>
              </w:rPr>
              <w:t>Light wattage range</w:t>
            </w:r>
          </w:p>
        </w:tc>
        <w:tc>
          <w:tcPr>
            <w:tcW w:w="3969" w:type="dxa"/>
          </w:tcPr>
          <w:p w:rsidR="00E41803" w:rsidRPr="00C96F1E" w:rsidRDefault="00E41803" w:rsidP="00EB202C">
            <w:pPr>
              <w:spacing w:before="40" w:after="40"/>
              <w:jc w:val="center"/>
              <w:rPr>
                <w:rFonts w:cs="Helvetica"/>
                <w:b/>
                <w:sz w:val="20"/>
                <w:szCs w:val="20"/>
              </w:rPr>
            </w:pPr>
            <w:r w:rsidRPr="00C96F1E">
              <w:rPr>
                <w:rFonts w:cs="Helvetica"/>
                <w:b/>
                <w:sz w:val="20"/>
                <w:szCs w:val="20"/>
              </w:rPr>
              <w:t>Annual charge ($)</w:t>
            </w:r>
          </w:p>
        </w:tc>
      </w:tr>
      <w:tr w:rsidR="00E41803" w:rsidRPr="00C96F1E" w:rsidTr="00EB202C">
        <w:tc>
          <w:tcPr>
            <w:tcW w:w="3544" w:type="dxa"/>
          </w:tcPr>
          <w:p w:rsidR="00E41803" w:rsidRPr="00C96F1E" w:rsidRDefault="00E41803" w:rsidP="00EB202C">
            <w:pPr>
              <w:spacing w:before="40" w:after="40"/>
              <w:jc w:val="center"/>
              <w:rPr>
                <w:rFonts w:cs="Helvetica"/>
                <w:sz w:val="20"/>
                <w:szCs w:val="20"/>
              </w:rPr>
            </w:pPr>
            <w:r w:rsidRPr="00C96F1E">
              <w:rPr>
                <w:rFonts w:cs="Helvetica"/>
                <w:sz w:val="20"/>
                <w:szCs w:val="20"/>
              </w:rPr>
              <w:t>1-50</w:t>
            </w:r>
          </w:p>
        </w:tc>
        <w:tc>
          <w:tcPr>
            <w:tcW w:w="3969" w:type="dxa"/>
          </w:tcPr>
          <w:p w:rsidR="00E41803" w:rsidRPr="00C96F1E" w:rsidRDefault="00E41803" w:rsidP="00EB202C">
            <w:pPr>
              <w:spacing w:before="40" w:after="40"/>
              <w:jc w:val="center"/>
              <w:rPr>
                <w:rFonts w:cs="Helvetica"/>
                <w:sz w:val="20"/>
                <w:szCs w:val="20"/>
              </w:rPr>
            </w:pPr>
            <w:r>
              <w:rPr>
                <w:rFonts w:cs="Helvetica"/>
                <w:sz w:val="20"/>
                <w:szCs w:val="20"/>
              </w:rPr>
              <w:t>59</w:t>
            </w:r>
            <w:r w:rsidRPr="00C96F1E">
              <w:rPr>
                <w:rFonts w:cs="Helvetica"/>
                <w:sz w:val="20"/>
                <w:szCs w:val="20"/>
              </w:rPr>
              <w:t>.</w:t>
            </w:r>
            <w:r>
              <w:rPr>
                <w:rFonts w:cs="Helvetica"/>
                <w:sz w:val="20"/>
                <w:szCs w:val="20"/>
              </w:rPr>
              <w:t>101</w:t>
            </w:r>
          </w:p>
        </w:tc>
      </w:tr>
      <w:tr w:rsidR="00E41803" w:rsidRPr="00C96F1E" w:rsidTr="00EB202C">
        <w:tc>
          <w:tcPr>
            <w:tcW w:w="3544" w:type="dxa"/>
          </w:tcPr>
          <w:p w:rsidR="00E41803" w:rsidRPr="00C96F1E" w:rsidRDefault="00E41803" w:rsidP="00EB202C">
            <w:pPr>
              <w:spacing w:before="40" w:after="40"/>
              <w:jc w:val="center"/>
              <w:rPr>
                <w:rFonts w:cs="Helvetica"/>
                <w:sz w:val="20"/>
                <w:szCs w:val="20"/>
              </w:rPr>
            </w:pPr>
            <w:r w:rsidRPr="00C96F1E">
              <w:rPr>
                <w:rFonts w:cs="Helvetica"/>
                <w:sz w:val="20"/>
                <w:szCs w:val="20"/>
              </w:rPr>
              <w:t>51-100</w:t>
            </w:r>
          </w:p>
        </w:tc>
        <w:tc>
          <w:tcPr>
            <w:tcW w:w="3969" w:type="dxa"/>
          </w:tcPr>
          <w:p w:rsidR="00E41803" w:rsidRPr="00C96F1E" w:rsidRDefault="00E41803" w:rsidP="00EB202C">
            <w:pPr>
              <w:spacing w:before="40" w:after="40"/>
              <w:jc w:val="center"/>
              <w:rPr>
                <w:rFonts w:cs="Helvetica"/>
                <w:sz w:val="20"/>
                <w:szCs w:val="20"/>
              </w:rPr>
            </w:pPr>
            <w:r>
              <w:rPr>
                <w:rFonts w:cs="Helvetica"/>
                <w:sz w:val="20"/>
                <w:szCs w:val="20"/>
              </w:rPr>
              <w:t>118</w:t>
            </w:r>
            <w:r w:rsidRPr="00C96F1E">
              <w:rPr>
                <w:rFonts w:cs="Helvetica"/>
                <w:sz w:val="20"/>
                <w:szCs w:val="20"/>
              </w:rPr>
              <w:t>.</w:t>
            </w:r>
            <w:r>
              <w:rPr>
                <w:rFonts w:cs="Helvetica"/>
                <w:sz w:val="20"/>
                <w:szCs w:val="20"/>
              </w:rPr>
              <w:t>201</w:t>
            </w:r>
          </w:p>
        </w:tc>
      </w:tr>
      <w:tr w:rsidR="00E41803" w:rsidRPr="00C96F1E" w:rsidTr="00EB202C">
        <w:trPr>
          <w:trHeight w:val="229"/>
        </w:trPr>
        <w:tc>
          <w:tcPr>
            <w:tcW w:w="3544" w:type="dxa"/>
          </w:tcPr>
          <w:p w:rsidR="00E41803" w:rsidRPr="00C96F1E" w:rsidRDefault="00E41803" w:rsidP="00EB202C">
            <w:pPr>
              <w:spacing w:before="40" w:after="40"/>
              <w:jc w:val="center"/>
              <w:rPr>
                <w:rFonts w:cs="Helvetica"/>
                <w:sz w:val="20"/>
                <w:szCs w:val="20"/>
              </w:rPr>
            </w:pPr>
            <w:r w:rsidRPr="00C96F1E">
              <w:rPr>
                <w:rFonts w:cs="Helvetica"/>
                <w:sz w:val="20"/>
                <w:szCs w:val="20"/>
              </w:rPr>
              <w:t>101-200</w:t>
            </w:r>
          </w:p>
        </w:tc>
        <w:tc>
          <w:tcPr>
            <w:tcW w:w="3969" w:type="dxa"/>
          </w:tcPr>
          <w:p w:rsidR="00E41803" w:rsidRPr="00C96F1E" w:rsidRDefault="00E41803" w:rsidP="00EB202C">
            <w:pPr>
              <w:spacing w:before="40" w:after="40"/>
              <w:jc w:val="center"/>
              <w:rPr>
                <w:rFonts w:cs="Helvetica"/>
                <w:sz w:val="20"/>
                <w:szCs w:val="20"/>
              </w:rPr>
            </w:pPr>
            <w:r>
              <w:rPr>
                <w:rFonts w:cs="Helvetica"/>
                <w:sz w:val="20"/>
                <w:szCs w:val="20"/>
              </w:rPr>
              <w:t>236</w:t>
            </w:r>
            <w:r w:rsidRPr="00C96F1E">
              <w:rPr>
                <w:rFonts w:cs="Helvetica"/>
                <w:sz w:val="20"/>
                <w:szCs w:val="20"/>
              </w:rPr>
              <w:t>.</w:t>
            </w:r>
            <w:r>
              <w:rPr>
                <w:rFonts w:cs="Helvetica"/>
                <w:sz w:val="20"/>
                <w:szCs w:val="20"/>
              </w:rPr>
              <w:t>401</w:t>
            </w:r>
          </w:p>
        </w:tc>
      </w:tr>
      <w:tr w:rsidR="00E41803" w:rsidRPr="00C96F1E" w:rsidTr="00EB202C">
        <w:tc>
          <w:tcPr>
            <w:tcW w:w="3544" w:type="dxa"/>
          </w:tcPr>
          <w:p w:rsidR="00E41803" w:rsidRPr="00C96F1E" w:rsidRDefault="00E41803" w:rsidP="00EB202C">
            <w:pPr>
              <w:spacing w:before="40" w:after="40"/>
              <w:jc w:val="center"/>
              <w:rPr>
                <w:rFonts w:cs="Helvetica"/>
                <w:sz w:val="20"/>
                <w:szCs w:val="20"/>
              </w:rPr>
            </w:pPr>
            <w:r w:rsidRPr="00C96F1E">
              <w:rPr>
                <w:rFonts w:cs="Helvetica"/>
                <w:sz w:val="20"/>
                <w:szCs w:val="20"/>
              </w:rPr>
              <w:t>201-300</w:t>
            </w:r>
          </w:p>
        </w:tc>
        <w:tc>
          <w:tcPr>
            <w:tcW w:w="3969" w:type="dxa"/>
          </w:tcPr>
          <w:p w:rsidR="00E41803" w:rsidRPr="00C96F1E" w:rsidRDefault="00E41803" w:rsidP="00EB202C">
            <w:pPr>
              <w:spacing w:before="40" w:after="40"/>
              <w:jc w:val="center"/>
              <w:rPr>
                <w:rFonts w:cs="Helvetica"/>
                <w:sz w:val="20"/>
                <w:szCs w:val="20"/>
              </w:rPr>
            </w:pPr>
            <w:r w:rsidRPr="00C96F1E">
              <w:rPr>
                <w:rFonts w:cs="Helvetica"/>
                <w:sz w:val="20"/>
                <w:szCs w:val="20"/>
              </w:rPr>
              <w:t>35</w:t>
            </w:r>
            <w:r>
              <w:rPr>
                <w:rFonts w:cs="Helvetica"/>
                <w:sz w:val="20"/>
                <w:szCs w:val="20"/>
              </w:rPr>
              <w:t>4</w:t>
            </w:r>
            <w:r w:rsidRPr="00C96F1E">
              <w:rPr>
                <w:rFonts w:cs="Helvetica"/>
                <w:sz w:val="20"/>
                <w:szCs w:val="20"/>
              </w:rPr>
              <w:t>.</w:t>
            </w:r>
            <w:r>
              <w:rPr>
                <w:rFonts w:cs="Helvetica"/>
                <w:sz w:val="20"/>
                <w:szCs w:val="20"/>
              </w:rPr>
              <w:t>601</w:t>
            </w:r>
          </w:p>
        </w:tc>
      </w:tr>
      <w:tr w:rsidR="00E41803" w:rsidRPr="00C96F1E" w:rsidTr="00EB202C">
        <w:trPr>
          <w:trHeight w:val="70"/>
        </w:trPr>
        <w:tc>
          <w:tcPr>
            <w:tcW w:w="3544" w:type="dxa"/>
          </w:tcPr>
          <w:p w:rsidR="00E41803" w:rsidRPr="00C96F1E" w:rsidRDefault="00E41803" w:rsidP="00EB202C">
            <w:pPr>
              <w:spacing w:before="40" w:after="40"/>
              <w:jc w:val="center"/>
              <w:rPr>
                <w:rFonts w:cs="Helvetica"/>
                <w:sz w:val="20"/>
                <w:szCs w:val="20"/>
              </w:rPr>
            </w:pPr>
            <w:r w:rsidRPr="00C96F1E">
              <w:rPr>
                <w:rFonts w:cs="Helvetica"/>
                <w:sz w:val="20"/>
                <w:szCs w:val="20"/>
              </w:rPr>
              <w:t>301-400</w:t>
            </w:r>
          </w:p>
        </w:tc>
        <w:tc>
          <w:tcPr>
            <w:tcW w:w="3969" w:type="dxa"/>
          </w:tcPr>
          <w:p w:rsidR="00E41803" w:rsidRPr="00C96F1E" w:rsidRDefault="00E41803" w:rsidP="00EB202C">
            <w:pPr>
              <w:spacing w:before="40" w:after="40"/>
              <w:jc w:val="center"/>
              <w:rPr>
                <w:rFonts w:cs="Helvetica"/>
                <w:sz w:val="20"/>
                <w:szCs w:val="20"/>
              </w:rPr>
            </w:pPr>
            <w:r w:rsidRPr="00C96F1E">
              <w:rPr>
                <w:rFonts w:cs="Helvetica"/>
                <w:sz w:val="20"/>
                <w:szCs w:val="20"/>
              </w:rPr>
              <w:t>4</w:t>
            </w:r>
            <w:r>
              <w:rPr>
                <w:rFonts w:cs="Helvetica"/>
                <w:sz w:val="20"/>
                <w:szCs w:val="20"/>
              </w:rPr>
              <w:t>72</w:t>
            </w:r>
            <w:r w:rsidRPr="00C96F1E">
              <w:rPr>
                <w:rFonts w:cs="Helvetica"/>
                <w:sz w:val="20"/>
                <w:szCs w:val="20"/>
              </w:rPr>
              <w:t>.</w:t>
            </w:r>
            <w:r>
              <w:rPr>
                <w:rFonts w:cs="Helvetica"/>
                <w:sz w:val="20"/>
                <w:szCs w:val="20"/>
              </w:rPr>
              <w:t>802</w:t>
            </w:r>
          </w:p>
        </w:tc>
      </w:tr>
      <w:tr w:rsidR="00E41803" w:rsidRPr="00C96F1E" w:rsidTr="00EB202C">
        <w:tc>
          <w:tcPr>
            <w:tcW w:w="3544" w:type="dxa"/>
          </w:tcPr>
          <w:p w:rsidR="00E41803" w:rsidRPr="00C96F1E" w:rsidRDefault="00E41803" w:rsidP="00EB202C">
            <w:pPr>
              <w:spacing w:before="40" w:after="40"/>
              <w:jc w:val="center"/>
              <w:rPr>
                <w:rFonts w:cs="Helvetica"/>
                <w:sz w:val="20"/>
                <w:szCs w:val="20"/>
              </w:rPr>
            </w:pPr>
            <w:r w:rsidRPr="00C96F1E">
              <w:rPr>
                <w:rFonts w:cs="Helvetica"/>
                <w:sz w:val="20"/>
                <w:szCs w:val="20"/>
              </w:rPr>
              <w:t>401 and above</w:t>
            </w:r>
          </w:p>
        </w:tc>
        <w:tc>
          <w:tcPr>
            <w:tcW w:w="3969" w:type="dxa"/>
          </w:tcPr>
          <w:p w:rsidR="00E41803" w:rsidRPr="00C96F1E" w:rsidRDefault="00E41803" w:rsidP="00EB202C">
            <w:pPr>
              <w:spacing w:before="40" w:after="40"/>
              <w:jc w:val="center"/>
              <w:rPr>
                <w:rFonts w:cs="Helvetica"/>
                <w:sz w:val="20"/>
                <w:szCs w:val="20"/>
              </w:rPr>
            </w:pPr>
            <w:r w:rsidRPr="00C96F1E">
              <w:rPr>
                <w:rFonts w:cs="Helvetica"/>
                <w:sz w:val="20"/>
                <w:szCs w:val="20"/>
              </w:rPr>
              <w:t>1 1</w:t>
            </w:r>
            <w:r>
              <w:rPr>
                <w:rFonts w:cs="Helvetica"/>
                <w:sz w:val="20"/>
                <w:szCs w:val="20"/>
              </w:rPr>
              <w:t>82</w:t>
            </w:r>
            <w:r w:rsidRPr="00C96F1E">
              <w:rPr>
                <w:rFonts w:cs="Helvetica"/>
                <w:sz w:val="20"/>
                <w:szCs w:val="20"/>
              </w:rPr>
              <w:t>.</w:t>
            </w:r>
            <w:r>
              <w:rPr>
                <w:rFonts w:cs="Helvetica"/>
                <w:sz w:val="20"/>
                <w:szCs w:val="20"/>
              </w:rPr>
              <w:t>006</w:t>
            </w:r>
          </w:p>
        </w:tc>
      </w:tr>
    </w:tbl>
    <w:p w:rsidR="00E41803" w:rsidRPr="00C96F1E" w:rsidRDefault="00E41803" w:rsidP="00E41803">
      <w:pPr>
        <w:spacing w:before="120"/>
        <w:ind w:left="720" w:hanging="720"/>
        <w:jc w:val="both"/>
        <w:rPr>
          <w:rFonts w:cs="Helvetica"/>
        </w:rPr>
      </w:pPr>
      <w:r w:rsidRPr="00C96F1E">
        <w:rPr>
          <w:rFonts w:cs="Helvetica"/>
        </w:rPr>
        <w:t>(2)</w:t>
      </w:r>
      <w:r w:rsidRPr="00C96F1E">
        <w:rPr>
          <w:rFonts w:cs="Helvetica"/>
        </w:rPr>
        <w:tab/>
        <w:t>The retail price is to be calculated on the actual light wattage range of the prescribed customer's electrical installations as provided in writing to the billing entity by the customer.</w:t>
      </w:r>
    </w:p>
    <w:p w:rsidR="00E41803" w:rsidRPr="00C96F1E" w:rsidRDefault="00B40625" w:rsidP="00E41803">
      <w:pPr>
        <w:tabs>
          <w:tab w:val="left" w:pos="-720"/>
        </w:tabs>
        <w:spacing w:before="240" w:after="240"/>
        <w:rPr>
          <w:rFonts w:cs="Helvetica"/>
          <w:b/>
          <w:spacing w:val="-3"/>
        </w:rPr>
      </w:pPr>
      <w:r>
        <w:rPr>
          <w:rFonts w:cs="Helvetica"/>
          <w:b/>
          <w:spacing w:val="-3"/>
        </w:rPr>
        <w:t>Part 4</w:t>
      </w:r>
      <w:r>
        <w:rPr>
          <w:rFonts w:cs="Helvetica"/>
          <w:b/>
          <w:spacing w:val="-3"/>
        </w:rPr>
        <w:tab/>
      </w:r>
      <w:r w:rsidRPr="00C96F1E">
        <w:rPr>
          <w:rFonts w:cs="Helvetica"/>
          <w:b/>
          <w:spacing w:val="-3"/>
        </w:rPr>
        <w:t>Utilities Commission</w:t>
      </w:r>
    </w:p>
    <w:p w:rsidR="00E41803" w:rsidRPr="00C96F1E" w:rsidRDefault="00E41803" w:rsidP="00E41803">
      <w:pPr>
        <w:keepNext/>
        <w:spacing w:after="240"/>
        <w:ind w:left="720" w:hanging="720"/>
        <w:jc w:val="both"/>
        <w:rPr>
          <w:rFonts w:cs="Helvetica"/>
          <w:b/>
        </w:rPr>
      </w:pPr>
      <w:r w:rsidRPr="00C96F1E">
        <w:rPr>
          <w:rFonts w:cs="Helvetica"/>
          <w:b/>
        </w:rPr>
        <w:t>9</w:t>
      </w:r>
      <w:r w:rsidRPr="00C96F1E">
        <w:rPr>
          <w:rFonts w:cs="Helvetica"/>
          <w:b/>
        </w:rPr>
        <w:tab/>
        <w:t>Role of Utilities Commission</w:t>
      </w:r>
    </w:p>
    <w:p w:rsidR="00E41803" w:rsidRPr="00C96F1E" w:rsidRDefault="00E41803" w:rsidP="00E41803">
      <w:pPr>
        <w:keepNext/>
        <w:spacing w:after="120"/>
        <w:jc w:val="both"/>
        <w:rPr>
          <w:rFonts w:cs="Helvetica"/>
        </w:rPr>
      </w:pPr>
      <w:r w:rsidRPr="00C96F1E">
        <w:rPr>
          <w:rFonts w:cs="Helvetica"/>
        </w:rPr>
        <w:tab/>
        <w:t>The Utilities Commission is to:</w:t>
      </w:r>
    </w:p>
    <w:p w:rsidR="00E41803" w:rsidRPr="00C96F1E" w:rsidRDefault="00E41803" w:rsidP="00E41803">
      <w:pPr>
        <w:spacing w:after="120"/>
        <w:ind w:left="1440" w:hanging="720"/>
        <w:jc w:val="both"/>
        <w:rPr>
          <w:rFonts w:cs="Helvetica"/>
        </w:rPr>
      </w:pPr>
      <w:r w:rsidRPr="00C96F1E">
        <w:rPr>
          <w:rFonts w:cs="Helvetica"/>
        </w:rPr>
        <w:t>(a)</w:t>
      </w:r>
      <w:r w:rsidRPr="00C96F1E">
        <w:rPr>
          <w:rFonts w:cs="Helvetica"/>
        </w:rPr>
        <w:tab/>
        <w:t>monitor compliance with this electricity pricing order; and</w:t>
      </w:r>
    </w:p>
    <w:p w:rsidR="00E41803" w:rsidRPr="00C96F1E" w:rsidRDefault="00E41803" w:rsidP="00E41803">
      <w:pPr>
        <w:spacing w:after="120"/>
        <w:ind w:left="1440" w:hanging="720"/>
        <w:jc w:val="both"/>
        <w:rPr>
          <w:rFonts w:cs="Helvetica"/>
        </w:rPr>
      </w:pPr>
      <w:r w:rsidRPr="00C96F1E">
        <w:rPr>
          <w:rFonts w:cs="Helvetica"/>
        </w:rPr>
        <w:t>(b)</w:t>
      </w:r>
      <w:r w:rsidRPr="00C96F1E">
        <w:rPr>
          <w:rFonts w:cs="Helvetica"/>
        </w:rPr>
        <w:tab/>
        <w:t>e</w:t>
      </w:r>
      <w:r>
        <w:rPr>
          <w:rFonts w:cs="Helvetica"/>
        </w:rPr>
        <w:t>nforce this order under section </w:t>
      </w:r>
      <w:r w:rsidRPr="00C96F1E">
        <w:rPr>
          <w:rFonts w:cs="Helvetica"/>
        </w:rPr>
        <w:t xml:space="preserve">23 of the </w:t>
      </w:r>
      <w:r>
        <w:rPr>
          <w:rFonts w:cs="Helvetica"/>
          <w:i/>
        </w:rPr>
        <w:t xml:space="preserve">Utilities </w:t>
      </w:r>
      <w:r w:rsidRPr="00C96F1E">
        <w:rPr>
          <w:rFonts w:cs="Helvetica"/>
          <w:i/>
        </w:rPr>
        <w:t>Commission Act</w:t>
      </w:r>
      <w:r w:rsidRPr="00C96F1E">
        <w:rPr>
          <w:rFonts w:cs="Helvetica"/>
        </w:rPr>
        <w:t xml:space="preserve"> in the same way as if it were a determination under that Act; and</w:t>
      </w:r>
    </w:p>
    <w:p w:rsidR="00E41803" w:rsidRPr="00C96F1E" w:rsidRDefault="00E41803" w:rsidP="00E41803">
      <w:pPr>
        <w:ind w:left="1440" w:hanging="720"/>
        <w:jc w:val="both"/>
        <w:rPr>
          <w:rFonts w:cs="Helvetica"/>
        </w:rPr>
      </w:pPr>
      <w:r w:rsidRPr="00C96F1E">
        <w:rPr>
          <w:rFonts w:cs="Helvetica"/>
        </w:rPr>
        <w:t>(c)</w:t>
      </w:r>
      <w:r w:rsidRPr="00C96F1E">
        <w:rPr>
          <w:rFonts w:cs="Helvetica"/>
        </w:rPr>
        <w:tab/>
        <w:t>investigate any complaints made to the Utilities Commission by prescribed customers that prices to which this order applies do not comply with this order.</w:t>
      </w:r>
    </w:p>
    <w:p w:rsidR="007979D1" w:rsidRDefault="007979D1" w:rsidP="007979D1">
      <w:pPr>
        <w:pageBreakBefore/>
        <w:spacing w:line="360" w:lineRule="auto"/>
        <w:jc w:val="center"/>
        <w:rPr>
          <w:rFonts w:eastAsia="Times New Roman" w:cs="Helvetica"/>
          <w:szCs w:val="24"/>
          <w:lang w:val="en-AU" w:eastAsia="en-AU"/>
        </w:rPr>
      </w:pPr>
      <w:r>
        <w:rPr>
          <w:rFonts w:eastAsia="Times New Roman" w:cs="Helvetica"/>
          <w:szCs w:val="24"/>
          <w:lang w:val="en-AU" w:eastAsia="en-AU"/>
        </w:rPr>
        <w:lastRenderedPageBreak/>
        <w:t>Northern Territory of Australia</w:t>
      </w:r>
    </w:p>
    <w:p w:rsidR="007979D1" w:rsidRDefault="007979D1" w:rsidP="007979D1">
      <w:pPr>
        <w:spacing w:line="360" w:lineRule="auto"/>
        <w:jc w:val="center"/>
        <w:rPr>
          <w:rFonts w:eastAsia="Times New Roman" w:cs="Helvetica"/>
          <w:szCs w:val="24"/>
          <w:lang w:val="en-AU" w:eastAsia="en-AU"/>
        </w:rPr>
      </w:pPr>
      <w:r>
        <w:rPr>
          <w:rFonts w:eastAsia="Times New Roman" w:cs="Helvetica"/>
          <w:i/>
          <w:szCs w:val="24"/>
          <w:lang w:val="en-AU" w:eastAsia="en-AU"/>
        </w:rPr>
        <w:t>Ports Management Act</w:t>
      </w:r>
    </w:p>
    <w:p w:rsidR="007979D1" w:rsidRDefault="007979D1" w:rsidP="007979D1">
      <w:pPr>
        <w:jc w:val="center"/>
        <w:rPr>
          <w:rFonts w:eastAsia="Times New Roman" w:cs="Helvetica"/>
          <w:szCs w:val="24"/>
          <w:lang w:val="en-AU" w:eastAsia="en-AU"/>
        </w:rPr>
      </w:pPr>
      <w:r>
        <w:rPr>
          <w:rFonts w:eastAsia="Times New Roman" w:cs="Helvetica"/>
          <w:szCs w:val="24"/>
          <w:lang w:val="en-AU" w:eastAsia="en-AU"/>
        </w:rPr>
        <w:t>Declaration of Exempt Vessels</w:t>
      </w:r>
    </w:p>
    <w:p w:rsidR="007979D1" w:rsidRDefault="007979D1" w:rsidP="007979D1">
      <w:pPr>
        <w:spacing w:after="240"/>
        <w:jc w:val="center"/>
        <w:rPr>
          <w:rFonts w:eastAsia="Times New Roman" w:cs="Helvetica"/>
          <w:szCs w:val="24"/>
          <w:lang w:val="en-AU" w:eastAsia="en-AU"/>
        </w:rPr>
      </w:pPr>
      <w:r>
        <w:rPr>
          <w:rFonts w:eastAsia="Times New Roman" w:cs="Helvetica"/>
          <w:szCs w:val="24"/>
          <w:lang w:val="en-AU" w:eastAsia="en-AU"/>
        </w:rPr>
        <w:t>Groote Eylandt Pilotage Area</w:t>
      </w:r>
    </w:p>
    <w:p w:rsidR="007979D1" w:rsidRDefault="007979D1" w:rsidP="007979D1">
      <w:pPr>
        <w:spacing w:line="360" w:lineRule="auto"/>
        <w:jc w:val="both"/>
        <w:rPr>
          <w:rFonts w:eastAsia="Times New Roman" w:cs="Helvetica"/>
          <w:szCs w:val="24"/>
          <w:lang w:val="en-AU" w:eastAsia="en-AU"/>
        </w:rPr>
      </w:pPr>
      <w:r>
        <w:rPr>
          <w:rFonts w:eastAsia="Times New Roman" w:cs="Helvetica"/>
          <w:szCs w:val="24"/>
          <w:lang w:val="en-AU" w:eastAsia="en-AU"/>
        </w:rPr>
        <w:t>I, Ryan Kleinschmidt, the pilotage authority for</w:t>
      </w:r>
      <w:r w:rsidR="007B3BBE">
        <w:rPr>
          <w:rFonts w:eastAsia="Times New Roman" w:cs="Helvetica"/>
          <w:szCs w:val="24"/>
          <w:lang w:val="en-AU" w:eastAsia="en-AU"/>
        </w:rPr>
        <w:t xml:space="preserve"> Groote Eylandt Mining Company </w:t>
      </w:r>
      <w:r>
        <w:rPr>
          <w:rFonts w:eastAsia="Times New Roman" w:cs="Helvetica"/>
          <w:szCs w:val="24"/>
          <w:lang w:val="en-AU" w:eastAsia="en-AU"/>
        </w:rPr>
        <w:t>Pty Ltd, under section 64 of the Ports Management Act, declare any vessel that is over 35m in overall length to be an exempt vessel for the compulsory pilotage area within Groote Eylandt if:</w:t>
      </w:r>
    </w:p>
    <w:p w:rsidR="007979D1" w:rsidRDefault="007979D1" w:rsidP="007979D1">
      <w:pPr>
        <w:pStyle w:val="ListParagraph"/>
        <w:numPr>
          <w:ilvl w:val="0"/>
          <w:numId w:val="48"/>
        </w:numPr>
        <w:spacing w:line="360" w:lineRule="auto"/>
        <w:jc w:val="both"/>
        <w:rPr>
          <w:rFonts w:eastAsia="Times New Roman" w:cs="Helvetica"/>
          <w:szCs w:val="24"/>
          <w:lang w:val="en-AU" w:eastAsia="en-AU"/>
        </w:rPr>
      </w:pPr>
      <w:r>
        <w:rPr>
          <w:rFonts w:eastAsia="Times New Roman" w:cs="Helvetica"/>
          <w:szCs w:val="24"/>
          <w:lang w:val="en-AU" w:eastAsia="en-AU"/>
        </w:rPr>
        <w:t>Vessel transits to designated anchorage via recommended track as per chart Aus 14.</w:t>
      </w:r>
    </w:p>
    <w:p w:rsidR="007979D1" w:rsidRDefault="007979D1" w:rsidP="007979D1">
      <w:pPr>
        <w:pStyle w:val="ListParagraph"/>
        <w:numPr>
          <w:ilvl w:val="0"/>
          <w:numId w:val="48"/>
        </w:numPr>
        <w:spacing w:line="360" w:lineRule="auto"/>
        <w:jc w:val="both"/>
        <w:rPr>
          <w:rFonts w:eastAsia="Times New Roman" w:cs="Helvetica"/>
          <w:szCs w:val="24"/>
          <w:lang w:val="en-AU" w:eastAsia="en-AU"/>
        </w:rPr>
      </w:pPr>
      <w:r>
        <w:rPr>
          <w:rFonts w:eastAsia="Times New Roman" w:cs="Helvetica"/>
          <w:szCs w:val="24"/>
          <w:lang w:val="en-AU" w:eastAsia="en-AU"/>
        </w:rPr>
        <w:t>Vessel transits to the designated Pilot Boarding Ground via recommended track as per chart Aus 14.</w:t>
      </w:r>
    </w:p>
    <w:p w:rsidR="007979D1" w:rsidRDefault="007979D1" w:rsidP="007B3BBE">
      <w:pPr>
        <w:pStyle w:val="ListParagraph"/>
        <w:numPr>
          <w:ilvl w:val="0"/>
          <w:numId w:val="48"/>
        </w:numPr>
        <w:spacing w:line="360" w:lineRule="auto"/>
        <w:ind w:left="714" w:hanging="357"/>
        <w:jc w:val="both"/>
        <w:rPr>
          <w:rFonts w:eastAsia="Times New Roman" w:cs="Helvetica"/>
          <w:szCs w:val="24"/>
          <w:lang w:val="en-AU" w:eastAsia="en-AU"/>
        </w:rPr>
      </w:pPr>
      <w:r>
        <w:rPr>
          <w:rFonts w:eastAsia="Times New Roman" w:cs="Helvetica"/>
          <w:szCs w:val="24"/>
          <w:lang w:val="en-AU" w:eastAsia="en-AU"/>
        </w:rPr>
        <w:t>Vessel departing pilot boarding ground via recommended track as per chart Aus 14.</w:t>
      </w:r>
    </w:p>
    <w:p w:rsidR="007979D1" w:rsidRDefault="007979D1" w:rsidP="006E33A7">
      <w:pPr>
        <w:spacing w:before="240" w:line="360" w:lineRule="auto"/>
        <w:jc w:val="both"/>
        <w:rPr>
          <w:rFonts w:eastAsia="Times New Roman" w:cs="Helvetica"/>
          <w:szCs w:val="24"/>
          <w:lang w:val="en-AU" w:eastAsia="en-AU"/>
        </w:rPr>
      </w:pPr>
      <w:r>
        <w:rPr>
          <w:rFonts w:eastAsia="Times New Roman" w:cs="Helvetica"/>
          <w:szCs w:val="24"/>
          <w:lang w:val="en-AU" w:eastAsia="en-AU"/>
        </w:rPr>
        <w:t xml:space="preserve">with effect on and from 1 </w:t>
      </w:r>
      <w:r w:rsidR="000D141D">
        <w:rPr>
          <w:rFonts w:eastAsia="Times New Roman" w:cs="Helvetica"/>
          <w:szCs w:val="24"/>
          <w:lang w:val="en-AU" w:eastAsia="en-AU"/>
        </w:rPr>
        <w:t xml:space="preserve">July 2018. </w:t>
      </w:r>
    </w:p>
    <w:p w:rsidR="007979D1" w:rsidRDefault="00C7630A" w:rsidP="007B3BBE">
      <w:pPr>
        <w:spacing w:before="240" w:after="240" w:line="360" w:lineRule="auto"/>
        <w:jc w:val="both"/>
        <w:rPr>
          <w:rFonts w:eastAsia="Times New Roman" w:cs="Helvetica"/>
          <w:szCs w:val="24"/>
          <w:lang w:val="en-AU" w:eastAsia="en-AU"/>
        </w:rPr>
      </w:pPr>
      <w:r>
        <w:rPr>
          <w:rFonts w:eastAsia="Times New Roman" w:cs="Helvetica"/>
          <w:szCs w:val="24"/>
          <w:lang w:val="en-AU" w:eastAsia="en-AU"/>
        </w:rPr>
        <w:t>Dated 22</w:t>
      </w:r>
      <w:r w:rsidR="007979D1">
        <w:rPr>
          <w:rFonts w:eastAsia="Times New Roman" w:cs="Helvetica"/>
          <w:szCs w:val="24"/>
          <w:lang w:val="en-AU" w:eastAsia="en-AU"/>
        </w:rPr>
        <w:t xml:space="preserve"> June 2018</w:t>
      </w:r>
    </w:p>
    <w:p w:rsidR="007979D1" w:rsidRDefault="007979D1" w:rsidP="007979D1">
      <w:pPr>
        <w:jc w:val="right"/>
        <w:rPr>
          <w:rFonts w:eastAsia="Times New Roman" w:cs="Helvetica"/>
          <w:szCs w:val="24"/>
          <w:lang w:val="en-AU" w:eastAsia="en-AU"/>
        </w:rPr>
      </w:pPr>
      <w:r>
        <w:rPr>
          <w:rFonts w:eastAsia="Times New Roman" w:cs="Helvetica"/>
          <w:szCs w:val="24"/>
          <w:lang w:val="en-AU" w:eastAsia="en-AU"/>
        </w:rPr>
        <w:t>R</w:t>
      </w:r>
      <w:r w:rsidR="007B3BBE">
        <w:rPr>
          <w:rFonts w:eastAsia="Times New Roman" w:cs="Helvetica"/>
          <w:szCs w:val="24"/>
          <w:lang w:val="en-AU" w:eastAsia="en-AU"/>
        </w:rPr>
        <w:t>.</w:t>
      </w:r>
      <w:r>
        <w:rPr>
          <w:rFonts w:eastAsia="Times New Roman" w:cs="Helvetica"/>
          <w:szCs w:val="24"/>
          <w:lang w:val="en-AU" w:eastAsia="en-AU"/>
        </w:rPr>
        <w:t xml:space="preserve"> Kleinschmidt</w:t>
      </w:r>
    </w:p>
    <w:p w:rsidR="007979D1" w:rsidRDefault="007979D1" w:rsidP="007979D1">
      <w:pPr>
        <w:tabs>
          <w:tab w:val="left" w:pos="8640"/>
        </w:tabs>
        <w:spacing w:line="360" w:lineRule="auto"/>
        <w:jc w:val="right"/>
        <w:rPr>
          <w:rFonts w:eastAsia="Times New Roman" w:cs="Helvetica"/>
          <w:szCs w:val="24"/>
          <w:lang w:val="en-AU" w:eastAsia="en-AU"/>
        </w:rPr>
      </w:pPr>
      <w:r>
        <w:rPr>
          <w:rFonts w:eastAsia="Times New Roman" w:cs="Helvetica"/>
          <w:szCs w:val="24"/>
          <w:lang w:val="en-AU" w:eastAsia="en-AU"/>
        </w:rPr>
        <w:t>Pilotage Authority</w:t>
      </w:r>
    </w:p>
    <w:p w:rsidR="007B3BBE" w:rsidRDefault="007B3BBE" w:rsidP="007B3BBE">
      <w:pPr>
        <w:widowControl w:val="0"/>
        <w:spacing w:before="480" w:line="360" w:lineRule="auto"/>
        <w:jc w:val="center"/>
        <w:rPr>
          <w:rFonts w:eastAsia="Times New Roman" w:cs="Helvetica"/>
          <w:szCs w:val="24"/>
          <w:lang w:val="en-AU" w:eastAsia="en-AU"/>
        </w:rPr>
      </w:pPr>
      <w:r>
        <w:rPr>
          <w:rFonts w:eastAsia="Times New Roman" w:cs="Helvetica"/>
          <w:szCs w:val="24"/>
          <w:lang w:val="en-AU" w:eastAsia="en-AU"/>
        </w:rPr>
        <w:t>Northern Territory of Australia</w:t>
      </w:r>
    </w:p>
    <w:p w:rsidR="007B3BBE" w:rsidRDefault="007B3BBE" w:rsidP="007B3BBE">
      <w:pPr>
        <w:spacing w:line="360" w:lineRule="auto"/>
        <w:jc w:val="center"/>
        <w:rPr>
          <w:rFonts w:eastAsia="Times New Roman" w:cs="Helvetica"/>
          <w:szCs w:val="24"/>
          <w:lang w:val="en-AU" w:eastAsia="en-AU"/>
        </w:rPr>
      </w:pPr>
      <w:r>
        <w:rPr>
          <w:rFonts w:eastAsia="Times New Roman" w:cs="Helvetica"/>
          <w:i/>
          <w:szCs w:val="24"/>
          <w:lang w:val="en-AU" w:eastAsia="en-AU"/>
        </w:rPr>
        <w:t>Ports Management Act</w:t>
      </w:r>
    </w:p>
    <w:p w:rsidR="007B3BBE" w:rsidRDefault="007B3BBE" w:rsidP="007B3BBE">
      <w:pPr>
        <w:jc w:val="center"/>
        <w:rPr>
          <w:rFonts w:eastAsia="Times New Roman" w:cs="Helvetica"/>
          <w:szCs w:val="24"/>
          <w:lang w:val="en-AU" w:eastAsia="en-AU"/>
        </w:rPr>
      </w:pPr>
      <w:r>
        <w:rPr>
          <w:rFonts w:eastAsia="Times New Roman" w:cs="Helvetica"/>
          <w:szCs w:val="24"/>
          <w:lang w:val="en-AU" w:eastAsia="en-AU"/>
        </w:rPr>
        <w:t>Declaration of Exempt Vessels</w:t>
      </w:r>
    </w:p>
    <w:p w:rsidR="007B3BBE" w:rsidRDefault="007B3BBE" w:rsidP="007B3BBE">
      <w:pPr>
        <w:spacing w:after="240"/>
        <w:jc w:val="center"/>
        <w:rPr>
          <w:rFonts w:eastAsia="Times New Roman" w:cs="Helvetica"/>
          <w:szCs w:val="24"/>
          <w:lang w:val="en-AU" w:eastAsia="en-AU"/>
        </w:rPr>
      </w:pPr>
      <w:r>
        <w:rPr>
          <w:rFonts w:eastAsia="Times New Roman" w:cs="Helvetica"/>
          <w:szCs w:val="24"/>
          <w:lang w:val="en-AU" w:eastAsia="en-AU"/>
        </w:rPr>
        <w:t>Groote Eylandt Pilotage Area</w:t>
      </w:r>
    </w:p>
    <w:p w:rsidR="007B3BBE" w:rsidRDefault="007B3BBE" w:rsidP="007B3BBE">
      <w:pPr>
        <w:spacing w:line="360" w:lineRule="auto"/>
        <w:jc w:val="both"/>
        <w:rPr>
          <w:rFonts w:eastAsia="Times New Roman" w:cs="Helvetica"/>
          <w:szCs w:val="24"/>
          <w:lang w:val="en-AU" w:eastAsia="en-AU"/>
        </w:rPr>
      </w:pPr>
      <w:r>
        <w:rPr>
          <w:rFonts w:eastAsia="Times New Roman" w:cs="Helvetica"/>
          <w:szCs w:val="24"/>
          <w:lang w:val="en-AU" w:eastAsia="en-AU"/>
        </w:rPr>
        <w:t>I, Ryan Kleinschmidt, the pilotage authority for Groote Eylandt Mining Company Pty Ltd, under section 64 of the Ports Management Act, declare any vessel that is less than 35m in overall length to be an exempt vessel for the compulsory pilotage area within Groote Eylandt with e</w:t>
      </w:r>
      <w:r w:rsidR="000D141D">
        <w:rPr>
          <w:rFonts w:eastAsia="Times New Roman" w:cs="Helvetica"/>
          <w:szCs w:val="24"/>
          <w:lang w:val="en-AU" w:eastAsia="en-AU"/>
        </w:rPr>
        <w:t>ffect on and from 1 July 2018.</w:t>
      </w:r>
    </w:p>
    <w:p w:rsidR="007B3BBE" w:rsidRDefault="00C7630A" w:rsidP="007B3BBE">
      <w:pPr>
        <w:spacing w:before="240" w:after="240"/>
        <w:jc w:val="both"/>
        <w:rPr>
          <w:rFonts w:eastAsia="Times New Roman" w:cs="Helvetica"/>
          <w:szCs w:val="24"/>
          <w:lang w:val="en-AU" w:eastAsia="en-AU"/>
        </w:rPr>
      </w:pPr>
      <w:r>
        <w:rPr>
          <w:rFonts w:eastAsia="Times New Roman" w:cs="Helvetica"/>
          <w:szCs w:val="24"/>
          <w:lang w:val="en-AU" w:eastAsia="en-AU"/>
        </w:rPr>
        <w:t>Dated 22</w:t>
      </w:r>
      <w:r w:rsidR="007B3BBE">
        <w:rPr>
          <w:rFonts w:eastAsia="Times New Roman" w:cs="Helvetica"/>
          <w:szCs w:val="24"/>
          <w:lang w:val="en-AU" w:eastAsia="en-AU"/>
        </w:rPr>
        <w:t xml:space="preserve"> June 2018</w:t>
      </w:r>
    </w:p>
    <w:p w:rsidR="007B3BBE" w:rsidRDefault="007B3BBE" w:rsidP="007B3BBE">
      <w:pPr>
        <w:jc w:val="right"/>
        <w:rPr>
          <w:rFonts w:eastAsia="Times New Roman" w:cs="Helvetica"/>
          <w:szCs w:val="24"/>
          <w:lang w:val="en-AU" w:eastAsia="en-AU"/>
        </w:rPr>
      </w:pPr>
      <w:r>
        <w:rPr>
          <w:rFonts w:eastAsia="Times New Roman" w:cs="Helvetica"/>
          <w:szCs w:val="24"/>
          <w:lang w:val="en-AU" w:eastAsia="en-AU"/>
        </w:rPr>
        <w:t>R Kleinschmidt</w:t>
      </w:r>
    </w:p>
    <w:p w:rsidR="007B3BBE" w:rsidRDefault="007B3BBE" w:rsidP="007B3BBE">
      <w:pPr>
        <w:tabs>
          <w:tab w:val="left" w:pos="8640"/>
        </w:tabs>
        <w:spacing w:line="360" w:lineRule="auto"/>
        <w:jc w:val="right"/>
        <w:rPr>
          <w:rFonts w:eastAsia="Times New Roman" w:cs="Helvetica"/>
          <w:szCs w:val="24"/>
          <w:lang w:val="en-AU" w:eastAsia="en-AU"/>
        </w:rPr>
      </w:pPr>
      <w:r>
        <w:rPr>
          <w:rFonts w:eastAsia="Times New Roman" w:cs="Helvetica"/>
          <w:szCs w:val="24"/>
          <w:lang w:val="en-AU" w:eastAsia="en-AU"/>
        </w:rPr>
        <w:t>Pilotage Authority</w:t>
      </w:r>
    </w:p>
    <w:p w:rsidR="007979D1" w:rsidRDefault="007979D1" w:rsidP="007979D1">
      <w:pPr>
        <w:pageBreakBefore/>
        <w:spacing w:line="360" w:lineRule="auto"/>
        <w:jc w:val="center"/>
        <w:rPr>
          <w:rFonts w:eastAsia="Times New Roman" w:cs="Helvetica"/>
          <w:szCs w:val="24"/>
          <w:lang w:val="en-AU" w:eastAsia="en-AU"/>
        </w:rPr>
      </w:pPr>
      <w:r>
        <w:rPr>
          <w:rFonts w:eastAsia="Times New Roman" w:cs="Helvetica"/>
          <w:szCs w:val="24"/>
          <w:lang w:val="en-AU" w:eastAsia="en-AU"/>
        </w:rPr>
        <w:lastRenderedPageBreak/>
        <w:t>Northern Territory of Australia</w:t>
      </w:r>
    </w:p>
    <w:p w:rsidR="007979D1" w:rsidRDefault="007979D1" w:rsidP="007979D1">
      <w:pPr>
        <w:spacing w:line="360" w:lineRule="auto"/>
        <w:jc w:val="center"/>
        <w:rPr>
          <w:rFonts w:eastAsia="Times New Roman" w:cs="Helvetica"/>
          <w:szCs w:val="24"/>
          <w:lang w:val="en-AU" w:eastAsia="en-AU"/>
        </w:rPr>
      </w:pPr>
      <w:r>
        <w:rPr>
          <w:rFonts w:eastAsia="Times New Roman" w:cs="Helvetica"/>
          <w:i/>
          <w:szCs w:val="24"/>
          <w:lang w:val="en-AU" w:eastAsia="en-AU"/>
        </w:rPr>
        <w:t>Ports Management Act</w:t>
      </w:r>
    </w:p>
    <w:p w:rsidR="007979D1" w:rsidRDefault="007979D1" w:rsidP="007979D1">
      <w:pPr>
        <w:jc w:val="center"/>
        <w:rPr>
          <w:rFonts w:eastAsia="Times New Roman" w:cs="Helvetica"/>
          <w:szCs w:val="24"/>
          <w:lang w:val="en-AU" w:eastAsia="en-AU"/>
        </w:rPr>
      </w:pPr>
      <w:r>
        <w:rPr>
          <w:rFonts w:eastAsia="Times New Roman" w:cs="Helvetica"/>
          <w:szCs w:val="24"/>
          <w:lang w:val="en-AU" w:eastAsia="en-AU"/>
        </w:rPr>
        <w:t>Declaration of Pilotage Area</w:t>
      </w:r>
    </w:p>
    <w:p w:rsidR="007979D1" w:rsidRDefault="007979D1" w:rsidP="00F50CAB">
      <w:pPr>
        <w:spacing w:after="120"/>
        <w:jc w:val="center"/>
        <w:rPr>
          <w:rFonts w:eastAsia="Times New Roman" w:cs="Helvetica"/>
          <w:szCs w:val="24"/>
          <w:lang w:val="en-AU" w:eastAsia="en-AU"/>
        </w:rPr>
      </w:pPr>
      <w:r>
        <w:rPr>
          <w:rFonts w:eastAsia="Times New Roman" w:cs="Helvetica"/>
          <w:szCs w:val="24"/>
          <w:lang w:val="en-AU" w:eastAsia="en-AU"/>
        </w:rPr>
        <w:t>Groote Eylandt Pilotage Area</w:t>
      </w:r>
    </w:p>
    <w:p w:rsidR="007979D1" w:rsidRDefault="007979D1" w:rsidP="007979D1">
      <w:pPr>
        <w:spacing w:line="360" w:lineRule="auto"/>
        <w:jc w:val="both"/>
        <w:rPr>
          <w:rFonts w:eastAsia="Times New Roman" w:cs="Helvetica"/>
          <w:szCs w:val="24"/>
          <w:lang w:val="en-AU" w:eastAsia="en-AU"/>
        </w:rPr>
      </w:pPr>
      <w:r>
        <w:rPr>
          <w:rFonts w:eastAsia="Times New Roman" w:cs="Helvetica"/>
          <w:szCs w:val="24"/>
          <w:lang w:val="en-AU" w:eastAsia="en-AU"/>
        </w:rPr>
        <w:t xml:space="preserve">I, Ryan Kleinschmidt, the pilotage authority for Groote Eylandt Mining Company Pty Limited, under section 68 of the </w:t>
      </w:r>
      <w:r>
        <w:rPr>
          <w:rFonts w:eastAsia="Times New Roman" w:cs="Helvetica"/>
          <w:i/>
          <w:szCs w:val="24"/>
          <w:lang w:val="en-AU" w:eastAsia="en-AU"/>
        </w:rPr>
        <w:t>Ports Management Act</w:t>
      </w:r>
      <w:r>
        <w:rPr>
          <w:rFonts w:eastAsia="Times New Roman" w:cs="Helvetica"/>
          <w:szCs w:val="24"/>
          <w:lang w:val="en-AU" w:eastAsia="en-AU"/>
        </w:rPr>
        <w:t>, declare the area of Northern Territory waters specified in the Schedule to be a pilotage area on and from 1 July 2018.</w:t>
      </w:r>
    </w:p>
    <w:p w:rsidR="007979D1" w:rsidRDefault="00C7630A" w:rsidP="00F50CAB">
      <w:pPr>
        <w:spacing w:line="360" w:lineRule="auto"/>
        <w:jc w:val="both"/>
        <w:rPr>
          <w:rFonts w:eastAsia="Times New Roman" w:cs="Helvetica"/>
          <w:szCs w:val="24"/>
          <w:lang w:val="en-AU" w:eastAsia="en-AU"/>
        </w:rPr>
      </w:pPr>
      <w:r>
        <w:rPr>
          <w:rFonts w:eastAsia="Times New Roman" w:cs="Helvetica"/>
          <w:szCs w:val="24"/>
          <w:lang w:val="en-AU" w:eastAsia="en-AU"/>
        </w:rPr>
        <w:t>Dated 22</w:t>
      </w:r>
      <w:r w:rsidR="007979D1">
        <w:rPr>
          <w:rFonts w:eastAsia="Times New Roman" w:cs="Helvetica"/>
          <w:szCs w:val="24"/>
          <w:lang w:val="en-AU" w:eastAsia="en-AU"/>
        </w:rPr>
        <w:t xml:space="preserve"> June 2018</w:t>
      </w:r>
    </w:p>
    <w:p w:rsidR="007979D1" w:rsidRDefault="007979D1" w:rsidP="007979D1">
      <w:pPr>
        <w:jc w:val="right"/>
        <w:rPr>
          <w:rFonts w:eastAsia="Times New Roman" w:cs="Helvetica"/>
          <w:szCs w:val="24"/>
          <w:lang w:val="en-AU" w:eastAsia="en-AU"/>
        </w:rPr>
      </w:pPr>
      <w:r>
        <w:rPr>
          <w:rFonts w:eastAsia="Times New Roman" w:cs="Helvetica"/>
          <w:szCs w:val="24"/>
          <w:lang w:val="en-AU" w:eastAsia="en-AU"/>
        </w:rPr>
        <w:t>Ryan Kleinschmidt</w:t>
      </w:r>
    </w:p>
    <w:p w:rsidR="007979D1" w:rsidRDefault="007979D1" w:rsidP="007979D1">
      <w:pPr>
        <w:tabs>
          <w:tab w:val="left" w:pos="8640"/>
        </w:tabs>
        <w:spacing w:line="360" w:lineRule="auto"/>
        <w:jc w:val="right"/>
        <w:rPr>
          <w:rFonts w:eastAsia="Times New Roman" w:cs="Helvetica"/>
          <w:szCs w:val="24"/>
          <w:lang w:val="en-AU" w:eastAsia="en-AU"/>
        </w:rPr>
      </w:pPr>
      <w:r>
        <w:rPr>
          <w:rFonts w:eastAsia="Times New Roman" w:cs="Helvetica"/>
          <w:szCs w:val="24"/>
          <w:lang w:val="en-AU" w:eastAsia="en-AU"/>
        </w:rPr>
        <w:t>Pilotage Authority</w:t>
      </w:r>
    </w:p>
    <w:p w:rsidR="007979D1" w:rsidRDefault="007979D1" w:rsidP="009A32D1">
      <w:pPr>
        <w:tabs>
          <w:tab w:val="left" w:pos="8640"/>
        </w:tabs>
        <w:spacing w:before="480" w:line="360" w:lineRule="auto"/>
        <w:jc w:val="center"/>
        <w:rPr>
          <w:rFonts w:eastAsia="Times New Roman" w:cs="Helvetica"/>
          <w:szCs w:val="24"/>
          <w:lang w:val="en-AU" w:eastAsia="en-AU"/>
        </w:rPr>
      </w:pPr>
      <w:r>
        <w:rPr>
          <w:rFonts w:eastAsia="Times New Roman" w:cs="Helvetica"/>
          <w:szCs w:val="24"/>
          <w:lang w:val="en-AU" w:eastAsia="en-AU"/>
        </w:rPr>
        <w:t>Schedule</w:t>
      </w:r>
    </w:p>
    <w:p w:rsidR="007979D1" w:rsidRDefault="007979D1" w:rsidP="007979D1">
      <w:pPr>
        <w:spacing w:line="360" w:lineRule="auto"/>
        <w:jc w:val="center"/>
        <w:rPr>
          <w:rFonts w:eastAsia="Times New Roman" w:cs="Helvetica"/>
          <w:szCs w:val="24"/>
          <w:lang w:val="en-AU" w:eastAsia="en-AU"/>
        </w:rPr>
      </w:pPr>
      <w:r>
        <w:rPr>
          <w:rFonts w:eastAsia="Times New Roman" w:cs="Helvetica"/>
          <w:szCs w:val="24"/>
          <w:lang w:val="en-AU" w:eastAsia="en-AU"/>
        </w:rPr>
        <w:t xml:space="preserve">Groote Eylandt Pilotage Area </w:t>
      </w:r>
    </w:p>
    <w:p w:rsidR="007979D1" w:rsidRDefault="007979D1" w:rsidP="007979D1">
      <w:pPr>
        <w:jc w:val="both"/>
        <w:rPr>
          <w:rFonts w:eastAsia="Times New Roman"/>
          <w:szCs w:val="24"/>
          <w:lang w:val="en-AU" w:eastAsia="en-AU"/>
        </w:rPr>
      </w:pPr>
      <w:r>
        <w:rPr>
          <w:rFonts w:eastAsia="Times New Roman"/>
          <w:szCs w:val="24"/>
          <w:lang w:val="en-AU" w:eastAsia="en-AU"/>
        </w:rPr>
        <w:t>All that area of Northern Territory Waters below the High Water Mark enclosed by; commencing at a point at the south-western point of Brady Rock at the intersection of parallel of south latitude 13 degrees 40 minutes 55.55 seconds and meridian of east longitude 136 degrees 26 minutes 53.79 seconds; south</w:t>
      </w:r>
      <w:r>
        <w:rPr>
          <w:rFonts w:eastAsia="Times New Roman"/>
          <w:szCs w:val="24"/>
          <w:lang w:val="en-AU" w:eastAsia="en-AU"/>
        </w:rPr>
        <w:noBreakHyphen/>
        <w:t>westerly to a point at the  north-western point of Bustard Island at the intersection of parallel of south latitude 13 degrees 41 minutes 38.45 seconds and meridian of east longitude 136 degrees 22 minutes 55.27 seconds; south</w:t>
      </w:r>
      <w:r w:rsidR="007B3BBE">
        <w:rPr>
          <w:rFonts w:eastAsia="Times New Roman"/>
          <w:szCs w:val="24"/>
          <w:lang w:val="en-AU" w:eastAsia="en-AU"/>
        </w:rPr>
        <w:noBreakHyphen/>
      </w:r>
      <w:r>
        <w:rPr>
          <w:rFonts w:eastAsia="Times New Roman"/>
          <w:szCs w:val="24"/>
          <w:lang w:val="en-AU" w:eastAsia="en-AU"/>
        </w:rPr>
        <w:t>westerly to a point on the high water mark of the eastern coast of Bickerton Island at the intersection of parallel of south latitude 13 degrees 42</w:t>
      </w:r>
      <w:r w:rsidR="007B3BBE">
        <w:rPr>
          <w:rFonts w:eastAsia="Times New Roman"/>
          <w:szCs w:val="24"/>
          <w:lang w:val="en-AU" w:eastAsia="en-AU"/>
        </w:rPr>
        <w:t> </w:t>
      </w:r>
      <w:r>
        <w:rPr>
          <w:rFonts w:eastAsia="Times New Roman"/>
          <w:szCs w:val="24"/>
          <w:lang w:val="en-AU" w:eastAsia="en-AU"/>
        </w:rPr>
        <w:t>minutes 36.46 seconds and meridian of east longitude 136 degrees 17</w:t>
      </w:r>
      <w:r w:rsidR="007B3BBE">
        <w:rPr>
          <w:rFonts w:eastAsia="Times New Roman"/>
          <w:szCs w:val="24"/>
          <w:lang w:val="en-AU" w:eastAsia="en-AU"/>
        </w:rPr>
        <w:t> </w:t>
      </w:r>
      <w:r>
        <w:rPr>
          <w:rFonts w:eastAsia="Times New Roman"/>
          <w:szCs w:val="24"/>
          <w:lang w:val="en-AU" w:eastAsia="en-AU"/>
        </w:rPr>
        <w:t>minutes 33.95 seconds; then generally southwards by the high water mark to a point on the high water mark of the southern coast of Bickerton Island at the intersection of parallel of south latitude 13 degrees 51 minutes 5.10 seconds and meridian of east longitude 136 degrees 14 minutes 45.63 seconds; south</w:t>
      </w:r>
      <w:r w:rsidR="007B3BBE">
        <w:rPr>
          <w:rFonts w:eastAsia="Times New Roman"/>
          <w:szCs w:val="24"/>
          <w:lang w:val="en-AU" w:eastAsia="en-AU"/>
        </w:rPr>
        <w:noBreakHyphen/>
      </w:r>
      <w:r>
        <w:rPr>
          <w:rFonts w:eastAsia="Times New Roman"/>
          <w:szCs w:val="24"/>
          <w:lang w:val="en-AU" w:eastAsia="en-AU"/>
        </w:rPr>
        <w:t>south-easterly to a point at the intersection of parallel of south latitude 14</w:t>
      </w:r>
      <w:r w:rsidR="007B3BBE">
        <w:rPr>
          <w:rFonts w:eastAsia="Times New Roman"/>
          <w:szCs w:val="24"/>
          <w:lang w:val="en-AU" w:eastAsia="en-AU"/>
        </w:rPr>
        <w:t> </w:t>
      </w:r>
      <w:r>
        <w:rPr>
          <w:rFonts w:eastAsia="Times New Roman"/>
          <w:szCs w:val="24"/>
          <w:lang w:val="en-AU" w:eastAsia="en-AU"/>
        </w:rPr>
        <w:t>degrees 3 minutes 10.80 seconds and meridian of east longitude 136</w:t>
      </w:r>
      <w:r w:rsidR="007B3BBE">
        <w:rPr>
          <w:rFonts w:eastAsia="Times New Roman"/>
          <w:szCs w:val="24"/>
          <w:lang w:val="en-AU" w:eastAsia="en-AU"/>
        </w:rPr>
        <w:t> </w:t>
      </w:r>
      <w:r>
        <w:rPr>
          <w:rFonts w:eastAsia="Times New Roman"/>
          <w:szCs w:val="24"/>
          <w:lang w:val="en-AU" w:eastAsia="en-AU"/>
        </w:rPr>
        <w:t>degrees 19 minutes 30.00 seconds; then easterly to a point on the high water mark of the western coast of Groote Eylandt at the intersection of parallel of south latitude 14 degrees 3 minutes 10.38 seconds and meridian of east longitude 136 degrees 25 minutes 14.50 seconds; then generally northwards by the high water mark to a point on the high water mark of the north-western coast of Groote Eylandt at the intersection of parallel of south latitude 13</w:t>
      </w:r>
      <w:r w:rsidR="007B3BBE">
        <w:rPr>
          <w:rFonts w:eastAsia="Times New Roman"/>
          <w:szCs w:val="24"/>
          <w:lang w:val="en-AU" w:eastAsia="en-AU"/>
        </w:rPr>
        <w:t> </w:t>
      </w:r>
      <w:r>
        <w:rPr>
          <w:rFonts w:eastAsia="Times New Roman"/>
          <w:szCs w:val="24"/>
          <w:lang w:val="en-AU" w:eastAsia="en-AU"/>
        </w:rPr>
        <w:t>degrees 48 minutes 25.85 seconds and meridian of east longitude 136</w:t>
      </w:r>
      <w:r w:rsidR="007B3BBE">
        <w:rPr>
          <w:rFonts w:eastAsia="Times New Roman"/>
          <w:szCs w:val="24"/>
          <w:lang w:val="en-AU" w:eastAsia="en-AU"/>
        </w:rPr>
        <w:t> </w:t>
      </w:r>
      <w:r>
        <w:rPr>
          <w:rFonts w:eastAsia="Times New Roman"/>
          <w:szCs w:val="24"/>
          <w:lang w:val="en-AU" w:eastAsia="en-AU"/>
        </w:rPr>
        <w:t>degrees 31 minutes 29.66 seconds; north</w:t>
      </w:r>
      <w:r>
        <w:rPr>
          <w:rFonts w:eastAsia="Times New Roman"/>
          <w:szCs w:val="24"/>
          <w:lang w:val="en-AU" w:eastAsia="en-AU"/>
        </w:rPr>
        <w:noBreakHyphen/>
        <w:t xml:space="preserve">westerly to a point on the high water mark of the southern coast of Winchilsea Island at the intersection of parallel of south latitude 13 degrees 47 minutes 19.67 seconds and meridian of east longitude 136 degrees 30 minutes 25.65 seconds; then generally northwards by the high water mark to a point on the high water mark of the north-western coast of Winchilsea Island at the intersection of parallel of south latitude 13 degrees 43 minutes 14.80 seconds and meridian of east longitude 136 degrees 28 minutes 18.58 seconds; then north-westerly to the point of commencement; the relevant position of high water mark referred to herein </w:t>
      </w:r>
      <w:r>
        <w:rPr>
          <w:rFonts w:eastAsia="Times New Roman"/>
          <w:szCs w:val="24"/>
          <w:lang w:val="en-AU" w:eastAsia="en-AU"/>
        </w:rPr>
        <w:lastRenderedPageBreak/>
        <w:t>being subject to variation from time to time as a result of excavation or reclamation works, and the level of said high water mark being as at mean high water spring. All coordinates are referenced to GDA94 unless stated otherwise.</w:t>
      </w:r>
    </w:p>
    <w:p w:rsidR="00826F27" w:rsidRPr="00A26AB1" w:rsidRDefault="00826F27" w:rsidP="00A26AB1">
      <w:pPr>
        <w:spacing w:before="1320" w:line="360" w:lineRule="auto"/>
        <w:jc w:val="center"/>
        <w:rPr>
          <w:rFonts w:cs="Helvetica"/>
          <w:b/>
          <w:szCs w:val="24"/>
          <w:lang w:val="en-AU" w:eastAsia="en-AU"/>
        </w:rPr>
      </w:pPr>
      <w:r w:rsidRPr="00A26AB1">
        <w:rPr>
          <w:rFonts w:cs="Helvetica"/>
          <w:b/>
          <w:szCs w:val="24"/>
        </w:rPr>
        <w:t>Adjustment of car parking contribution rate</w:t>
      </w:r>
    </w:p>
    <w:p w:rsidR="00826F27" w:rsidRDefault="00826F27" w:rsidP="00826F27">
      <w:pPr>
        <w:jc w:val="both"/>
        <w:rPr>
          <w:rFonts w:cs="Helvetica"/>
          <w:szCs w:val="24"/>
        </w:rPr>
      </w:pPr>
      <w:r w:rsidRPr="00A63DB5">
        <w:rPr>
          <w:rFonts w:cs="Helvetica"/>
          <w:szCs w:val="24"/>
        </w:rPr>
        <w:t>In accordance with section 5.2 Adjustment of Contributions of the Central Business District Parking Strategy and Contribution Plan, adopted by Council on 23 February 2010, notice is hereby given that from 1 July 2018, the contribution rate payable per car parking bay shortfall (as determined by the Development Consent Authority) in the Darwin Central Business Zone, has decreased from $23,262 to $22,994.</w:t>
      </w:r>
    </w:p>
    <w:p w:rsidR="009A32D1" w:rsidRPr="00A26AB1" w:rsidRDefault="009A32D1" w:rsidP="009A32D1">
      <w:pPr>
        <w:spacing w:before="240" w:after="120"/>
        <w:jc w:val="center"/>
        <w:rPr>
          <w:rFonts w:ascii="Arial" w:hAnsi="Arial"/>
          <w:b/>
          <w:sz w:val="22"/>
          <w:szCs w:val="20"/>
          <w:lang w:val="en-AU" w:eastAsia="en-AU"/>
        </w:rPr>
      </w:pPr>
      <w:r w:rsidRPr="00A26AB1">
        <w:rPr>
          <w:b/>
        </w:rPr>
        <w:t>Adjustment to Developer Contribution Plan for Roadwork – Lee Point Road (Vanderlin Drive to Lee Point Reserve)</w:t>
      </w:r>
    </w:p>
    <w:p w:rsidR="009A32D1" w:rsidRDefault="009A32D1" w:rsidP="000B404A">
      <w:pPr>
        <w:spacing w:after="120"/>
        <w:jc w:val="both"/>
      </w:pPr>
      <w:r>
        <w:t>In accordance with section 10. Adjustment of Contribution Rate of the Developer Contribution Plan for Roadwork – Lee Point Road (Vanderlin Drive to Lee Point Reserve), dated November 2012, notice is hereby given that from 1 July 2018, the developer Contribution Rates payable will be:</w:t>
      </w:r>
    </w:p>
    <w:p w:rsidR="009A32D1" w:rsidRDefault="009A32D1" w:rsidP="006E33A7">
      <w:pPr>
        <w:spacing w:before="120" w:after="120"/>
        <w:jc w:val="both"/>
      </w:pPr>
      <w:r>
        <w:t>(a) $0.25/m</w:t>
      </w:r>
      <w:r>
        <w:rPr>
          <w:vertAlign w:val="superscript"/>
        </w:rPr>
        <w:t>2</w:t>
      </w:r>
    </w:p>
    <w:p w:rsidR="009A32D1" w:rsidRDefault="009A32D1" w:rsidP="006E33A7">
      <w:pPr>
        <w:spacing w:before="120" w:after="120"/>
        <w:jc w:val="both"/>
      </w:pPr>
      <w:r>
        <w:t>(b) $3.60/m</w:t>
      </w:r>
      <w:r>
        <w:rPr>
          <w:vertAlign w:val="superscript"/>
        </w:rPr>
        <w:t>2</w:t>
      </w:r>
    </w:p>
    <w:p w:rsidR="009A32D1" w:rsidRDefault="009A32D1" w:rsidP="006E33A7">
      <w:pPr>
        <w:spacing w:before="120" w:after="120"/>
      </w:pPr>
      <w:r>
        <w:t>(c) $0.00/m</w:t>
      </w:r>
      <w:r>
        <w:rPr>
          <w:vertAlign w:val="superscript"/>
        </w:rPr>
        <w:t>2</w:t>
      </w:r>
    </w:p>
    <w:p w:rsidR="002E42B4" w:rsidRPr="00A26AB1" w:rsidRDefault="002E42B4" w:rsidP="00DE5ADF">
      <w:pPr>
        <w:spacing w:before="240" w:after="120"/>
        <w:jc w:val="center"/>
        <w:rPr>
          <w:rFonts w:eastAsia="Times New Roman" w:cs="Helvetica"/>
          <w:b/>
          <w:szCs w:val="24"/>
          <w:lang w:val="en-AU" w:eastAsia="en-AU"/>
        </w:rPr>
      </w:pPr>
      <w:r w:rsidRPr="00A26AB1">
        <w:rPr>
          <w:rFonts w:eastAsia="Times New Roman" w:cs="Helvetica"/>
          <w:b/>
          <w:szCs w:val="24"/>
          <w:lang w:val="en-AU" w:eastAsia="en-AU"/>
        </w:rPr>
        <w:t>Adjustment to Developer Contribution Plan for Stormwater Drainage – Darwin CBD CP 2015/01 SWD – Policy Area A</w:t>
      </w:r>
    </w:p>
    <w:p w:rsidR="002E42B4" w:rsidRPr="002E42B4" w:rsidRDefault="002E42B4" w:rsidP="002E42B4">
      <w:pPr>
        <w:spacing w:after="200"/>
        <w:jc w:val="both"/>
        <w:rPr>
          <w:rFonts w:eastAsia="Times New Roman" w:cs="Helvetica"/>
          <w:szCs w:val="24"/>
          <w:lang w:val="en-AU" w:eastAsia="en-AU"/>
        </w:rPr>
      </w:pPr>
      <w:r w:rsidRPr="002E42B4">
        <w:rPr>
          <w:rFonts w:eastAsia="Times New Roman" w:cs="Helvetica"/>
          <w:szCs w:val="24"/>
          <w:lang w:val="en-AU" w:eastAsia="en-AU"/>
        </w:rPr>
        <w:t>In accordance with section 10. Adjustment of Contribution Rate of the Developer Contribution Plan for Stormwater Drainage – Darwin CBD CP 2015/01 SWD – Policy Area A, dated April 2015, notice is hereby given that from 1 July 2018, the developer Contribution Rate payable has increased to $8.08/m</w:t>
      </w:r>
      <w:r w:rsidRPr="002E42B4">
        <w:rPr>
          <w:rFonts w:eastAsia="Times New Roman" w:cs="Helvetica"/>
          <w:szCs w:val="24"/>
          <w:vertAlign w:val="superscript"/>
          <w:lang w:val="en-AU" w:eastAsia="en-AU"/>
        </w:rPr>
        <w:t>2</w:t>
      </w:r>
      <w:r w:rsidRPr="002E42B4">
        <w:rPr>
          <w:rFonts w:eastAsia="Times New Roman" w:cs="Helvetica"/>
          <w:szCs w:val="24"/>
          <w:lang w:val="en-AU" w:eastAsia="en-AU"/>
        </w:rPr>
        <w:t>.</w:t>
      </w:r>
    </w:p>
    <w:p w:rsidR="002E42B4" w:rsidRPr="00A26AB1" w:rsidRDefault="002E42B4" w:rsidP="00F50CAB">
      <w:pPr>
        <w:spacing w:before="240" w:after="120"/>
        <w:jc w:val="center"/>
        <w:rPr>
          <w:rFonts w:cs="Helvetica"/>
          <w:b/>
          <w:szCs w:val="24"/>
          <w:lang w:val="en-AU" w:eastAsia="en-AU"/>
        </w:rPr>
      </w:pPr>
      <w:r w:rsidRPr="00A26AB1">
        <w:rPr>
          <w:rFonts w:cs="Helvetica"/>
          <w:b/>
          <w:szCs w:val="24"/>
        </w:rPr>
        <w:t>Adjustment to Developer Contribution Plan for Stormwater Drainage – Darwin CBD CP 2015/02 SWD – Policy Area B</w:t>
      </w:r>
    </w:p>
    <w:p w:rsidR="002E42B4" w:rsidRPr="00A63DB5" w:rsidRDefault="002E42B4" w:rsidP="002E42B4">
      <w:pPr>
        <w:jc w:val="both"/>
        <w:rPr>
          <w:rFonts w:cs="Helvetica"/>
          <w:szCs w:val="24"/>
        </w:rPr>
      </w:pPr>
      <w:r w:rsidRPr="00A63DB5">
        <w:rPr>
          <w:rFonts w:cs="Helvetica"/>
          <w:szCs w:val="24"/>
        </w:rPr>
        <w:t>In accordance with section 10. Adjustment of Contribution Rate of the Developer Contribution Plan for Stormwater Drainage – Darwin CBD CP 2015/02 SWD – Policy Area B, dated April 2015, notice is hereby given that from 1 July 2018, the developer Contribution Rate payable has increased to $4.93/m</w:t>
      </w:r>
      <w:r w:rsidRPr="00A63DB5">
        <w:rPr>
          <w:rFonts w:cs="Helvetica"/>
          <w:szCs w:val="24"/>
          <w:vertAlign w:val="superscript"/>
        </w:rPr>
        <w:t>2</w:t>
      </w:r>
      <w:r w:rsidRPr="00A63DB5">
        <w:rPr>
          <w:rFonts w:cs="Helvetica"/>
          <w:szCs w:val="24"/>
        </w:rPr>
        <w:t>.</w:t>
      </w:r>
    </w:p>
    <w:p w:rsidR="002E42B4" w:rsidRPr="00A26AB1" w:rsidRDefault="002E42B4" w:rsidP="00F50CAB">
      <w:pPr>
        <w:spacing w:before="240" w:after="120"/>
        <w:jc w:val="center"/>
        <w:rPr>
          <w:rFonts w:cs="Helvetica"/>
          <w:b/>
          <w:szCs w:val="24"/>
          <w:lang w:val="en-AU" w:eastAsia="en-AU"/>
        </w:rPr>
      </w:pPr>
      <w:r w:rsidRPr="00A26AB1">
        <w:rPr>
          <w:rFonts w:cs="Helvetica"/>
          <w:b/>
          <w:szCs w:val="24"/>
        </w:rPr>
        <w:t>Adjustment to Developer Contribution Plan for Stormwater Drainage – Darwin CBD CP 2015/03 SWD – Policy Area C</w:t>
      </w:r>
    </w:p>
    <w:p w:rsidR="002E42B4" w:rsidRPr="00A63DB5" w:rsidRDefault="002E42B4" w:rsidP="002E42B4">
      <w:pPr>
        <w:jc w:val="both"/>
        <w:rPr>
          <w:rFonts w:cs="Helvetica"/>
          <w:szCs w:val="24"/>
        </w:rPr>
      </w:pPr>
      <w:r w:rsidRPr="00A63DB5">
        <w:rPr>
          <w:rFonts w:cs="Helvetica"/>
          <w:szCs w:val="24"/>
        </w:rPr>
        <w:t>In accordance with section 10. Adjustment of Contribution Rate of the Developer Contribution Plan for Stormwater Drainage – Darwin CBD CP 2015/03 SWD – Policy Area C, dated April 2015, notice is hereby given that from 1 July 2018, the developer Contribution Rate payable has increased to $3.15/m</w:t>
      </w:r>
      <w:r w:rsidRPr="00A63DB5">
        <w:rPr>
          <w:rFonts w:cs="Helvetica"/>
          <w:szCs w:val="24"/>
          <w:vertAlign w:val="superscript"/>
        </w:rPr>
        <w:t>2</w:t>
      </w:r>
      <w:r w:rsidRPr="00A63DB5">
        <w:rPr>
          <w:rFonts w:cs="Helvetica"/>
          <w:szCs w:val="24"/>
        </w:rPr>
        <w:t>.</w:t>
      </w:r>
    </w:p>
    <w:p w:rsidR="002E42B4" w:rsidRPr="00A26AB1" w:rsidRDefault="002E42B4" w:rsidP="00F50CAB">
      <w:pPr>
        <w:spacing w:before="240" w:after="120"/>
        <w:jc w:val="center"/>
        <w:rPr>
          <w:rFonts w:cs="Helvetica"/>
          <w:b/>
          <w:szCs w:val="24"/>
          <w:lang w:val="en-AU" w:eastAsia="en-AU"/>
        </w:rPr>
      </w:pPr>
      <w:r w:rsidRPr="00A26AB1">
        <w:rPr>
          <w:rFonts w:cs="Helvetica"/>
          <w:b/>
          <w:szCs w:val="24"/>
        </w:rPr>
        <w:lastRenderedPageBreak/>
        <w:t>Adjustment to Developer Contribution Plan for Stormwater Drainage – Darwin CBD CP 2015/04 SWD – Policy Area D</w:t>
      </w:r>
    </w:p>
    <w:p w:rsidR="002E42B4" w:rsidRPr="00A63DB5" w:rsidRDefault="002E42B4" w:rsidP="002E42B4">
      <w:pPr>
        <w:jc w:val="both"/>
        <w:rPr>
          <w:rFonts w:cs="Helvetica"/>
          <w:szCs w:val="24"/>
        </w:rPr>
      </w:pPr>
      <w:r w:rsidRPr="00A63DB5">
        <w:rPr>
          <w:rFonts w:cs="Helvetica"/>
          <w:szCs w:val="24"/>
        </w:rPr>
        <w:t>In accordance with section 10. Adjustment of Contribution Rate of the Developer Contribution Plan for Stormwater Drainage – Darwin CBD CP 2015/04 SWD – Policy Area D, dated April 2015, notice is hereby given that from 1 July 2018, the developer Contribution Rate payable has increased to $25.52/m</w:t>
      </w:r>
      <w:r w:rsidRPr="00A63DB5">
        <w:rPr>
          <w:rFonts w:cs="Helvetica"/>
          <w:szCs w:val="24"/>
          <w:vertAlign w:val="superscript"/>
        </w:rPr>
        <w:t>2</w:t>
      </w:r>
      <w:r w:rsidRPr="00A63DB5">
        <w:rPr>
          <w:rFonts w:cs="Helvetica"/>
          <w:szCs w:val="24"/>
        </w:rPr>
        <w:t>.</w:t>
      </w:r>
    </w:p>
    <w:p w:rsidR="002E42B4" w:rsidRPr="00A26AB1" w:rsidRDefault="002E42B4" w:rsidP="00A26AB1">
      <w:pPr>
        <w:widowControl w:val="0"/>
        <w:spacing w:before="240" w:after="120"/>
        <w:jc w:val="center"/>
        <w:rPr>
          <w:rFonts w:cs="Helvetica"/>
          <w:b/>
          <w:szCs w:val="24"/>
          <w:lang w:val="en-AU" w:eastAsia="en-AU"/>
        </w:rPr>
      </w:pPr>
      <w:r w:rsidRPr="00A26AB1">
        <w:rPr>
          <w:rFonts w:cs="Helvetica"/>
          <w:b/>
          <w:szCs w:val="24"/>
        </w:rPr>
        <w:t>Adjustment to Developer Contribution Plan for Stormwater Drainage – Darwin CBD CP 2015/05 SWD – Policy Area E</w:t>
      </w:r>
    </w:p>
    <w:p w:rsidR="002E42B4" w:rsidRPr="00A63DB5" w:rsidRDefault="002E42B4" w:rsidP="002E42B4">
      <w:pPr>
        <w:jc w:val="both"/>
        <w:rPr>
          <w:rFonts w:cs="Helvetica"/>
          <w:szCs w:val="24"/>
        </w:rPr>
      </w:pPr>
      <w:r w:rsidRPr="00A63DB5">
        <w:rPr>
          <w:rFonts w:cs="Helvetica"/>
          <w:szCs w:val="24"/>
        </w:rPr>
        <w:t>In accordance with section 10. Adjustment of Contribution Rate of the Developer Contribution Plan for Stormwater Drainage – Darwin CBD CP 2015/05 SWD – Policy Area E, dated April 2015, notice is hereby given that from 1 July 2018, the developer Contribution Rate payable has increased to $5.61/m</w:t>
      </w:r>
      <w:r w:rsidRPr="00A63DB5">
        <w:rPr>
          <w:rFonts w:cs="Helvetica"/>
          <w:szCs w:val="24"/>
          <w:vertAlign w:val="superscript"/>
        </w:rPr>
        <w:t>2</w:t>
      </w:r>
      <w:r w:rsidRPr="00A63DB5">
        <w:rPr>
          <w:rFonts w:cs="Helvetica"/>
          <w:szCs w:val="24"/>
        </w:rPr>
        <w:t>.</w:t>
      </w:r>
    </w:p>
    <w:p w:rsidR="002E42B4" w:rsidRPr="00A26AB1" w:rsidRDefault="002E42B4" w:rsidP="00F50CAB">
      <w:pPr>
        <w:spacing w:before="240" w:after="120"/>
        <w:jc w:val="center"/>
        <w:rPr>
          <w:rFonts w:cs="Helvetica"/>
          <w:b/>
          <w:szCs w:val="24"/>
          <w:lang w:val="en-AU" w:eastAsia="en-AU"/>
        </w:rPr>
      </w:pPr>
      <w:r w:rsidRPr="00A26AB1">
        <w:rPr>
          <w:rFonts w:cs="Helvetica"/>
          <w:b/>
          <w:szCs w:val="24"/>
        </w:rPr>
        <w:t>Adjustment to Developer Contribution Plan for Stormwater Drainage – Stuart Park CP 2014/01 SWD – Policy Area A</w:t>
      </w:r>
    </w:p>
    <w:p w:rsidR="002E42B4" w:rsidRPr="00A63DB5" w:rsidRDefault="002E42B4" w:rsidP="002E42B4">
      <w:pPr>
        <w:jc w:val="both"/>
        <w:rPr>
          <w:rFonts w:cs="Helvetica"/>
          <w:szCs w:val="24"/>
        </w:rPr>
      </w:pPr>
      <w:r w:rsidRPr="00A63DB5">
        <w:rPr>
          <w:rFonts w:cs="Helvetica"/>
          <w:szCs w:val="24"/>
        </w:rPr>
        <w:t>In accordance with section 10. Adjustment of Contribution Rate of the Developer Contribution Plan for Stormwater Drainage – Stuart Park CP 2014/01 SWD – Policy Area A, dated July 2014, notice is hereby given that from 1 July 2018, the developer Contribution Rate payable has increased to $3.87/m2.</w:t>
      </w:r>
    </w:p>
    <w:p w:rsidR="002E42B4" w:rsidRPr="00A26AB1" w:rsidRDefault="002E42B4" w:rsidP="00F50CAB">
      <w:pPr>
        <w:spacing w:before="240" w:after="120"/>
        <w:jc w:val="center"/>
        <w:rPr>
          <w:rFonts w:cs="Helvetica"/>
          <w:b/>
          <w:szCs w:val="24"/>
          <w:lang w:val="en-AU" w:eastAsia="en-AU"/>
        </w:rPr>
      </w:pPr>
      <w:r w:rsidRPr="00A26AB1">
        <w:rPr>
          <w:rFonts w:cs="Helvetica"/>
          <w:b/>
          <w:szCs w:val="24"/>
        </w:rPr>
        <w:t>Adjustment to Developer Contribution Plan for Stormwater Drainage – Stuart Park CP 2014/02 SWD – Policy Area B</w:t>
      </w:r>
    </w:p>
    <w:p w:rsidR="002E42B4" w:rsidRPr="00A63DB5" w:rsidRDefault="002E42B4" w:rsidP="002E42B4">
      <w:pPr>
        <w:jc w:val="both"/>
        <w:rPr>
          <w:rFonts w:cs="Helvetica"/>
          <w:szCs w:val="24"/>
        </w:rPr>
      </w:pPr>
      <w:r w:rsidRPr="00A63DB5">
        <w:rPr>
          <w:rFonts w:cs="Helvetica"/>
          <w:szCs w:val="24"/>
        </w:rPr>
        <w:t>In accordance with section 10. Adjustment of Contribution Rate of the Developer Contribution Plan for Stormwater Drainage – Stuart Park CP 2014/02 SWD – Policy Area B, dated July 2014, notice is hereby given that from 1 July 2018, the developer Contribution Rate payable has increased to $14.37/m2.</w:t>
      </w:r>
    </w:p>
    <w:p w:rsidR="002E42B4" w:rsidRPr="00A26AB1" w:rsidRDefault="002E42B4" w:rsidP="00F50CAB">
      <w:pPr>
        <w:spacing w:before="240" w:after="120"/>
        <w:jc w:val="center"/>
        <w:rPr>
          <w:rFonts w:cs="Helvetica"/>
          <w:b/>
          <w:szCs w:val="24"/>
          <w:lang w:val="en-AU" w:eastAsia="en-AU"/>
        </w:rPr>
      </w:pPr>
      <w:r w:rsidRPr="00A26AB1">
        <w:rPr>
          <w:rFonts w:cs="Helvetica"/>
          <w:b/>
          <w:szCs w:val="24"/>
        </w:rPr>
        <w:t>Adjustment to Developer Contribution Plan for Stormwater Drainage – Stuart Park CP 2014/03 SWD – Policy Area C</w:t>
      </w:r>
    </w:p>
    <w:p w:rsidR="002E42B4" w:rsidRPr="00A63DB5" w:rsidRDefault="002E42B4" w:rsidP="002E42B4">
      <w:pPr>
        <w:jc w:val="both"/>
        <w:rPr>
          <w:rFonts w:cs="Helvetica"/>
          <w:szCs w:val="24"/>
        </w:rPr>
      </w:pPr>
      <w:r w:rsidRPr="00A63DB5">
        <w:rPr>
          <w:rFonts w:cs="Helvetica"/>
          <w:szCs w:val="24"/>
        </w:rPr>
        <w:t>In accordance with section 10. Adjustment of Contribution Rate of the Developer Contribution Plan for Stormwater Drainage – Stuart Park CP 2014/03 SWD – Policy Area C, dated July 2014, notice is hereby given that from 1 July 2018, the developer Contribution Rate payable has increased to $22.20/m2.</w:t>
      </w:r>
    </w:p>
    <w:p w:rsidR="002E42B4" w:rsidRPr="00A26AB1" w:rsidRDefault="002E42B4" w:rsidP="00F50CAB">
      <w:pPr>
        <w:spacing w:before="240" w:after="120"/>
        <w:jc w:val="center"/>
        <w:rPr>
          <w:rFonts w:cs="Helvetica"/>
          <w:b/>
          <w:szCs w:val="24"/>
          <w:lang w:val="en-AU" w:eastAsia="en-AU"/>
        </w:rPr>
      </w:pPr>
      <w:r w:rsidRPr="00A26AB1">
        <w:rPr>
          <w:rFonts w:cs="Helvetica"/>
          <w:b/>
          <w:szCs w:val="24"/>
        </w:rPr>
        <w:t>Adjustment to Developer Contribution Plan for Stormwater Drainage – Stuart Park CP 2014/04 SWD – Policy Area D</w:t>
      </w:r>
    </w:p>
    <w:p w:rsidR="002E42B4" w:rsidRPr="00A63DB5" w:rsidRDefault="002E42B4" w:rsidP="002E42B4">
      <w:pPr>
        <w:jc w:val="both"/>
        <w:rPr>
          <w:rFonts w:cs="Helvetica"/>
          <w:szCs w:val="24"/>
        </w:rPr>
      </w:pPr>
      <w:r w:rsidRPr="00A63DB5">
        <w:rPr>
          <w:rFonts w:cs="Helvetica"/>
          <w:szCs w:val="24"/>
        </w:rPr>
        <w:t>In accordance with section 10. Adjustment of Contribution Rate of the Developer Contribution Plan for Stormwater Drainage – Stuart Park CP 2014/04 SWD – Policy Area D, dated July 2014, notice is hereby given that from 1 July 2018, the developer Contribution Rate payable has increased to $9.20/m2.</w:t>
      </w:r>
      <w:bookmarkStart w:id="0" w:name="_GoBack"/>
      <w:bookmarkEnd w:id="0"/>
    </w:p>
    <w:sectPr w:rsidR="002E42B4" w:rsidRPr="00A63DB5" w:rsidSect="00BD2688">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C2" w:rsidRDefault="005E56C2" w:rsidP="00262753">
      <w:r>
        <w:separator/>
      </w:r>
    </w:p>
  </w:endnote>
  <w:endnote w:type="continuationSeparator" w:id="0">
    <w:p w:rsidR="005E56C2" w:rsidRDefault="005E56C2"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6C2" w:rsidRDefault="005E56C2">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5E56C2" w:rsidRDefault="005E5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5E56C2" w:rsidRDefault="005E56C2" w:rsidP="0091552E">
        <w:pPr>
          <w:pStyle w:val="Footer"/>
        </w:pPr>
        <w:r>
          <w:t xml:space="preserve">Page </w:t>
        </w:r>
        <w:r>
          <w:fldChar w:fldCharType="begin"/>
        </w:r>
        <w:r>
          <w:instrText xml:space="preserve"> PAGE   \* MERGEFORMAT </w:instrText>
        </w:r>
        <w:r>
          <w:fldChar w:fldCharType="separate"/>
        </w:r>
        <w:r w:rsidR="0011000A">
          <w:rPr>
            <w:noProof/>
          </w:rPr>
          <w:t>16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6C2" w:rsidRDefault="005E56C2"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C2" w:rsidRDefault="005E56C2" w:rsidP="00262753">
      <w:r>
        <w:separator/>
      </w:r>
    </w:p>
  </w:footnote>
  <w:footnote w:type="continuationSeparator" w:id="0">
    <w:p w:rsidR="005E56C2" w:rsidRDefault="005E56C2"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6C2" w:rsidRPr="00217476" w:rsidRDefault="005E56C2" w:rsidP="001E056E">
    <w:pPr>
      <w:pStyle w:val="Header"/>
    </w:pPr>
    <w:r w:rsidRPr="00246A76">
      <w:t xml:space="preserve">Northern Territory Government Gazette No. </w:t>
    </w:r>
    <w:r w:rsidR="00AD59EE">
      <w:t>G2</w:t>
    </w:r>
    <w:r w:rsidR="00E3679D">
      <w:t>6</w:t>
    </w:r>
    <w:r w:rsidR="00AD59EE">
      <w:t xml:space="preserve">, </w:t>
    </w:r>
    <w:r w:rsidR="00E3679D">
      <w:t>27</w:t>
    </w:r>
    <w:r w:rsidR="00AD59EE">
      <w:t xml:space="preserve"> June</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0447"/>
    <w:multiLevelType w:val="hybridMultilevel"/>
    <w:tmpl w:val="B184AE86"/>
    <w:lvl w:ilvl="0" w:tplc="0C090005">
      <w:start w:val="1"/>
      <w:numFmt w:val="bullet"/>
      <w:lvlText w:val=""/>
      <w:lvlJc w:val="left"/>
      <w:pPr>
        <w:tabs>
          <w:tab w:val="num" w:pos="360"/>
        </w:tabs>
        <w:ind w:left="36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050A7C65"/>
    <w:multiLevelType w:val="singleLevel"/>
    <w:tmpl w:val="F836D174"/>
    <w:lvl w:ilvl="0">
      <w:start w:val="1"/>
      <w:numFmt w:val="lowerLetter"/>
      <w:lvlText w:val="(%1)"/>
      <w:lvlJc w:val="left"/>
      <w:pPr>
        <w:tabs>
          <w:tab w:val="num" w:pos="1296"/>
        </w:tabs>
        <w:ind w:left="1296" w:hanging="870"/>
      </w:pPr>
      <w:rPr>
        <w:rFonts w:hint="default"/>
      </w:rPr>
    </w:lvl>
  </w:abstractNum>
  <w:abstractNum w:abstractNumId="2" w15:restartNumberingAfterBreak="0">
    <w:nsid w:val="115C3B75"/>
    <w:multiLevelType w:val="singleLevel"/>
    <w:tmpl w:val="F836D174"/>
    <w:lvl w:ilvl="0">
      <w:start w:val="1"/>
      <w:numFmt w:val="lowerLetter"/>
      <w:lvlText w:val="(%1)"/>
      <w:lvlJc w:val="left"/>
      <w:pPr>
        <w:tabs>
          <w:tab w:val="num" w:pos="1296"/>
        </w:tabs>
        <w:ind w:left="1296" w:hanging="870"/>
      </w:pPr>
      <w:rPr>
        <w:rFonts w:hint="default"/>
      </w:rPr>
    </w:lvl>
  </w:abstractNum>
  <w:abstractNum w:abstractNumId="3" w15:restartNumberingAfterBreak="0">
    <w:nsid w:val="18B3376E"/>
    <w:multiLevelType w:val="hybridMultilevel"/>
    <w:tmpl w:val="14708A0E"/>
    <w:lvl w:ilvl="0" w:tplc="E06AD528">
      <w:start w:val="1"/>
      <w:numFmt w:val="lowerLetter"/>
      <w:lvlText w:val="(%1)"/>
      <w:lvlJc w:val="left"/>
      <w:pPr>
        <w:ind w:left="928" w:hanging="360"/>
      </w:pPr>
      <w:rPr>
        <w:rFonts w:cs="Times New Roman" w:hint="default"/>
        <w:b w:val="0"/>
      </w:r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 w15:restartNumberingAfterBreak="0">
    <w:nsid w:val="19A33AC8"/>
    <w:multiLevelType w:val="hybridMultilevel"/>
    <w:tmpl w:val="DFF8DA98"/>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1A9D3F1E"/>
    <w:multiLevelType w:val="hybridMultilevel"/>
    <w:tmpl w:val="CFAA6BA8"/>
    <w:lvl w:ilvl="0" w:tplc="9A2629E0">
      <w:start w:val="1"/>
      <w:numFmt w:val="bullet"/>
      <w:suff w:val="spac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7" w15:restartNumberingAfterBreak="0">
    <w:nsid w:val="26EA13CF"/>
    <w:multiLevelType w:val="hybridMultilevel"/>
    <w:tmpl w:val="DFF8DA98"/>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286A345B"/>
    <w:multiLevelType w:val="singleLevel"/>
    <w:tmpl w:val="F836D174"/>
    <w:lvl w:ilvl="0">
      <w:start w:val="1"/>
      <w:numFmt w:val="lowerLetter"/>
      <w:lvlText w:val="(%1)"/>
      <w:lvlJc w:val="left"/>
      <w:pPr>
        <w:tabs>
          <w:tab w:val="num" w:pos="1296"/>
        </w:tabs>
        <w:ind w:left="1296" w:hanging="870"/>
      </w:pPr>
      <w:rPr>
        <w:rFonts w:hint="default"/>
      </w:rPr>
    </w:lvl>
  </w:abstractNum>
  <w:abstractNum w:abstractNumId="9" w15:restartNumberingAfterBreak="0">
    <w:nsid w:val="298B7514"/>
    <w:multiLevelType w:val="hybridMultilevel"/>
    <w:tmpl w:val="DFF8DA98"/>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2A7B5EB7"/>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C9516DE"/>
    <w:multiLevelType w:val="hybridMultilevel"/>
    <w:tmpl w:val="6C22AC14"/>
    <w:lvl w:ilvl="0" w:tplc="C4241F48">
      <w:start w:val="1"/>
      <w:numFmt w:val="lowerLetter"/>
      <w:lvlText w:val="(%1)"/>
      <w:lvlJc w:val="left"/>
      <w:pPr>
        <w:ind w:left="720" w:hanging="360"/>
      </w:pPr>
      <w:rPr>
        <w:rFonts w:eastAsiaTheme="minorHAns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E134FCB"/>
    <w:multiLevelType w:val="hybridMultilevel"/>
    <w:tmpl w:val="E52A014A"/>
    <w:lvl w:ilvl="0" w:tplc="0C090003">
      <w:start w:val="1"/>
      <w:numFmt w:val="bullet"/>
      <w:lvlText w:val="o"/>
      <w:lvlJc w:val="left"/>
      <w:pPr>
        <w:tabs>
          <w:tab w:val="num" w:pos="717"/>
        </w:tabs>
        <w:ind w:left="717" w:hanging="360"/>
      </w:pPr>
      <w:rPr>
        <w:rFonts w:ascii="Courier New" w:hAnsi="Courier New" w:cs="Courier New"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3" w15:restartNumberingAfterBreak="0">
    <w:nsid w:val="321454AC"/>
    <w:multiLevelType w:val="hybridMultilevel"/>
    <w:tmpl w:val="BB82DE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69091F"/>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17" w15:restartNumberingAfterBreak="0">
    <w:nsid w:val="3B015868"/>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E153F2"/>
    <w:multiLevelType w:val="singleLevel"/>
    <w:tmpl w:val="1A208306"/>
    <w:lvl w:ilvl="0">
      <w:start w:val="1"/>
      <w:numFmt w:val="lowerLetter"/>
      <w:lvlText w:val="(%1)"/>
      <w:legacy w:legacy="1" w:legacySpace="0" w:legacyIndent="360"/>
      <w:lvlJc w:val="left"/>
      <w:pPr>
        <w:ind w:left="360" w:hanging="360"/>
      </w:pPr>
    </w:lvl>
  </w:abstractNum>
  <w:abstractNum w:abstractNumId="20" w15:restartNumberingAfterBreak="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21" w15:restartNumberingAfterBreak="0">
    <w:nsid w:val="404565E0"/>
    <w:multiLevelType w:val="hybridMultilevel"/>
    <w:tmpl w:val="0E58A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3" w15:restartNumberingAfterBreak="0">
    <w:nsid w:val="418835D2"/>
    <w:multiLevelType w:val="singleLevel"/>
    <w:tmpl w:val="F836D174"/>
    <w:lvl w:ilvl="0">
      <w:start w:val="1"/>
      <w:numFmt w:val="lowerLetter"/>
      <w:lvlText w:val="(%1)"/>
      <w:lvlJc w:val="left"/>
      <w:pPr>
        <w:tabs>
          <w:tab w:val="num" w:pos="870"/>
        </w:tabs>
        <w:ind w:left="870" w:hanging="870"/>
      </w:pPr>
      <w:rPr>
        <w:rFonts w:hint="default"/>
      </w:rPr>
    </w:lvl>
  </w:abstractNum>
  <w:abstractNum w:abstractNumId="24"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AC563A"/>
    <w:multiLevelType w:val="hybridMultilevel"/>
    <w:tmpl w:val="75BA0080"/>
    <w:lvl w:ilvl="0" w:tplc="6F28D7A0">
      <w:start w:val="1"/>
      <w:numFmt w:val="lowerLetter"/>
      <w:lvlText w:val="(%1)"/>
      <w:lvlJc w:val="left"/>
      <w:pPr>
        <w:ind w:left="837" w:hanging="720"/>
      </w:pPr>
      <w:rPr>
        <w:rFonts w:ascii="Arial" w:eastAsia="Arial" w:hAnsi="Arial" w:hint="default"/>
        <w:color w:val="231F20"/>
        <w:spacing w:val="-3"/>
        <w:w w:val="100"/>
        <w:sz w:val="24"/>
        <w:szCs w:val="24"/>
      </w:rPr>
    </w:lvl>
    <w:lvl w:ilvl="1" w:tplc="C766231E">
      <w:start w:val="1"/>
      <w:numFmt w:val="bullet"/>
      <w:lvlText w:val="•"/>
      <w:lvlJc w:val="left"/>
      <w:pPr>
        <w:ind w:left="1700" w:hanging="720"/>
      </w:pPr>
      <w:rPr>
        <w:rFonts w:hint="default"/>
      </w:rPr>
    </w:lvl>
    <w:lvl w:ilvl="2" w:tplc="BA04D0B8">
      <w:start w:val="1"/>
      <w:numFmt w:val="bullet"/>
      <w:lvlText w:val="•"/>
      <w:lvlJc w:val="left"/>
      <w:pPr>
        <w:ind w:left="2561" w:hanging="720"/>
      </w:pPr>
      <w:rPr>
        <w:rFonts w:hint="default"/>
      </w:rPr>
    </w:lvl>
    <w:lvl w:ilvl="3" w:tplc="C804D1D6">
      <w:start w:val="1"/>
      <w:numFmt w:val="bullet"/>
      <w:lvlText w:val="•"/>
      <w:lvlJc w:val="left"/>
      <w:pPr>
        <w:ind w:left="3421" w:hanging="720"/>
      </w:pPr>
      <w:rPr>
        <w:rFonts w:hint="default"/>
      </w:rPr>
    </w:lvl>
    <w:lvl w:ilvl="4" w:tplc="80223382">
      <w:start w:val="1"/>
      <w:numFmt w:val="bullet"/>
      <w:lvlText w:val="•"/>
      <w:lvlJc w:val="left"/>
      <w:pPr>
        <w:ind w:left="4282" w:hanging="720"/>
      </w:pPr>
      <w:rPr>
        <w:rFonts w:hint="default"/>
      </w:rPr>
    </w:lvl>
    <w:lvl w:ilvl="5" w:tplc="62583356">
      <w:start w:val="1"/>
      <w:numFmt w:val="bullet"/>
      <w:lvlText w:val="•"/>
      <w:lvlJc w:val="left"/>
      <w:pPr>
        <w:ind w:left="5143" w:hanging="720"/>
      </w:pPr>
      <w:rPr>
        <w:rFonts w:hint="default"/>
      </w:rPr>
    </w:lvl>
    <w:lvl w:ilvl="6" w:tplc="C1766C56">
      <w:start w:val="1"/>
      <w:numFmt w:val="bullet"/>
      <w:lvlText w:val="•"/>
      <w:lvlJc w:val="left"/>
      <w:pPr>
        <w:ind w:left="6003" w:hanging="720"/>
      </w:pPr>
      <w:rPr>
        <w:rFonts w:hint="default"/>
      </w:rPr>
    </w:lvl>
    <w:lvl w:ilvl="7" w:tplc="969EABC6">
      <w:start w:val="1"/>
      <w:numFmt w:val="bullet"/>
      <w:lvlText w:val="•"/>
      <w:lvlJc w:val="left"/>
      <w:pPr>
        <w:ind w:left="6864" w:hanging="720"/>
      </w:pPr>
      <w:rPr>
        <w:rFonts w:hint="default"/>
      </w:rPr>
    </w:lvl>
    <w:lvl w:ilvl="8" w:tplc="576C30D0">
      <w:start w:val="1"/>
      <w:numFmt w:val="bullet"/>
      <w:lvlText w:val="•"/>
      <w:lvlJc w:val="left"/>
      <w:pPr>
        <w:ind w:left="7725" w:hanging="720"/>
      </w:pPr>
      <w:rPr>
        <w:rFonts w:hint="default"/>
      </w:rPr>
    </w:lvl>
  </w:abstractNum>
  <w:abstractNum w:abstractNumId="27" w15:restartNumberingAfterBreak="0">
    <w:nsid w:val="49840FC7"/>
    <w:multiLevelType w:val="singleLevel"/>
    <w:tmpl w:val="F836D174"/>
    <w:lvl w:ilvl="0">
      <w:start w:val="1"/>
      <w:numFmt w:val="lowerLetter"/>
      <w:lvlText w:val="(%1)"/>
      <w:lvlJc w:val="left"/>
      <w:pPr>
        <w:tabs>
          <w:tab w:val="num" w:pos="870"/>
        </w:tabs>
        <w:ind w:left="870" w:hanging="870"/>
      </w:pPr>
      <w:rPr>
        <w:rFonts w:hint="default"/>
      </w:rPr>
    </w:lvl>
  </w:abstractNum>
  <w:abstractNum w:abstractNumId="28" w15:restartNumberingAfterBreak="0">
    <w:nsid w:val="4B4260F3"/>
    <w:multiLevelType w:val="hybridMultilevel"/>
    <w:tmpl w:val="FBB60024"/>
    <w:lvl w:ilvl="0" w:tplc="B498B9D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4B5A77B3"/>
    <w:multiLevelType w:val="hybridMultilevel"/>
    <w:tmpl w:val="AE72F7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57F34ACD"/>
    <w:multiLevelType w:val="hybridMultilevel"/>
    <w:tmpl w:val="C83C4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95277E2"/>
    <w:multiLevelType w:val="hybridMultilevel"/>
    <w:tmpl w:val="D96A7A5C"/>
    <w:lvl w:ilvl="0" w:tplc="0C090005">
      <w:start w:val="1"/>
      <w:numFmt w:val="bullet"/>
      <w:lvlText w:val=""/>
      <w:lvlJc w:val="left"/>
      <w:pPr>
        <w:tabs>
          <w:tab w:val="num" w:pos="360"/>
        </w:tabs>
        <w:ind w:left="36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2" w15:restartNumberingAfterBreak="0">
    <w:nsid w:val="5988128D"/>
    <w:multiLevelType w:val="hybridMultilevel"/>
    <w:tmpl w:val="B85C4BD8"/>
    <w:lvl w:ilvl="0" w:tplc="0C090003">
      <w:start w:val="1"/>
      <w:numFmt w:val="bullet"/>
      <w:lvlText w:val="o"/>
      <w:lvlJc w:val="left"/>
      <w:pPr>
        <w:tabs>
          <w:tab w:val="num" w:pos="717"/>
        </w:tabs>
        <w:ind w:left="717" w:hanging="360"/>
      </w:pPr>
      <w:rPr>
        <w:rFonts w:ascii="Courier New" w:hAnsi="Courier New" w:cs="Courier New"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3" w15:restartNumberingAfterBreak="0">
    <w:nsid w:val="59F41FF2"/>
    <w:multiLevelType w:val="hybridMultilevel"/>
    <w:tmpl w:val="4E487A0C"/>
    <w:lvl w:ilvl="0" w:tplc="31CA85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A0B1F70"/>
    <w:multiLevelType w:val="hybridMultilevel"/>
    <w:tmpl w:val="3A94998E"/>
    <w:lvl w:ilvl="0" w:tplc="E06AD528">
      <w:start w:val="1"/>
      <w:numFmt w:val="lowerLetter"/>
      <w:lvlText w:val="(%1)"/>
      <w:lvlJc w:val="left"/>
      <w:pPr>
        <w:ind w:left="928" w:hanging="360"/>
      </w:pPr>
      <w:rPr>
        <w:rFonts w:cs="Times New Roman" w:hint="default"/>
        <w:b w:val="0"/>
      </w:r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5"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6" w15:restartNumberingAfterBreak="0">
    <w:nsid w:val="65A95CF9"/>
    <w:multiLevelType w:val="multilevel"/>
    <w:tmpl w:val="712AD196"/>
    <w:lvl w:ilvl="0">
      <w:start w:val="1"/>
      <w:numFmt w:val="decimal"/>
      <w:lvlText w:val="%1"/>
      <w:lvlJc w:val="left"/>
      <w:pPr>
        <w:tabs>
          <w:tab w:val="num" w:pos="0"/>
        </w:tabs>
        <w:ind w:left="432" w:hanging="432"/>
      </w:pPr>
      <w:rPr>
        <w:rFonts w:cs="Times New Roman" w:hint="default"/>
      </w:rPr>
    </w:lvl>
    <w:lvl w:ilvl="1">
      <w:start w:val="1"/>
      <w:numFmt w:val="decimal"/>
      <w:lvlText w:val="%1.%2"/>
      <w:lvlJc w:val="left"/>
      <w:pPr>
        <w:tabs>
          <w:tab w:val="num" w:pos="0"/>
        </w:tabs>
        <w:ind w:left="576" w:hanging="576"/>
      </w:pPr>
      <w:rPr>
        <w:rFonts w:cs="Times New Roman" w:hint="default"/>
        <w:i w:val="0"/>
      </w:rPr>
    </w:lvl>
    <w:lvl w:ilvl="2">
      <w:start w:val="1"/>
      <w:numFmt w:val="decimal"/>
      <w:lvlText w:val="%1.%2.%3"/>
      <w:lvlJc w:val="left"/>
      <w:pPr>
        <w:tabs>
          <w:tab w:val="num" w:pos="737"/>
        </w:tabs>
        <w:ind w:left="737" w:hanging="737"/>
      </w:pPr>
      <w:rPr>
        <w:rFonts w:cs="Times New Roman" w:hint="default"/>
        <w:b w:val="0"/>
        <w:i w:val="0"/>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37" w15:restartNumberingAfterBreak="0">
    <w:nsid w:val="66CC5C54"/>
    <w:multiLevelType w:val="hybridMultilevel"/>
    <w:tmpl w:val="14708A0E"/>
    <w:lvl w:ilvl="0" w:tplc="E06AD528">
      <w:start w:val="1"/>
      <w:numFmt w:val="lowerLetter"/>
      <w:lvlText w:val="(%1)"/>
      <w:lvlJc w:val="left"/>
      <w:pPr>
        <w:ind w:left="928" w:hanging="360"/>
      </w:pPr>
      <w:rPr>
        <w:rFonts w:cs="Times New Roman" w:hint="default"/>
        <w:b w:val="0"/>
      </w:r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8" w15:restartNumberingAfterBreak="0">
    <w:nsid w:val="689C692B"/>
    <w:multiLevelType w:val="hybridMultilevel"/>
    <w:tmpl w:val="DA9E8B8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9763DC"/>
    <w:multiLevelType w:val="hybridMultilevel"/>
    <w:tmpl w:val="920A32B0"/>
    <w:lvl w:ilvl="0" w:tplc="0C090005">
      <w:start w:val="1"/>
      <w:numFmt w:val="bullet"/>
      <w:lvlText w:val=""/>
      <w:lvlJc w:val="left"/>
      <w:pPr>
        <w:tabs>
          <w:tab w:val="num" w:pos="360"/>
        </w:tabs>
        <w:ind w:left="36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1" w15:restartNumberingAfterBreak="0">
    <w:nsid w:val="74A648E8"/>
    <w:multiLevelType w:val="hybridMultilevel"/>
    <w:tmpl w:val="97701FEA"/>
    <w:lvl w:ilvl="0" w:tplc="14D8E0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3" w15:restartNumberingAfterBreak="0">
    <w:nsid w:val="7F8735B8"/>
    <w:multiLevelType w:val="hybridMultilevel"/>
    <w:tmpl w:val="481498CE"/>
    <w:lvl w:ilvl="0" w:tplc="7BB0A9D2">
      <w:start w:val="1"/>
      <w:numFmt w:val="lowerLetter"/>
      <w:lvlText w:val="(%1)"/>
      <w:lvlJc w:val="left"/>
      <w:pPr>
        <w:ind w:hanging="567"/>
      </w:pPr>
      <w:rPr>
        <w:rFonts w:ascii="Arial" w:eastAsia="Arial" w:hAnsi="Arial" w:hint="default"/>
        <w:sz w:val="24"/>
        <w:szCs w:val="24"/>
      </w:rPr>
    </w:lvl>
    <w:lvl w:ilvl="1" w:tplc="727ECF44">
      <w:start w:val="1"/>
      <w:numFmt w:val="lowerRoman"/>
      <w:lvlText w:val="(%2)"/>
      <w:lvlJc w:val="left"/>
      <w:pPr>
        <w:ind w:hanging="567"/>
      </w:pPr>
      <w:rPr>
        <w:rFonts w:ascii="Arial" w:eastAsia="Arial" w:hAnsi="Arial" w:hint="default"/>
        <w:sz w:val="24"/>
        <w:szCs w:val="24"/>
      </w:rPr>
    </w:lvl>
    <w:lvl w:ilvl="2" w:tplc="FFE6AF22">
      <w:start w:val="1"/>
      <w:numFmt w:val="bullet"/>
      <w:lvlText w:val="•"/>
      <w:lvlJc w:val="left"/>
      <w:rPr>
        <w:rFonts w:hint="default"/>
      </w:rPr>
    </w:lvl>
    <w:lvl w:ilvl="3" w:tplc="28DAAFE4">
      <w:start w:val="1"/>
      <w:numFmt w:val="bullet"/>
      <w:lvlText w:val="•"/>
      <w:lvlJc w:val="left"/>
      <w:rPr>
        <w:rFonts w:hint="default"/>
      </w:rPr>
    </w:lvl>
    <w:lvl w:ilvl="4" w:tplc="72C8D566">
      <w:start w:val="1"/>
      <w:numFmt w:val="bullet"/>
      <w:lvlText w:val="•"/>
      <w:lvlJc w:val="left"/>
      <w:rPr>
        <w:rFonts w:hint="default"/>
      </w:rPr>
    </w:lvl>
    <w:lvl w:ilvl="5" w:tplc="5434BAD0">
      <w:start w:val="1"/>
      <w:numFmt w:val="bullet"/>
      <w:lvlText w:val="•"/>
      <w:lvlJc w:val="left"/>
      <w:rPr>
        <w:rFonts w:hint="default"/>
      </w:rPr>
    </w:lvl>
    <w:lvl w:ilvl="6" w:tplc="644086E0">
      <w:start w:val="1"/>
      <w:numFmt w:val="bullet"/>
      <w:lvlText w:val="•"/>
      <w:lvlJc w:val="left"/>
      <w:rPr>
        <w:rFonts w:hint="default"/>
      </w:rPr>
    </w:lvl>
    <w:lvl w:ilvl="7" w:tplc="AFD05D7C">
      <w:start w:val="1"/>
      <w:numFmt w:val="bullet"/>
      <w:lvlText w:val="•"/>
      <w:lvlJc w:val="left"/>
      <w:rPr>
        <w:rFonts w:hint="default"/>
      </w:rPr>
    </w:lvl>
    <w:lvl w:ilvl="8" w:tplc="CD82B1FA">
      <w:start w:val="1"/>
      <w:numFmt w:val="bullet"/>
      <w:lvlText w:val="•"/>
      <w:lvlJc w:val="left"/>
      <w:rPr>
        <w:rFonts w:hint="default"/>
      </w:rPr>
    </w:lvl>
  </w:abstractNum>
  <w:num w:numId="1">
    <w:abstractNumId w:val="39"/>
  </w:num>
  <w:num w:numId="2">
    <w:abstractNumId w:val="24"/>
  </w:num>
  <w:num w:numId="3">
    <w:abstractNumId w:val="35"/>
  </w:num>
  <w:num w:numId="4">
    <w:abstractNumId w:val="22"/>
  </w:num>
  <w:num w:numId="5">
    <w:abstractNumId w:val="6"/>
  </w:num>
  <w:num w:numId="6">
    <w:abstractNumId w:val="18"/>
  </w:num>
  <w:num w:numId="7">
    <w:abstractNumId w:val="20"/>
  </w:num>
  <w:num w:numId="8">
    <w:abstractNumId w:val="25"/>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0"/>
  </w:num>
  <w:num w:numId="19">
    <w:abstractNumId w:val="7"/>
  </w:num>
  <w:num w:numId="20">
    <w:abstractNumId w:val="4"/>
  </w:num>
  <w:num w:numId="21">
    <w:abstractNumId w:val="9"/>
  </w:num>
  <w:num w:numId="22">
    <w:abstractNumId w:val="38"/>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7"/>
  </w:num>
  <w:num w:numId="30">
    <w:abstractNumId w:val="27"/>
    <w:lvlOverride w:ilvl="0">
      <w:startOverride w:val="1"/>
    </w:lvlOverride>
  </w:num>
  <w:num w:numId="31">
    <w:abstractNumId w:val="0"/>
  </w:num>
  <w:num w:numId="32">
    <w:abstractNumId w:val="8"/>
  </w:num>
  <w:num w:numId="33">
    <w:abstractNumId w:val="2"/>
  </w:num>
  <w:num w:numId="34">
    <w:abstractNumId w:val="1"/>
  </w:num>
  <w:num w:numId="35">
    <w:abstractNumId w:val="23"/>
  </w:num>
  <w:num w:numId="36">
    <w:abstractNumId w:val="43"/>
  </w:num>
  <w:num w:numId="37">
    <w:abstractNumId w:val="16"/>
  </w:num>
  <w:num w:numId="38">
    <w:abstractNumId w:val="42"/>
  </w:num>
  <w:num w:numId="39">
    <w:abstractNumId w:val="19"/>
  </w:num>
  <w:num w:numId="40">
    <w:abstractNumId w:val="17"/>
  </w:num>
  <w:num w:numId="41">
    <w:abstractNumId w:val="36"/>
  </w:num>
  <w:num w:numId="42">
    <w:abstractNumId w:val="34"/>
  </w:num>
  <w:num w:numId="43">
    <w:abstractNumId w:val="3"/>
  </w:num>
  <w:num w:numId="44">
    <w:abstractNumId w:val="37"/>
  </w:num>
  <w:num w:numId="45">
    <w:abstractNumId w:val="26"/>
  </w:num>
  <w:num w:numId="46">
    <w:abstractNumId w:val="28"/>
  </w:num>
  <w:num w:numId="47">
    <w:abstractNumId w:val="41"/>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009D"/>
    <w:rsid w:val="00000628"/>
    <w:rsid w:val="00001165"/>
    <w:rsid w:val="0000210E"/>
    <w:rsid w:val="00002297"/>
    <w:rsid w:val="0000273A"/>
    <w:rsid w:val="000034D0"/>
    <w:rsid w:val="0000524D"/>
    <w:rsid w:val="000054A6"/>
    <w:rsid w:val="00005881"/>
    <w:rsid w:val="00005966"/>
    <w:rsid w:val="00005E13"/>
    <w:rsid w:val="00005E9C"/>
    <w:rsid w:val="00006321"/>
    <w:rsid w:val="000064A5"/>
    <w:rsid w:val="0000671B"/>
    <w:rsid w:val="00006C22"/>
    <w:rsid w:val="0000703C"/>
    <w:rsid w:val="00007F45"/>
    <w:rsid w:val="00010760"/>
    <w:rsid w:val="00010C19"/>
    <w:rsid w:val="00010C49"/>
    <w:rsid w:val="000115C1"/>
    <w:rsid w:val="000117CB"/>
    <w:rsid w:val="0001206A"/>
    <w:rsid w:val="000120BA"/>
    <w:rsid w:val="00012430"/>
    <w:rsid w:val="00012D46"/>
    <w:rsid w:val="00012D7A"/>
    <w:rsid w:val="00013B7C"/>
    <w:rsid w:val="00013F59"/>
    <w:rsid w:val="00013FC3"/>
    <w:rsid w:val="0001488C"/>
    <w:rsid w:val="00014EC3"/>
    <w:rsid w:val="00014F52"/>
    <w:rsid w:val="00016096"/>
    <w:rsid w:val="00016A26"/>
    <w:rsid w:val="0001731C"/>
    <w:rsid w:val="00017660"/>
    <w:rsid w:val="00017BDB"/>
    <w:rsid w:val="00020034"/>
    <w:rsid w:val="00020091"/>
    <w:rsid w:val="00020E6A"/>
    <w:rsid w:val="00021C36"/>
    <w:rsid w:val="00023281"/>
    <w:rsid w:val="00023B6E"/>
    <w:rsid w:val="00024B14"/>
    <w:rsid w:val="00025F06"/>
    <w:rsid w:val="00026066"/>
    <w:rsid w:val="000261A3"/>
    <w:rsid w:val="0002696B"/>
    <w:rsid w:val="000269B5"/>
    <w:rsid w:val="00026AC9"/>
    <w:rsid w:val="00026E9F"/>
    <w:rsid w:val="0002778B"/>
    <w:rsid w:val="0002798B"/>
    <w:rsid w:val="0003080C"/>
    <w:rsid w:val="00030A7F"/>
    <w:rsid w:val="0003184D"/>
    <w:rsid w:val="000323BF"/>
    <w:rsid w:val="00032641"/>
    <w:rsid w:val="000333BB"/>
    <w:rsid w:val="00034591"/>
    <w:rsid w:val="00034994"/>
    <w:rsid w:val="00034DBA"/>
    <w:rsid w:val="000353FD"/>
    <w:rsid w:val="00035B56"/>
    <w:rsid w:val="00036121"/>
    <w:rsid w:val="000369D2"/>
    <w:rsid w:val="00036DE3"/>
    <w:rsid w:val="000377FC"/>
    <w:rsid w:val="00037AEA"/>
    <w:rsid w:val="00040D30"/>
    <w:rsid w:val="00040D3B"/>
    <w:rsid w:val="00040F7C"/>
    <w:rsid w:val="00040F96"/>
    <w:rsid w:val="00041D19"/>
    <w:rsid w:val="00041E7D"/>
    <w:rsid w:val="0004201F"/>
    <w:rsid w:val="000425D6"/>
    <w:rsid w:val="000426E9"/>
    <w:rsid w:val="00042854"/>
    <w:rsid w:val="00042951"/>
    <w:rsid w:val="00043A32"/>
    <w:rsid w:val="00043EEA"/>
    <w:rsid w:val="00043F72"/>
    <w:rsid w:val="00044167"/>
    <w:rsid w:val="00044816"/>
    <w:rsid w:val="000452D6"/>
    <w:rsid w:val="00045657"/>
    <w:rsid w:val="00045764"/>
    <w:rsid w:val="000463E9"/>
    <w:rsid w:val="00046708"/>
    <w:rsid w:val="00046825"/>
    <w:rsid w:val="00046B22"/>
    <w:rsid w:val="00046E30"/>
    <w:rsid w:val="00047869"/>
    <w:rsid w:val="000515FF"/>
    <w:rsid w:val="00051A3F"/>
    <w:rsid w:val="00051A8A"/>
    <w:rsid w:val="00051CF3"/>
    <w:rsid w:val="00051E18"/>
    <w:rsid w:val="00051F8F"/>
    <w:rsid w:val="000530BB"/>
    <w:rsid w:val="000530C0"/>
    <w:rsid w:val="000536DF"/>
    <w:rsid w:val="00053D92"/>
    <w:rsid w:val="00053E0F"/>
    <w:rsid w:val="0005473B"/>
    <w:rsid w:val="000549D1"/>
    <w:rsid w:val="00056DA1"/>
    <w:rsid w:val="00057473"/>
    <w:rsid w:val="0005777E"/>
    <w:rsid w:val="00057846"/>
    <w:rsid w:val="00057DA2"/>
    <w:rsid w:val="000603D7"/>
    <w:rsid w:val="00060E29"/>
    <w:rsid w:val="0006135E"/>
    <w:rsid w:val="000616DA"/>
    <w:rsid w:val="00061992"/>
    <w:rsid w:val="00061A1E"/>
    <w:rsid w:val="00061C24"/>
    <w:rsid w:val="000626E3"/>
    <w:rsid w:val="000627F9"/>
    <w:rsid w:val="00062953"/>
    <w:rsid w:val="000629B0"/>
    <w:rsid w:val="00062D15"/>
    <w:rsid w:val="00062F32"/>
    <w:rsid w:val="000633AD"/>
    <w:rsid w:val="00063E34"/>
    <w:rsid w:val="000648EA"/>
    <w:rsid w:val="00064CA8"/>
    <w:rsid w:val="000656E0"/>
    <w:rsid w:val="00065A02"/>
    <w:rsid w:val="00065B86"/>
    <w:rsid w:val="00065CF2"/>
    <w:rsid w:val="00065ED4"/>
    <w:rsid w:val="00066CB2"/>
    <w:rsid w:val="00067CD0"/>
    <w:rsid w:val="00070359"/>
    <w:rsid w:val="00071527"/>
    <w:rsid w:val="000719D4"/>
    <w:rsid w:val="00071FD1"/>
    <w:rsid w:val="00072722"/>
    <w:rsid w:val="00072ECA"/>
    <w:rsid w:val="00073AF0"/>
    <w:rsid w:val="00073C1B"/>
    <w:rsid w:val="000740FA"/>
    <w:rsid w:val="00074FC7"/>
    <w:rsid w:val="00075340"/>
    <w:rsid w:val="000753A3"/>
    <w:rsid w:val="0007649C"/>
    <w:rsid w:val="00077654"/>
    <w:rsid w:val="0007767C"/>
    <w:rsid w:val="000779A7"/>
    <w:rsid w:val="00077B19"/>
    <w:rsid w:val="000800CA"/>
    <w:rsid w:val="00080957"/>
    <w:rsid w:val="00080BF5"/>
    <w:rsid w:val="00080BFE"/>
    <w:rsid w:val="00080DAA"/>
    <w:rsid w:val="00081103"/>
    <w:rsid w:val="000814FA"/>
    <w:rsid w:val="000816C9"/>
    <w:rsid w:val="00081F22"/>
    <w:rsid w:val="00082008"/>
    <w:rsid w:val="00082597"/>
    <w:rsid w:val="0008277A"/>
    <w:rsid w:val="00082881"/>
    <w:rsid w:val="00082931"/>
    <w:rsid w:val="000835F8"/>
    <w:rsid w:val="00083A3E"/>
    <w:rsid w:val="00083AF7"/>
    <w:rsid w:val="00083B67"/>
    <w:rsid w:val="00083E3C"/>
    <w:rsid w:val="00084816"/>
    <w:rsid w:val="0008550A"/>
    <w:rsid w:val="00085A38"/>
    <w:rsid w:val="0008698D"/>
    <w:rsid w:val="00086997"/>
    <w:rsid w:val="00086A18"/>
    <w:rsid w:val="00086BF8"/>
    <w:rsid w:val="00086EA5"/>
    <w:rsid w:val="0008770D"/>
    <w:rsid w:val="00090395"/>
    <w:rsid w:val="00090BA2"/>
    <w:rsid w:val="00090F36"/>
    <w:rsid w:val="00091131"/>
    <w:rsid w:val="00091369"/>
    <w:rsid w:val="000918B5"/>
    <w:rsid w:val="00091F24"/>
    <w:rsid w:val="00091FF6"/>
    <w:rsid w:val="00092285"/>
    <w:rsid w:val="00092B63"/>
    <w:rsid w:val="0009384B"/>
    <w:rsid w:val="00093BA0"/>
    <w:rsid w:val="00093E44"/>
    <w:rsid w:val="000941C1"/>
    <w:rsid w:val="000945D0"/>
    <w:rsid w:val="00094601"/>
    <w:rsid w:val="00094856"/>
    <w:rsid w:val="00094CC3"/>
    <w:rsid w:val="00095227"/>
    <w:rsid w:val="00095585"/>
    <w:rsid w:val="0009588F"/>
    <w:rsid w:val="00096366"/>
    <w:rsid w:val="000967B2"/>
    <w:rsid w:val="00096872"/>
    <w:rsid w:val="000969F3"/>
    <w:rsid w:val="00096DED"/>
    <w:rsid w:val="000971D4"/>
    <w:rsid w:val="000A1ADF"/>
    <w:rsid w:val="000A1F72"/>
    <w:rsid w:val="000A208B"/>
    <w:rsid w:val="000A276F"/>
    <w:rsid w:val="000A29A2"/>
    <w:rsid w:val="000A2A63"/>
    <w:rsid w:val="000A2B3E"/>
    <w:rsid w:val="000A379D"/>
    <w:rsid w:val="000A3C1A"/>
    <w:rsid w:val="000A3D5B"/>
    <w:rsid w:val="000A3D9D"/>
    <w:rsid w:val="000A404D"/>
    <w:rsid w:val="000A4852"/>
    <w:rsid w:val="000A532C"/>
    <w:rsid w:val="000A5954"/>
    <w:rsid w:val="000A5FC4"/>
    <w:rsid w:val="000A62EF"/>
    <w:rsid w:val="000B0B21"/>
    <w:rsid w:val="000B0C8B"/>
    <w:rsid w:val="000B0D7B"/>
    <w:rsid w:val="000B0E81"/>
    <w:rsid w:val="000B12FE"/>
    <w:rsid w:val="000B297F"/>
    <w:rsid w:val="000B3E34"/>
    <w:rsid w:val="000B404A"/>
    <w:rsid w:val="000B43B1"/>
    <w:rsid w:val="000B4516"/>
    <w:rsid w:val="000B4555"/>
    <w:rsid w:val="000B4836"/>
    <w:rsid w:val="000B4C9C"/>
    <w:rsid w:val="000B576C"/>
    <w:rsid w:val="000B62E6"/>
    <w:rsid w:val="000B6644"/>
    <w:rsid w:val="000B66F1"/>
    <w:rsid w:val="000B7259"/>
    <w:rsid w:val="000B7FD5"/>
    <w:rsid w:val="000C0658"/>
    <w:rsid w:val="000C0740"/>
    <w:rsid w:val="000C1252"/>
    <w:rsid w:val="000C17AC"/>
    <w:rsid w:val="000C21E6"/>
    <w:rsid w:val="000C3A42"/>
    <w:rsid w:val="000C46AC"/>
    <w:rsid w:val="000C4EE0"/>
    <w:rsid w:val="000C5035"/>
    <w:rsid w:val="000C55BA"/>
    <w:rsid w:val="000C615C"/>
    <w:rsid w:val="000C6693"/>
    <w:rsid w:val="000C70FE"/>
    <w:rsid w:val="000C71E2"/>
    <w:rsid w:val="000C7560"/>
    <w:rsid w:val="000C794E"/>
    <w:rsid w:val="000D006B"/>
    <w:rsid w:val="000D02BB"/>
    <w:rsid w:val="000D0763"/>
    <w:rsid w:val="000D0E24"/>
    <w:rsid w:val="000D141D"/>
    <w:rsid w:val="000D181F"/>
    <w:rsid w:val="000D27E2"/>
    <w:rsid w:val="000D3037"/>
    <w:rsid w:val="000D3226"/>
    <w:rsid w:val="000D339B"/>
    <w:rsid w:val="000D3D34"/>
    <w:rsid w:val="000D3D60"/>
    <w:rsid w:val="000D41F6"/>
    <w:rsid w:val="000D4330"/>
    <w:rsid w:val="000D500D"/>
    <w:rsid w:val="000D5300"/>
    <w:rsid w:val="000D6294"/>
    <w:rsid w:val="000D7A14"/>
    <w:rsid w:val="000E19F4"/>
    <w:rsid w:val="000E1ABF"/>
    <w:rsid w:val="000E1B50"/>
    <w:rsid w:val="000E2F15"/>
    <w:rsid w:val="000E2FA1"/>
    <w:rsid w:val="000E39DD"/>
    <w:rsid w:val="000E3EC5"/>
    <w:rsid w:val="000E40B8"/>
    <w:rsid w:val="000E42C1"/>
    <w:rsid w:val="000E42D3"/>
    <w:rsid w:val="000E46A1"/>
    <w:rsid w:val="000E4DB8"/>
    <w:rsid w:val="000E4E21"/>
    <w:rsid w:val="000E5AE4"/>
    <w:rsid w:val="000E64CB"/>
    <w:rsid w:val="000E6802"/>
    <w:rsid w:val="000E6BFC"/>
    <w:rsid w:val="000E6F62"/>
    <w:rsid w:val="000F13D2"/>
    <w:rsid w:val="000F19BC"/>
    <w:rsid w:val="000F1FCA"/>
    <w:rsid w:val="000F2559"/>
    <w:rsid w:val="000F298D"/>
    <w:rsid w:val="000F2E89"/>
    <w:rsid w:val="000F395B"/>
    <w:rsid w:val="000F39B5"/>
    <w:rsid w:val="000F3EBB"/>
    <w:rsid w:val="000F44B6"/>
    <w:rsid w:val="000F5E0E"/>
    <w:rsid w:val="000F66F4"/>
    <w:rsid w:val="000F6DE7"/>
    <w:rsid w:val="000F73AC"/>
    <w:rsid w:val="000F75E3"/>
    <w:rsid w:val="000F769B"/>
    <w:rsid w:val="000F7F2C"/>
    <w:rsid w:val="00100C6C"/>
    <w:rsid w:val="00101724"/>
    <w:rsid w:val="00101D85"/>
    <w:rsid w:val="00102C0D"/>
    <w:rsid w:val="00102CF3"/>
    <w:rsid w:val="001032BD"/>
    <w:rsid w:val="001038D4"/>
    <w:rsid w:val="00103964"/>
    <w:rsid w:val="00104A1D"/>
    <w:rsid w:val="00104E14"/>
    <w:rsid w:val="001054E0"/>
    <w:rsid w:val="001063DA"/>
    <w:rsid w:val="00107792"/>
    <w:rsid w:val="0011000A"/>
    <w:rsid w:val="001103C0"/>
    <w:rsid w:val="001105A9"/>
    <w:rsid w:val="00110F2A"/>
    <w:rsid w:val="001118C3"/>
    <w:rsid w:val="00111972"/>
    <w:rsid w:val="00112302"/>
    <w:rsid w:val="00112A1D"/>
    <w:rsid w:val="00112A98"/>
    <w:rsid w:val="00112B26"/>
    <w:rsid w:val="00112C66"/>
    <w:rsid w:val="00112E6E"/>
    <w:rsid w:val="00113174"/>
    <w:rsid w:val="00113986"/>
    <w:rsid w:val="00113A9C"/>
    <w:rsid w:val="00113FDA"/>
    <w:rsid w:val="0011400B"/>
    <w:rsid w:val="00114B84"/>
    <w:rsid w:val="00114E6B"/>
    <w:rsid w:val="001159D8"/>
    <w:rsid w:val="00115C93"/>
    <w:rsid w:val="00115E75"/>
    <w:rsid w:val="001167A3"/>
    <w:rsid w:val="00116836"/>
    <w:rsid w:val="001169D2"/>
    <w:rsid w:val="00116D55"/>
    <w:rsid w:val="0011709C"/>
    <w:rsid w:val="001172E7"/>
    <w:rsid w:val="001201D6"/>
    <w:rsid w:val="001206FF"/>
    <w:rsid w:val="00120B57"/>
    <w:rsid w:val="0012179E"/>
    <w:rsid w:val="001217BF"/>
    <w:rsid w:val="00121B12"/>
    <w:rsid w:val="00121B24"/>
    <w:rsid w:val="00122E1D"/>
    <w:rsid w:val="0012309F"/>
    <w:rsid w:val="001232E2"/>
    <w:rsid w:val="0012377E"/>
    <w:rsid w:val="0012430E"/>
    <w:rsid w:val="00125514"/>
    <w:rsid w:val="001265BB"/>
    <w:rsid w:val="00126BE2"/>
    <w:rsid w:val="00126EF5"/>
    <w:rsid w:val="001271A2"/>
    <w:rsid w:val="0012772D"/>
    <w:rsid w:val="00130D8B"/>
    <w:rsid w:val="00130E4A"/>
    <w:rsid w:val="00131046"/>
    <w:rsid w:val="00131AF4"/>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2355"/>
    <w:rsid w:val="001433AD"/>
    <w:rsid w:val="00145491"/>
    <w:rsid w:val="00145822"/>
    <w:rsid w:val="001463C2"/>
    <w:rsid w:val="0014643B"/>
    <w:rsid w:val="00146B23"/>
    <w:rsid w:val="00146B35"/>
    <w:rsid w:val="00146D1A"/>
    <w:rsid w:val="0014716C"/>
    <w:rsid w:val="0014761E"/>
    <w:rsid w:val="00147B20"/>
    <w:rsid w:val="00147F6D"/>
    <w:rsid w:val="00150835"/>
    <w:rsid w:val="00151261"/>
    <w:rsid w:val="00151A6D"/>
    <w:rsid w:val="00151F12"/>
    <w:rsid w:val="00151FB4"/>
    <w:rsid w:val="00152228"/>
    <w:rsid w:val="001527DB"/>
    <w:rsid w:val="00152DAB"/>
    <w:rsid w:val="00152FEA"/>
    <w:rsid w:val="00153B8D"/>
    <w:rsid w:val="0015429A"/>
    <w:rsid w:val="001554F0"/>
    <w:rsid w:val="001555AD"/>
    <w:rsid w:val="001555EC"/>
    <w:rsid w:val="00156BD9"/>
    <w:rsid w:val="00157009"/>
    <w:rsid w:val="00157299"/>
    <w:rsid w:val="001572B3"/>
    <w:rsid w:val="001576EC"/>
    <w:rsid w:val="0015798B"/>
    <w:rsid w:val="0016022B"/>
    <w:rsid w:val="00160340"/>
    <w:rsid w:val="00160913"/>
    <w:rsid w:val="001610E4"/>
    <w:rsid w:val="00161C65"/>
    <w:rsid w:val="00161FED"/>
    <w:rsid w:val="0016220D"/>
    <w:rsid w:val="001622A8"/>
    <w:rsid w:val="00163CCC"/>
    <w:rsid w:val="00163D10"/>
    <w:rsid w:val="00164F43"/>
    <w:rsid w:val="0016547B"/>
    <w:rsid w:val="0016592E"/>
    <w:rsid w:val="001665D3"/>
    <w:rsid w:val="00166EBD"/>
    <w:rsid w:val="0016735F"/>
    <w:rsid w:val="00167B0D"/>
    <w:rsid w:val="00171244"/>
    <w:rsid w:val="0017144C"/>
    <w:rsid w:val="001717FA"/>
    <w:rsid w:val="00172820"/>
    <w:rsid w:val="00173014"/>
    <w:rsid w:val="001733E5"/>
    <w:rsid w:val="001746F1"/>
    <w:rsid w:val="00174F29"/>
    <w:rsid w:val="00175588"/>
    <w:rsid w:val="001759A0"/>
    <w:rsid w:val="001765A6"/>
    <w:rsid w:val="001767E6"/>
    <w:rsid w:val="00176B53"/>
    <w:rsid w:val="00176B75"/>
    <w:rsid w:val="0017713B"/>
    <w:rsid w:val="00180A58"/>
    <w:rsid w:val="00180BCA"/>
    <w:rsid w:val="00180EF4"/>
    <w:rsid w:val="001817D7"/>
    <w:rsid w:val="00181E51"/>
    <w:rsid w:val="00182A13"/>
    <w:rsid w:val="00182EBD"/>
    <w:rsid w:val="001832D3"/>
    <w:rsid w:val="00183476"/>
    <w:rsid w:val="00183924"/>
    <w:rsid w:val="00183AE4"/>
    <w:rsid w:val="001844F6"/>
    <w:rsid w:val="001846C4"/>
    <w:rsid w:val="001854A8"/>
    <w:rsid w:val="0018600E"/>
    <w:rsid w:val="0018645E"/>
    <w:rsid w:val="00186538"/>
    <w:rsid w:val="001866A6"/>
    <w:rsid w:val="00186C42"/>
    <w:rsid w:val="00186EA5"/>
    <w:rsid w:val="00187AE4"/>
    <w:rsid w:val="00187CA0"/>
    <w:rsid w:val="00187D36"/>
    <w:rsid w:val="00187D81"/>
    <w:rsid w:val="00190A71"/>
    <w:rsid w:val="00191212"/>
    <w:rsid w:val="00191407"/>
    <w:rsid w:val="001919F4"/>
    <w:rsid w:val="00191A18"/>
    <w:rsid w:val="001920CA"/>
    <w:rsid w:val="001934FD"/>
    <w:rsid w:val="00193715"/>
    <w:rsid w:val="00193938"/>
    <w:rsid w:val="00194028"/>
    <w:rsid w:val="0019440B"/>
    <w:rsid w:val="001944B2"/>
    <w:rsid w:val="0019554B"/>
    <w:rsid w:val="001955F6"/>
    <w:rsid w:val="00196AB5"/>
    <w:rsid w:val="0019712D"/>
    <w:rsid w:val="001A0459"/>
    <w:rsid w:val="001A0552"/>
    <w:rsid w:val="001A153D"/>
    <w:rsid w:val="001A1B13"/>
    <w:rsid w:val="001A21EF"/>
    <w:rsid w:val="001A2651"/>
    <w:rsid w:val="001A2F09"/>
    <w:rsid w:val="001A3D12"/>
    <w:rsid w:val="001A47DB"/>
    <w:rsid w:val="001A5136"/>
    <w:rsid w:val="001A59AA"/>
    <w:rsid w:val="001A617D"/>
    <w:rsid w:val="001A61DA"/>
    <w:rsid w:val="001A641C"/>
    <w:rsid w:val="001A6E25"/>
    <w:rsid w:val="001B0ED0"/>
    <w:rsid w:val="001B1386"/>
    <w:rsid w:val="001B17DF"/>
    <w:rsid w:val="001B182C"/>
    <w:rsid w:val="001B242D"/>
    <w:rsid w:val="001B2DD0"/>
    <w:rsid w:val="001B2E92"/>
    <w:rsid w:val="001B345B"/>
    <w:rsid w:val="001B379B"/>
    <w:rsid w:val="001B3FB0"/>
    <w:rsid w:val="001B4B6C"/>
    <w:rsid w:val="001B4E20"/>
    <w:rsid w:val="001B543F"/>
    <w:rsid w:val="001B5A2F"/>
    <w:rsid w:val="001B6229"/>
    <w:rsid w:val="001B68AF"/>
    <w:rsid w:val="001B6B7E"/>
    <w:rsid w:val="001B7230"/>
    <w:rsid w:val="001C05F0"/>
    <w:rsid w:val="001C0AB6"/>
    <w:rsid w:val="001C15A1"/>
    <w:rsid w:val="001C228F"/>
    <w:rsid w:val="001C2A26"/>
    <w:rsid w:val="001C2C71"/>
    <w:rsid w:val="001C2D6C"/>
    <w:rsid w:val="001C32C8"/>
    <w:rsid w:val="001C3467"/>
    <w:rsid w:val="001C34A3"/>
    <w:rsid w:val="001C3B57"/>
    <w:rsid w:val="001C3DFA"/>
    <w:rsid w:val="001C48B3"/>
    <w:rsid w:val="001C4A3C"/>
    <w:rsid w:val="001C4E5A"/>
    <w:rsid w:val="001C4F91"/>
    <w:rsid w:val="001C4FCD"/>
    <w:rsid w:val="001C5BD5"/>
    <w:rsid w:val="001C5E34"/>
    <w:rsid w:val="001C65C7"/>
    <w:rsid w:val="001C6BB6"/>
    <w:rsid w:val="001C7233"/>
    <w:rsid w:val="001C7262"/>
    <w:rsid w:val="001C797E"/>
    <w:rsid w:val="001D00D0"/>
    <w:rsid w:val="001D08C8"/>
    <w:rsid w:val="001D0B3E"/>
    <w:rsid w:val="001D10C5"/>
    <w:rsid w:val="001D123A"/>
    <w:rsid w:val="001D1538"/>
    <w:rsid w:val="001D17AC"/>
    <w:rsid w:val="001D18E4"/>
    <w:rsid w:val="001D22CB"/>
    <w:rsid w:val="001D265D"/>
    <w:rsid w:val="001D3127"/>
    <w:rsid w:val="001D353A"/>
    <w:rsid w:val="001D3D95"/>
    <w:rsid w:val="001D49D4"/>
    <w:rsid w:val="001D4A0B"/>
    <w:rsid w:val="001D4CD4"/>
    <w:rsid w:val="001D5AB4"/>
    <w:rsid w:val="001D6AAF"/>
    <w:rsid w:val="001D7433"/>
    <w:rsid w:val="001D78F7"/>
    <w:rsid w:val="001D7F96"/>
    <w:rsid w:val="001E00DF"/>
    <w:rsid w:val="001E056E"/>
    <w:rsid w:val="001E05E3"/>
    <w:rsid w:val="001E0AEB"/>
    <w:rsid w:val="001E0BA1"/>
    <w:rsid w:val="001E1112"/>
    <w:rsid w:val="001E1739"/>
    <w:rsid w:val="001E223F"/>
    <w:rsid w:val="001E248D"/>
    <w:rsid w:val="001E2508"/>
    <w:rsid w:val="001E2716"/>
    <w:rsid w:val="001E3D24"/>
    <w:rsid w:val="001E3EDD"/>
    <w:rsid w:val="001E42AB"/>
    <w:rsid w:val="001E4990"/>
    <w:rsid w:val="001E55F2"/>
    <w:rsid w:val="001E5F24"/>
    <w:rsid w:val="001E5F51"/>
    <w:rsid w:val="001E612C"/>
    <w:rsid w:val="001E670B"/>
    <w:rsid w:val="001E6B22"/>
    <w:rsid w:val="001E6C59"/>
    <w:rsid w:val="001E7691"/>
    <w:rsid w:val="001E7A6B"/>
    <w:rsid w:val="001E7F24"/>
    <w:rsid w:val="001F02C4"/>
    <w:rsid w:val="001F03CF"/>
    <w:rsid w:val="001F03EA"/>
    <w:rsid w:val="001F0E29"/>
    <w:rsid w:val="001F18F2"/>
    <w:rsid w:val="001F23B3"/>
    <w:rsid w:val="001F2668"/>
    <w:rsid w:val="001F2A55"/>
    <w:rsid w:val="001F2B71"/>
    <w:rsid w:val="001F375B"/>
    <w:rsid w:val="001F37B7"/>
    <w:rsid w:val="001F3995"/>
    <w:rsid w:val="001F41D0"/>
    <w:rsid w:val="001F41E6"/>
    <w:rsid w:val="001F4998"/>
    <w:rsid w:val="001F4DC4"/>
    <w:rsid w:val="001F59C5"/>
    <w:rsid w:val="001F6210"/>
    <w:rsid w:val="001F700F"/>
    <w:rsid w:val="001F78E0"/>
    <w:rsid w:val="001F7F98"/>
    <w:rsid w:val="002004DA"/>
    <w:rsid w:val="002006B0"/>
    <w:rsid w:val="00200AC3"/>
    <w:rsid w:val="002010AD"/>
    <w:rsid w:val="00201E25"/>
    <w:rsid w:val="002026A9"/>
    <w:rsid w:val="0020290C"/>
    <w:rsid w:val="0020358F"/>
    <w:rsid w:val="0020404B"/>
    <w:rsid w:val="0020443B"/>
    <w:rsid w:val="00204C94"/>
    <w:rsid w:val="00204D45"/>
    <w:rsid w:val="00204DEB"/>
    <w:rsid w:val="0020529E"/>
    <w:rsid w:val="002055CD"/>
    <w:rsid w:val="00205A13"/>
    <w:rsid w:val="00205B74"/>
    <w:rsid w:val="00206105"/>
    <w:rsid w:val="00206A07"/>
    <w:rsid w:val="00207034"/>
    <w:rsid w:val="002072A2"/>
    <w:rsid w:val="0021006D"/>
    <w:rsid w:val="00210494"/>
    <w:rsid w:val="0021199F"/>
    <w:rsid w:val="00212643"/>
    <w:rsid w:val="00213D1F"/>
    <w:rsid w:val="00213E34"/>
    <w:rsid w:val="002144D5"/>
    <w:rsid w:val="002146BC"/>
    <w:rsid w:val="0021594C"/>
    <w:rsid w:val="00216470"/>
    <w:rsid w:val="002169E9"/>
    <w:rsid w:val="00216D4E"/>
    <w:rsid w:val="002170D6"/>
    <w:rsid w:val="00217476"/>
    <w:rsid w:val="0021770D"/>
    <w:rsid w:val="00217B26"/>
    <w:rsid w:val="00220039"/>
    <w:rsid w:val="0022012D"/>
    <w:rsid w:val="0022151C"/>
    <w:rsid w:val="00221B06"/>
    <w:rsid w:val="0022263C"/>
    <w:rsid w:val="00223DE7"/>
    <w:rsid w:val="0022503C"/>
    <w:rsid w:val="00225E3B"/>
    <w:rsid w:val="00227ABE"/>
    <w:rsid w:val="00230971"/>
    <w:rsid w:val="002312F0"/>
    <w:rsid w:val="00231CA5"/>
    <w:rsid w:val="002326C7"/>
    <w:rsid w:val="0023297B"/>
    <w:rsid w:val="00232A35"/>
    <w:rsid w:val="00232E2C"/>
    <w:rsid w:val="002330E7"/>
    <w:rsid w:val="00233999"/>
    <w:rsid w:val="00234805"/>
    <w:rsid w:val="002356FE"/>
    <w:rsid w:val="00235D4C"/>
    <w:rsid w:val="00235DF5"/>
    <w:rsid w:val="002368D0"/>
    <w:rsid w:val="0023721B"/>
    <w:rsid w:val="00237268"/>
    <w:rsid w:val="002372CE"/>
    <w:rsid w:val="00237CF6"/>
    <w:rsid w:val="00237DB0"/>
    <w:rsid w:val="00237DCE"/>
    <w:rsid w:val="00241B14"/>
    <w:rsid w:val="00242749"/>
    <w:rsid w:val="00242DD7"/>
    <w:rsid w:val="00242E7F"/>
    <w:rsid w:val="00242EE5"/>
    <w:rsid w:val="00244528"/>
    <w:rsid w:val="00244E12"/>
    <w:rsid w:val="002450AD"/>
    <w:rsid w:val="00245960"/>
    <w:rsid w:val="002461CC"/>
    <w:rsid w:val="0024636D"/>
    <w:rsid w:val="00246A31"/>
    <w:rsid w:val="00246A76"/>
    <w:rsid w:val="002475C7"/>
    <w:rsid w:val="00247CE6"/>
    <w:rsid w:val="002503B1"/>
    <w:rsid w:val="0025069E"/>
    <w:rsid w:val="0025078B"/>
    <w:rsid w:val="00250CEE"/>
    <w:rsid w:val="00251362"/>
    <w:rsid w:val="00251700"/>
    <w:rsid w:val="00252114"/>
    <w:rsid w:val="00252637"/>
    <w:rsid w:val="00252766"/>
    <w:rsid w:val="002527F8"/>
    <w:rsid w:val="002531B4"/>
    <w:rsid w:val="00253216"/>
    <w:rsid w:val="002534F0"/>
    <w:rsid w:val="00253A6A"/>
    <w:rsid w:val="002545A5"/>
    <w:rsid w:val="00255DD3"/>
    <w:rsid w:val="0025610A"/>
    <w:rsid w:val="0025657B"/>
    <w:rsid w:val="00256F07"/>
    <w:rsid w:val="00257163"/>
    <w:rsid w:val="00257849"/>
    <w:rsid w:val="00257BA7"/>
    <w:rsid w:val="00260062"/>
    <w:rsid w:val="00260520"/>
    <w:rsid w:val="002606A7"/>
    <w:rsid w:val="0026173A"/>
    <w:rsid w:val="0026178A"/>
    <w:rsid w:val="00261EB3"/>
    <w:rsid w:val="00262753"/>
    <w:rsid w:val="002627F5"/>
    <w:rsid w:val="00262E94"/>
    <w:rsid w:val="00263B64"/>
    <w:rsid w:val="00264434"/>
    <w:rsid w:val="00264595"/>
    <w:rsid w:val="002647FF"/>
    <w:rsid w:val="00264CAF"/>
    <w:rsid w:val="002655A3"/>
    <w:rsid w:val="00265C06"/>
    <w:rsid w:val="00265E64"/>
    <w:rsid w:val="0026614E"/>
    <w:rsid w:val="00266518"/>
    <w:rsid w:val="00266DA8"/>
    <w:rsid w:val="0026732A"/>
    <w:rsid w:val="002679A8"/>
    <w:rsid w:val="00267AE6"/>
    <w:rsid w:val="00270032"/>
    <w:rsid w:val="00270044"/>
    <w:rsid w:val="002712B9"/>
    <w:rsid w:val="002712E8"/>
    <w:rsid w:val="0027161E"/>
    <w:rsid w:val="0027189B"/>
    <w:rsid w:val="002724BF"/>
    <w:rsid w:val="00272AD5"/>
    <w:rsid w:val="00272E62"/>
    <w:rsid w:val="00273482"/>
    <w:rsid w:val="00273AB4"/>
    <w:rsid w:val="00273EED"/>
    <w:rsid w:val="002740A0"/>
    <w:rsid w:val="002744F3"/>
    <w:rsid w:val="00274BC3"/>
    <w:rsid w:val="00274C29"/>
    <w:rsid w:val="00274F23"/>
    <w:rsid w:val="00274F5D"/>
    <w:rsid w:val="00274FFD"/>
    <w:rsid w:val="002757D3"/>
    <w:rsid w:val="00275DCA"/>
    <w:rsid w:val="002763B9"/>
    <w:rsid w:val="00276C0D"/>
    <w:rsid w:val="002771EF"/>
    <w:rsid w:val="00277C48"/>
    <w:rsid w:val="00277DE6"/>
    <w:rsid w:val="00280942"/>
    <w:rsid w:val="00280981"/>
    <w:rsid w:val="00280DBA"/>
    <w:rsid w:val="00280E93"/>
    <w:rsid w:val="00280FBB"/>
    <w:rsid w:val="00281309"/>
    <w:rsid w:val="002815E6"/>
    <w:rsid w:val="00281DA8"/>
    <w:rsid w:val="00281FB6"/>
    <w:rsid w:val="00282320"/>
    <w:rsid w:val="0028244A"/>
    <w:rsid w:val="00282700"/>
    <w:rsid w:val="00282CFE"/>
    <w:rsid w:val="00282D16"/>
    <w:rsid w:val="00282D17"/>
    <w:rsid w:val="00282D88"/>
    <w:rsid w:val="00282E60"/>
    <w:rsid w:val="0028305E"/>
    <w:rsid w:val="00283B68"/>
    <w:rsid w:val="00283E52"/>
    <w:rsid w:val="00284C80"/>
    <w:rsid w:val="0028577D"/>
    <w:rsid w:val="00285FE5"/>
    <w:rsid w:val="0028657C"/>
    <w:rsid w:val="0028668A"/>
    <w:rsid w:val="002871F0"/>
    <w:rsid w:val="002874C3"/>
    <w:rsid w:val="00287799"/>
    <w:rsid w:val="00290BDA"/>
    <w:rsid w:val="00290C04"/>
    <w:rsid w:val="00291001"/>
    <w:rsid w:val="00291472"/>
    <w:rsid w:val="00291473"/>
    <w:rsid w:val="00291E97"/>
    <w:rsid w:val="00291EB9"/>
    <w:rsid w:val="0029274F"/>
    <w:rsid w:val="0029283B"/>
    <w:rsid w:val="002929EB"/>
    <w:rsid w:val="0029310D"/>
    <w:rsid w:val="00293EBE"/>
    <w:rsid w:val="0029449F"/>
    <w:rsid w:val="0029472B"/>
    <w:rsid w:val="00294D8B"/>
    <w:rsid w:val="00295250"/>
    <w:rsid w:val="00295287"/>
    <w:rsid w:val="002955AD"/>
    <w:rsid w:val="00295D10"/>
    <w:rsid w:val="00295F23"/>
    <w:rsid w:val="002965D6"/>
    <w:rsid w:val="00296DD0"/>
    <w:rsid w:val="00296FC7"/>
    <w:rsid w:val="002975C2"/>
    <w:rsid w:val="00297BB6"/>
    <w:rsid w:val="00297D2D"/>
    <w:rsid w:val="002A04B6"/>
    <w:rsid w:val="002A052F"/>
    <w:rsid w:val="002A12D8"/>
    <w:rsid w:val="002A15DF"/>
    <w:rsid w:val="002A1662"/>
    <w:rsid w:val="002A21F5"/>
    <w:rsid w:val="002A2230"/>
    <w:rsid w:val="002A24FF"/>
    <w:rsid w:val="002A29FC"/>
    <w:rsid w:val="002A2E37"/>
    <w:rsid w:val="002A3370"/>
    <w:rsid w:val="002A34AF"/>
    <w:rsid w:val="002A3569"/>
    <w:rsid w:val="002A39A6"/>
    <w:rsid w:val="002A3A57"/>
    <w:rsid w:val="002A404A"/>
    <w:rsid w:val="002A4593"/>
    <w:rsid w:val="002A47B4"/>
    <w:rsid w:val="002A4B89"/>
    <w:rsid w:val="002A4FAD"/>
    <w:rsid w:val="002A50D9"/>
    <w:rsid w:val="002A50FD"/>
    <w:rsid w:val="002A5986"/>
    <w:rsid w:val="002A69A8"/>
    <w:rsid w:val="002A72E6"/>
    <w:rsid w:val="002A7A98"/>
    <w:rsid w:val="002A7EB1"/>
    <w:rsid w:val="002A7FF2"/>
    <w:rsid w:val="002B041B"/>
    <w:rsid w:val="002B04D3"/>
    <w:rsid w:val="002B097B"/>
    <w:rsid w:val="002B118C"/>
    <w:rsid w:val="002B1642"/>
    <w:rsid w:val="002B282F"/>
    <w:rsid w:val="002B30EC"/>
    <w:rsid w:val="002B37F7"/>
    <w:rsid w:val="002B3EC6"/>
    <w:rsid w:val="002B4FF9"/>
    <w:rsid w:val="002B556B"/>
    <w:rsid w:val="002B5C71"/>
    <w:rsid w:val="002B6C22"/>
    <w:rsid w:val="002B7BAD"/>
    <w:rsid w:val="002B7C5A"/>
    <w:rsid w:val="002B7EDB"/>
    <w:rsid w:val="002C08AF"/>
    <w:rsid w:val="002C0D2C"/>
    <w:rsid w:val="002C109C"/>
    <w:rsid w:val="002C145A"/>
    <w:rsid w:val="002C1AA7"/>
    <w:rsid w:val="002C24F2"/>
    <w:rsid w:val="002C27ED"/>
    <w:rsid w:val="002C2B51"/>
    <w:rsid w:val="002C30B0"/>
    <w:rsid w:val="002C3481"/>
    <w:rsid w:val="002C47F7"/>
    <w:rsid w:val="002C50AD"/>
    <w:rsid w:val="002C5E1D"/>
    <w:rsid w:val="002C73B0"/>
    <w:rsid w:val="002C7484"/>
    <w:rsid w:val="002D0E09"/>
    <w:rsid w:val="002D1EBC"/>
    <w:rsid w:val="002D2336"/>
    <w:rsid w:val="002D28B7"/>
    <w:rsid w:val="002D2CAC"/>
    <w:rsid w:val="002D2D50"/>
    <w:rsid w:val="002D2F80"/>
    <w:rsid w:val="002D33A6"/>
    <w:rsid w:val="002D38E4"/>
    <w:rsid w:val="002D40F7"/>
    <w:rsid w:val="002D430E"/>
    <w:rsid w:val="002D4316"/>
    <w:rsid w:val="002D578F"/>
    <w:rsid w:val="002D6A8D"/>
    <w:rsid w:val="002D6D4C"/>
    <w:rsid w:val="002D751C"/>
    <w:rsid w:val="002D77D6"/>
    <w:rsid w:val="002E0AD0"/>
    <w:rsid w:val="002E1782"/>
    <w:rsid w:val="002E17FA"/>
    <w:rsid w:val="002E297B"/>
    <w:rsid w:val="002E2B74"/>
    <w:rsid w:val="002E2F73"/>
    <w:rsid w:val="002E2F75"/>
    <w:rsid w:val="002E3060"/>
    <w:rsid w:val="002E3B89"/>
    <w:rsid w:val="002E42B4"/>
    <w:rsid w:val="002E46B3"/>
    <w:rsid w:val="002E4FB1"/>
    <w:rsid w:val="002E5687"/>
    <w:rsid w:val="002E5B77"/>
    <w:rsid w:val="002E6073"/>
    <w:rsid w:val="002E60B0"/>
    <w:rsid w:val="002E6826"/>
    <w:rsid w:val="002E6AE1"/>
    <w:rsid w:val="002E786A"/>
    <w:rsid w:val="002E7D04"/>
    <w:rsid w:val="002E7E59"/>
    <w:rsid w:val="002E7E5B"/>
    <w:rsid w:val="002E7F40"/>
    <w:rsid w:val="002F02FD"/>
    <w:rsid w:val="002F0387"/>
    <w:rsid w:val="002F070D"/>
    <w:rsid w:val="002F093C"/>
    <w:rsid w:val="002F0AAC"/>
    <w:rsid w:val="002F0B3F"/>
    <w:rsid w:val="002F0C64"/>
    <w:rsid w:val="002F102F"/>
    <w:rsid w:val="002F168F"/>
    <w:rsid w:val="002F2B0D"/>
    <w:rsid w:val="002F2B65"/>
    <w:rsid w:val="002F2E73"/>
    <w:rsid w:val="002F2F5A"/>
    <w:rsid w:val="002F32D7"/>
    <w:rsid w:val="002F3C9D"/>
    <w:rsid w:val="002F44BF"/>
    <w:rsid w:val="002F478E"/>
    <w:rsid w:val="002F47A4"/>
    <w:rsid w:val="002F48D7"/>
    <w:rsid w:val="002F498C"/>
    <w:rsid w:val="002F553C"/>
    <w:rsid w:val="002F5578"/>
    <w:rsid w:val="002F5EBA"/>
    <w:rsid w:val="002F606E"/>
    <w:rsid w:val="002F65DE"/>
    <w:rsid w:val="002F70E8"/>
    <w:rsid w:val="002F7755"/>
    <w:rsid w:val="002F7FAB"/>
    <w:rsid w:val="00300262"/>
    <w:rsid w:val="00300370"/>
    <w:rsid w:val="0030097E"/>
    <w:rsid w:val="00300E07"/>
    <w:rsid w:val="00301321"/>
    <w:rsid w:val="0030159F"/>
    <w:rsid w:val="0030161B"/>
    <w:rsid w:val="0030185F"/>
    <w:rsid w:val="00301D8F"/>
    <w:rsid w:val="003028A1"/>
    <w:rsid w:val="003028E1"/>
    <w:rsid w:val="00302A54"/>
    <w:rsid w:val="00302AB6"/>
    <w:rsid w:val="00302EC4"/>
    <w:rsid w:val="003034C7"/>
    <w:rsid w:val="00303C6D"/>
    <w:rsid w:val="0030463D"/>
    <w:rsid w:val="003046AC"/>
    <w:rsid w:val="0030503A"/>
    <w:rsid w:val="00305A2D"/>
    <w:rsid w:val="00305A40"/>
    <w:rsid w:val="00305E24"/>
    <w:rsid w:val="0030696A"/>
    <w:rsid w:val="00306D4A"/>
    <w:rsid w:val="00306FA4"/>
    <w:rsid w:val="00307536"/>
    <w:rsid w:val="00307A43"/>
    <w:rsid w:val="00307E2D"/>
    <w:rsid w:val="00310733"/>
    <w:rsid w:val="00310A42"/>
    <w:rsid w:val="00310DD5"/>
    <w:rsid w:val="00311165"/>
    <w:rsid w:val="0031131D"/>
    <w:rsid w:val="00311540"/>
    <w:rsid w:val="0031181A"/>
    <w:rsid w:val="0031199B"/>
    <w:rsid w:val="00312209"/>
    <w:rsid w:val="003132CF"/>
    <w:rsid w:val="00315905"/>
    <w:rsid w:val="00315E8B"/>
    <w:rsid w:val="0031662A"/>
    <w:rsid w:val="00316719"/>
    <w:rsid w:val="0031684B"/>
    <w:rsid w:val="003176A9"/>
    <w:rsid w:val="003176B6"/>
    <w:rsid w:val="00320484"/>
    <w:rsid w:val="00320626"/>
    <w:rsid w:val="00320CD9"/>
    <w:rsid w:val="003212DA"/>
    <w:rsid w:val="0032142E"/>
    <w:rsid w:val="00322D34"/>
    <w:rsid w:val="00323586"/>
    <w:rsid w:val="0032398E"/>
    <w:rsid w:val="003243C9"/>
    <w:rsid w:val="003245BD"/>
    <w:rsid w:val="0032500A"/>
    <w:rsid w:val="00325C01"/>
    <w:rsid w:val="0032600D"/>
    <w:rsid w:val="0032658D"/>
    <w:rsid w:val="00327685"/>
    <w:rsid w:val="00327898"/>
    <w:rsid w:val="003307F4"/>
    <w:rsid w:val="00330A99"/>
    <w:rsid w:val="0033279B"/>
    <w:rsid w:val="00332D91"/>
    <w:rsid w:val="003337E1"/>
    <w:rsid w:val="00335AEB"/>
    <w:rsid w:val="003369A0"/>
    <w:rsid w:val="00336A29"/>
    <w:rsid w:val="00336A9E"/>
    <w:rsid w:val="00336CE3"/>
    <w:rsid w:val="003373AC"/>
    <w:rsid w:val="00337B34"/>
    <w:rsid w:val="003403C2"/>
    <w:rsid w:val="0034175A"/>
    <w:rsid w:val="00342081"/>
    <w:rsid w:val="0034245A"/>
    <w:rsid w:val="003425B2"/>
    <w:rsid w:val="00342831"/>
    <w:rsid w:val="00343032"/>
    <w:rsid w:val="003433D5"/>
    <w:rsid w:val="003448F6"/>
    <w:rsid w:val="00344D51"/>
    <w:rsid w:val="00346152"/>
    <w:rsid w:val="003465AC"/>
    <w:rsid w:val="003468F2"/>
    <w:rsid w:val="00346929"/>
    <w:rsid w:val="00346F61"/>
    <w:rsid w:val="003475EA"/>
    <w:rsid w:val="00347791"/>
    <w:rsid w:val="00347AFB"/>
    <w:rsid w:val="00347CCC"/>
    <w:rsid w:val="003520F6"/>
    <w:rsid w:val="003556CE"/>
    <w:rsid w:val="0035606A"/>
    <w:rsid w:val="003563AA"/>
    <w:rsid w:val="0035664B"/>
    <w:rsid w:val="00356682"/>
    <w:rsid w:val="003573E3"/>
    <w:rsid w:val="0035781D"/>
    <w:rsid w:val="003618FF"/>
    <w:rsid w:val="00362117"/>
    <w:rsid w:val="003622D2"/>
    <w:rsid w:val="00362E3B"/>
    <w:rsid w:val="00363279"/>
    <w:rsid w:val="00363AA0"/>
    <w:rsid w:val="0036502F"/>
    <w:rsid w:val="00365301"/>
    <w:rsid w:val="003655EE"/>
    <w:rsid w:val="00365FB0"/>
    <w:rsid w:val="00366548"/>
    <w:rsid w:val="0036665B"/>
    <w:rsid w:val="00366B51"/>
    <w:rsid w:val="00366CD8"/>
    <w:rsid w:val="00367B14"/>
    <w:rsid w:val="003709E3"/>
    <w:rsid w:val="00371418"/>
    <w:rsid w:val="0037176A"/>
    <w:rsid w:val="00371904"/>
    <w:rsid w:val="00371F24"/>
    <w:rsid w:val="003725EB"/>
    <w:rsid w:val="00373DB9"/>
    <w:rsid w:val="00373E4D"/>
    <w:rsid w:val="00374DB7"/>
    <w:rsid w:val="003759C3"/>
    <w:rsid w:val="00375A6A"/>
    <w:rsid w:val="00375C16"/>
    <w:rsid w:val="00375F89"/>
    <w:rsid w:val="00376812"/>
    <w:rsid w:val="00377251"/>
    <w:rsid w:val="003776F5"/>
    <w:rsid w:val="00380390"/>
    <w:rsid w:val="00380BB1"/>
    <w:rsid w:val="00380BC5"/>
    <w:rsid w:val="00381574"/>
    <w:rsid w:val="00382093"/>
    <w:rsid w:val="00382212"/>
    <w:rsid w:val="0038244E"/>
    <w:rsid w:val="0038276D"/>
    <w:rsid w:val="00382A34"/>
    <w:rsid w:val="00382F06"/>
    <w:rsid w:val="00382F61"/>
    <w:rsid w:val="00382F98"/>
    <w:rsid w:val="00383FA6"/>
    <w:rsid w:val="00384C8E"/>
    <w:rsid w:val="00385281"/>
    <w:rsid w:val="00385A69"/>
    <w:rsid w:val="00387384"/>
    <w:rsid w:val="003878CE"/>
    <w:rsid w:val="003879E9"/>
    <w:rsid w:val="00387C7D"/>
    <w:rsid w:val="00387D0B"/>
    <w:rsid w:val="00387D3A"/>
    <w:rsid w:val="0039052D"/>
    <w:rsid w:val="00390C60"/>
    <w:rsid w:val="00391223"/>
    <w:rsid w:val="00391354"/>
    <w:rsid w:val="00391CEE"/>
    <w:rsid w:val="003929D2"/>
    <w:rsid w:val="00394871"/>
    <w:rsid w:val="00395152"/>
    <w:rsid w:val="003953D6"/>
    <w:rsid w:val="0039591C"/>
    <w:rsid w:val="00397746"/>
    <w:rsid w:val="00397875"/>
    <w:rsid w:val="003978BB"/>
    <w:rsid w:val="00397B9D"/>
    <w:rsid w:val="00397BB1"/>
    <w:rsid w:val="00397F9E"/>
    <w:rsid w:val="003A0385"/>
    <w:rsid w:val="003A2340"/>
    <w:rsid w:val="003A3280"/>
    <w:rsid w:val="003A44DE"/>
    <w:rsid w:val="003A45F7"/>
    <w:rsid w:val="003A476C"/>
    <w:rsid w:val="003A48F7"/>
    <w:rsid w:val="003A4BF3"/>
    <w:rsid w:val="003A4C0F"/>
    <w:rsid w:val="003A4EFC"/>
    <w:rsid w:val="003A50EC"/>
    <w:rsid w:val="003A52B8"/>
    <w:rsid w:val="003A6C34"/>
    <w:rsid w:val="003A7365"/>
    <w:rsid w:val="003A7943"/>
    <w:rsid w:val="003A7A02"/>
    <w:rsid w:val="003A7C8A"/>
    <w:rsid w:val="003A7F71"/>
    <w:rsid w:val="003B0921"/>
    <w:rsid w:val="003B1088"/>
    <w:rsid w:val="003B11A1"/>
    <w:rsid w:val="003B169E"/>
    <w:rsid w:val="003B174F"/>
    <w:rsid w:val="003B1BC5"/>
    <w:rsid w:val="003B2A45"/>
    <w:rsid w:val="003B34A6"/>
    <w:rsid w:val="003B374B"/>
    <w:rsid w:val="003B37F9"/>
    <w:rsid w:val="003B3D0A"/>
    <w:rsid w:val="003B430C"/>
    <w:rsid w:val="003B4696"/>
    <w:rsid w:val="003B4B3A"/>
    <w:rsid w:val="003B4B9A"/>
    <w:rsid w:val="003B51B0"/>
    <w:rsid w:val="003B585E"/>
    <w:rsid w:val="003B5B7B"/>
    <w:rsid w:val="003B5C35"/>
    <w:rsid w:val="003B7583"/>
    <w:rsid w:val="003B7E11"/>
    <w:rsid w:val="003C0755"/>
    <w:rsid w:val="003C1002"/>
    <w:rsid w:val="003C1C22"/>
    <w:rsid w:val="003C2268"/>
    <w:rsid w:val="003C26D4"/>
    <w:rsid w:val="003C28B9"/>
    <w:rsid w:val="003C3087"/>
    <w:rsid w:val="003C3794"/>
    <w:rsid w:val="003C4B0B"/>
    <w:rsid w:val="003C54FC"/>
    <w:rsid w:val="003C7517"/>
    <w:rsid w:val="003C754E"/>
    <w:rsid w:val="003C7622"/>
    <w:rsid w:val="003C76AF"/>
    <w:rsid w:val="003C76E2"/>
    <w:rsid w:val="003C7793"/>
    <w:rsid w:val="003D0B5D"/>
    <w:rsid w:val="003D0CBF"/>
    <w:rsid w:val="003D25EC"/>
    <w:rsid w:val="003D2802"/>
    <w:rsid w:val="003D34CD"/>
    <w:rsid w:val="003D4325"/>
    <w:rsid w:val="003D552D"/>
    <w:rsid w:val="003D5AF2"/>
    <w:rsid w:val="003D6965"/>
    <w:rsid w:val="003D6A6D"/>
    <w:rsid w:val="003D6B01"/>
    <w:rsid w:val="003D6B82"/>
    <w:rsid w:val="003D7225"/>
    <w:rsid w:val="003D73A6"/>
    <w:rsid w:val="003D7605"/>
    <w:rsid w:val="003D79B6"/>
    <w:rsid w:val="003E0466"/>
    <w:rsid w:val="003E06AD"/>
    <w:rsid w:val="003E07F8"/>
    <w:rsid w:val="003E1812"/>
    <w:rsid w:val="003E195E"/>
    <w:rsid w:val="003E1AA7"/>
    <w:rsid w:val="003E1CAD"/>
    <w:rsid w:val="003E277C"/>
    <w:rsid w:val="003E28E9"/>
    <w:rsid w:val="003E3219"/>
    <w:rsid w:val="003E38CC"/>
    <w:rsid w:val="003E3905"/>
    <w:rsid w:val="003E4244"/>
    <w:rsid w:val="003E5EBB"/>
    <w:rsid w:val="003E6372"/>
    <w:rsid w:val="003E6EE8"/>
    <w:rsid w:val="003E76A4"/>
    <w:rsid w:val="003E77A2"/>
    <w:rsid w:val="003F0FDC"/>
    <w:rsid w:val="003F20CF"/>
    <w:rsid w:val="003F213C"/>
    <w:rsid w:val="003F3175"/>
    <w:rsid w:val="003F37E0"/>
    <w:rsid w:val="003F403B"/>
    <w:rsid w:val="003F4510"/>
    <w:rsid w:val="003F4628"/>
    <w:rsid w:val="003F4D08"/>
    <w:rsid w:val="003F5719"/>
    <w:rsid w:val="003F5BE7"/>
    <w:rsid w:val="003F5C22"/>
    <w:rsid w:val="003F5CAF"/>
    <w:rsid w:val="003F623C"/>
    <w:rsid w:val="003F66B3"/>
    <w:rsid w:val="003F6E3B"/>
    <w:rsid w:val="003F7D38"/>
    <w:rsid w:val="003F7DE3"/>
    <w:rsid w:val="004005BB"/>
    <w:rsid w:val="004007D0"/>
    <w:rsid w:val="00400A4E"/>
    <w:rsid w:val="00400A56"/>
    <w:rsid w:val="00401000"/>
    <w:rsid w:val="00401DB1"/>
    <w:rsid w:val="0040210E"/>
    <w:rsid w:val="00402B83"/>
    <w:rsid w:val="004030ED"/>
    <w:rsid w:val="004032EF"/>
    <w:rsid w:val="00403DA4"/>
    <w:rsid w:val="0040467D"/>
    <w:rsid w:val="00404A09"/>
    <w:rsid w:val="00404DE3"/>
    <w:rsid w:val="00406EAC"/>
    <w:rsid w:val="004072DC"/>
    <w:rsid w:val="0040745A"/>
    <w:rsid w:val="00410131"/>
    <w:rsid w:val="00410733"/>
    <w:rsid w:val="004112BC"/>
    <w:rsid w:val="00411493"/>
    <w:rsid w:val="004116D2"/>
    <w:rsid w:val="0041178D"/>
    <w:rsid w:val="00411F30"/>
    <w:rsid w:val="00412187"/>
    <w:rsid w:val="0041271A"/>
    <w:rsid w:val="00412EE5"/>
    <w:rsid w:val="00413072"/>
    <w:rsid w:val="00413126"/>
    <w:rsid w:val="00413F5B"/>
    <w:rsid w:val="00414520"/>
    <w:rsid w:val="004146B5"/>
    <w:rsid w:val="004148DA"/>
    <w:rsid w:val="00414FDE"/>
    <w:rsid w:val="00415257"/>
    <w:rsid w:val="0041548E"/>
    <w:rsid w:val="004155AA"/>
    <w:rsid w:val="004157F1"/>
    <w:rsid w:val="00417179"/>
    <w:rsid w:val="00417A60"/>
    <w:rsid w:val="00417B13"/>
    <w:rsid w:val="00417F39"/>
    <w:rsid w:val="00417F83"/>
    <w:rsid w:val="004208FC"/>
    <w:rsid w:val="00420ABC"/>
    <w:rsid w:val="004211FA"/>
    <w:rsid w:val="0042285D"/>
    <w:rsid w:val="00422B03"/>
    <w:rsid w:val="00423295"/>
    <w:rsid w:val="0042359B"/>
    <w:rsid w:val="004235A5"/>
    <w:rsid w:val="00423FB7"/>
    <w:rsid w:val="004240C7"/>
    <w:rsid w:val="0042431F"/>
    <w:rsid w:val="00424858"/>
    <w:rsid w:val="004253A9"/>
    <w:rsid w:val="004257B7"/>
    <w:rsid w:val="0042591E"/>
    <w:rsid w:val="00425F42"/>
    <w:rsid w:val="00426569"/>
    <w:rsid w:val="004269A7"/>
    <w:rsid w:val="00427BF0"/>
    <w:rsid w:val="00427D51"/>
    <w:rsid w:val="00427DB3"/>
    <w:rsid w:val="004303DE"/>
    <w:rsid w:val="00430478"/>
    <w:rsid w:val="00430690"/>
    <w:rsid w:val="00431189"/>
    <w:rsid w:val="0043170B"/>
    <w:rsid w:val="00432413"/>
    <w:rsid w:val="0043241B"/>
    <w:rsid w:val="004337D0"/>
    <w:rsid w:val="0043394C"/>
    <w:rsid w:val="00433A7A"/>
    <w:rsid w:val="00434201"/>
    <w:rsid w:val="00434384"/>
    <w:rsid w:val="004349A5"/>
    <w:rsid w:val="00435239"/>
    <w:rsid w:val="004354F8"/>
    <w:rsid w:val="00435852"/>
    <w:rsid w:val="00436805"/>
    <w:rsid w:val="00436A10"/>
    <w:rsid w:val="00436DBD"/>
    <w:rsid w:val="0043706C"/>
    <w:rsid w:val="004372EC"/>
    <w:rsid w:val="00437978"/>
    <w:rsid w:val="00440542"/>
    <w:rsid w:val="004406BF"/>
    <w:rsid w:val="00441431"/>
    <w:rsid w:val="00442497"/>
    <w:rsid w:val="004425C0"/>
    <w:rsid w:val="00442E4B"/>
    <w:rsid w:val="00443A52"/>
    <w:rsid w:val="00443FA8"/>
    <w:rsid w:val="004441DA"/>
    <w:rsid w:val="00444573"/>
    <w:rsid w:val="00444AC5"/>
    <w:rsid w:val="00444DB5"/>
    <w:rsid w:val="00445F9C"/>
    <w:rsid w:val="004461C8"/>
    <w:rsid w:val="00446378"/>
    <w:rsid w:val="00446798"/>
    <w:rsid w:val="00446B16"/>
    <w:rsid w:val="004478C9"/>
    <w:rsid w:val="00447912"/>
    <w:rsid w:val="00447C64"/>
    <w:rsid w:val="00450234"/>
    <w:rsid w:val="004508A1"/>
    <w:rsid w:val="00450AB6"/>
    <w:rsid w:val="0045149D"/>
    <w:rsid w:val="004514F4"/>
    <w:rsid w:val="00451924"/>
    <w:rsid w:val="0045192E"/>
    <w:rsid w:val="00451D8B"/>
    <w:rsid w:val="00452300"/>
    <w:rsid w:val="00452513"/>
    <w:rsid w:val="00452A46"/>
    <w:rsid w:val="00452AEC"/>
    <w:rsid w:val="00452DCF"/>
    <w:rsid w:val="00452DF8"/>
    <w:rsid w:val="00453B49"/>
    <w:rsid w:val="0045482B"/>
    <w:rsid w:val="00454B92"/>
    <w:rsid w:val="00454CCD"/>
    <w:rsid w:val="00455592"/>
    <w:rsid w:val="004555E8"/>
    <w:rsid w:val="00455B07"/>
    <w:rsid w:val="00456045"/>
    <w:rsid w:val="0045632B"/>
    <w:rsid w:val="00457AD1"/>
    <w:rsid w:val="004604B0"/>
    <w:rsid w:val="00460D5A"/>
    <w:rsid w:val="00460FDC"/>
    <w:rsid w:val="004619F0"/>
    <w:rsid w:val="00462287"/>
    <w:rsid w:val="00462455"/>
    <w:rsid w:val="00462573"/>
    <w:rsid w:val="00463BDB"/>
    <w:rsid w:val="004647A2"/>
    <w:rsid w:val="004658E1"/>
    <w:rsid w:val="004661DD"/>
    <w:rsid w:val="00466D20"/>
    <w:rsid w:val="00466D2D"/>
    <w:rsid w:val="0046713B"/>
    <w:rsid w:val="0046714B"/>
    <w:rsid w:val="00467403"/>
    <w:rsid w:val="0047006A"/>
    <w:rsid w:val="004702EE"/>
    <w:rsid w:val="00470498"/>
    <w:rsid w:val="0047065D"/>
    <w:rsid w:val="00470B37"/>
    <w:rsid w:val="004712D4"/>
    <w:rsid w:val="00471C8A"/>
    <w:rsid w:val="00471D4E"/>
    <w:rsid w:val="00471FF6"/>
    <w:rsid w:val="00472CF8"/>
    <w:rsid w:val="0047337A"/>
    <w:rsid w:val="00473B15"/>
    <w:rsid w:val="00473C0B"/>
    <w:rsid w:val="00474568"/>
    <w:rsid w:val="0047468A"/>
    <w:rsid w:val="00474D77"/>
    <w:rsid w:val="004753BA"/>
    <w:rsid w:val="00476038"/>
    <w:rsid w:val="004767EB"/>
    <w:rsid w:val="00480439"/>
    <w:rsid w:val="00480AC8"/>
    <w:rsid w:val="00480BD0"/>
    <w:rsid w:val="00481EB0"/>
    <w:rsid w:val="004826F5"/>
    <w:rsid w:val="00482A20"/>
    <w:rsid w:val="00482E23"/>
    <w:rsid w:val="004833CF"/>
    <w:rsid w:val="00483C23"/>
    <w:rsid w:val="00483CB6"/>
    <w:rsid w:val="0048403E"/>
    <w:rsid w:val="00484928"/>
    <w:rsid w:val="00484B1E"/>
    <w:rsid w:val="00484B29"/>
    <w:rsid w:val="00484C6A"/>
    <w:rsid w:val="00484DF7"/>
    <w:rsid w:val="004857E9"/>
    <w:rsid w:val="00485DDB"/>
    <w:rsid w:val="00486425"/>
    <w:rsid w:val="00490133"/>
    <w:rsid w:val="004901D5"/>
    <w:rsid w:val="00490379"/>
    <w:rsid w:val="00490861"/>
    <w:rsid w:val="00490A80"/>
    <w:rsid w:val="00491121"/>
    <w:rsid w:val="004912BA"/>
    <w:rsid w:val="00491442"/>
    <w:rsid w:val="00491C3E"/>
    <w:rsid w:val="00491CE2"/>
    <w:rsid w:val="0049207B"/>
    <w:rsid w:val="00492B00"/>
    <w:rsid w:val="00492EC0"/>
    <w:rsid w:val="00493A86"/>
    <w:rsid w:val="00493D30"/>
    <w:rsid w:val="00493FCC"/>
    <w:rsid w:val="00493FEA"/>
    <w:rsid w:val="004942D7"/>
    <w:rsid w:val="004946D4"/>
    <w:rsid w:val="00494A93"/>
    <w:rsid w:val="00494ED6"/>
    <w:rsid w:val="00495050"/>
    <w:rsid w:val="004952A9"/>
    <w:rsid w:val="00496104"/>
    <w:rsid w:val="004966B1"/>
    <w:rsid w:val="0049791D"/>
    <w:rsid w:val="00497ACC"/>
    <w:rsid w:val="004A00F2"/>
    <w:rsid w:val="004A02C3"/>
    <w:rsid w:val="004A0D67"/>
    <w:rsid w:val="004A1568"/>
    <w:rsid w:val="004A1B42"/>
    <w:rsid w:val="004A230F"/>
    <w:rsid w:val="004A2677"/>
    <w:rsid w:val="004A2A6C"/>
    <w:rsid w:val="004A38F5"/>
    <w:rsid w:val="004A3A05"/>
    <w:rsid w:val="004A44E3"/>
    <w:rsid w:val="004A4671"/>
    <w:rsid w:val="004A4D0F"/>
    <w:rsid w:val="004A5301"/>
    <w:rsid w:val="004A54AA"/>
    <w:rsid w:val="004A5B49"/>
    <w:rsid w:val="004A6C12"/>
    <w:rsid w:val="004A7405"/>
    <w:rsid w:val="004A7AA9"/>
    <w:rsid w:val="004B009C"/>
    <w:rsid w:val="004B076B"/>
    <w:rsid w:val="004B15EC"/>
    <w:rsid w:val="004B19BA"/>
    <w:rsid w:val="004B262A"/>
    <w:rsid w:val="004B2BE4"/>
    <w:rsid w:val="004B42D8"/>
    <w:rsid w:val="004B515E"/>
    <w:rsid w:val="004B529A"/>
    <w:rsid w:val="004B577A"/>
    <w:rsid w:val="004C05A1"/>
    <w:rsid w:val="004C117C"/>
    <w:rsid w:val="004C14FA"/>
    <w:rsid w:val="004C15D7"/>
    <w:rsid w:val="004C16DA"/>
    <w:rsid w:val="004C277A"/>
    <w:rsid w:val="004C2A37"/>
    <w:rsid w:val="004C3155"/>
    <w:rsid w:val="004C3937"/>
    <w:rsid w:val="004C5E63"/>
    <w:rsid w:val="004C62EA"/>
    <w:rsid w:val="004C6C48"/>
    <w:rsid w:val="004C6FA3"/>
    <w:rsid w:val="004C78AF"/>
    <w:rsid w:val="004D0751"/>
    <w:rsid w:val="004D0E22"/>
    <w:rsid w:val="004D0FA0"/>
    <w:rsid w:val="004D19FA"/>
    <w:rsid w:val="004D32EE"/>
    <w:rsid w:val="004D36C9"/>
    <w:rsid w:val="004D36CD"/>
    <w:rsid w:val="004D4ACF"/>
    <w:rsid w:val="004D4EB8"/>
    <w:rsid w:val="004D50FA"/>
    <w:rsid w:val="004D5138"/>
    <w:rsid w:val="004D6148"/>
    <w:rsid w:val="004D684A"/>
    <w:rsid w:val="004D6E9A"/>
    <w:rsid w:val="004D7170"/>
    <w:rsid w:val="004D7699"/>
    <w:rsid w:val="004D7C7D"/>
    <w:rsid w:val="004E014A"/>
    <w:rsid w:val="004E0C91"/>
    <w:rsid w:val="004E0DDF"/>
    <w:rsid w:val="004E0FF3"/>
    <w:rsid w:val="004E109D"/>
    <w:rsid w:val="004E1F77"/>
    <w:rsid w:val="004E21E0"/>
    <w:rsid w:val="004E2347"/>
    <w:rsid w:val="004E2386"/>
    <w:rsid w:val="004E265A"/>
    <w:rsid w:val="004E2B3B"/>
    <w:rsid w:val="004E2B92"/>
    <w:rsid w:val="004E359B"/>
    <w:rsid w:val="004E3757"/>
    <w:rsid w:val="004E3A2F"/>
    <w:rsid w:val="004E3AB8"/>
    <w:rsid w:val="004E3F71"/>
    <w:rsid w:val="004E4039"/>
    <w:rsid w:val="004E471B"/>
    <w:rsid w:val="004E4869"/>
    <w:rsid w:val="004E5378"/>
    <w:rsid w:val="004E55E5"/>
    <w:rsid w:val="004E570C"/>
    <w:rsid w:val="004E6247"/>
    <w:rsid w:val="004E6500"/>
    <w:rsid w:val="004E71C6"/>
    <w:rsid w:val="004E75E8"/>
    <w:rsid w:val="004E7FA6"/>
    <w:rsid w:val="004F09C2"/>
    <w:rsid w:val="004F0A1E"/>
    <w:rsid w:val="004F0BFD"/>
    <w:rsid w:val="004F0CDA"/>
    <w:rsid w:val="004F0F25"/>
    <w:rsid w:val="004F11EB"/>
    <w:rsid w:val="004F1922"/>
    <w:rsid w:val="004F2069"/>
    <w:rsid w:val="004F2A93"/>
    <w:rsid w:val="004F2DD1"/>
    <w:rsid w:val="004F3F02"/>
    <w:rsid w:val="004F436C"/>
    <w:rsid w:val="004F44D2"/>
    <w:rsid w:val="004F473F"/>
    <w:rsid w:val="004F4D05"/>
    <w:rsid w:val="004F4E90"/>
    <w:rsid w:val="004F4FBA"/>
    <w:rsid w:val="004F4FF6"/>
    <w:rsid w:val="004F5331"/>
    <w:rsid w:val="004F54B4"/>
    <w:rsid w:val="004F5873"/>
    <w:rsid w:val="004F5A08"/>
    <w:rsid w:val="004F5BFE"/>
    <w:rsid w:val="004F6155"/>
    <w:rsid w:val="004F63C6"/>
    <w:rsid w:val="004F6C9F"/>
    <w:rsid w:val="004F6E7A"/>
    <w:rsid w:val="004F74B6"/>
    <w:rsid w:val="004F7718"/>
    <w:rsid w:val="00501053"/>
    <w:rsid w:val="005016E3"/>
    <w:rsid w:val="00501A74"/>
    <w:rsid w:val="0050328D"/>
    <w:rsid w:val="005034C7"/>
    <w:rsid w:val="00503944"/>
    <w:rsid w:val="005040FD"/>
    <w:rsid w:val="0050568E"/>
    <w:rsid w:val="005065E5"/>
    <w:rsid w:val="005072D2"/>
    <w:rsid w:val="005074C5"/>
    <w:rsid w:val="005076BB"/>
    <w:rsid w:val="00507764"/>
    <w:rsid w:val="00507ABE"/>
    <w:rsid w:val="0051019D"/>
    <w:rsid w:val="00510932"/>
    <w:rsid w:val="00511187"/>
    <w:rsid w:val="00511FA6"/>
    <w:rsid w:val="005123CA"/>
    <w:rsid w:val="005124BD"/>
    <w:rsid w:val="0051332A"/>
    <w:rsid w:val="00513330"/>
    <w:rsid w:val="0051348A"/>
    <w:rsid w:val="00513AF6"/>
    <w:rsid w:val="00514077"/>
    <w:rsid w:val="00514AC6"/>
    <w:rsid w:val="00514EF5"/>
    <w:rsid w:val="005152A9"/>
    <w:rsid w:val="00515334"/>
    <w:rsid w:val="00515E66"/>
    <w:rsid w:val="00515E8C"/>
    <w:rsid w:val="00515FF6"/>
    <w:rsid w:val="00516246"/>
    <w:rsid w:val="0051690C"/>
    <w:rsid w:val="00516A85"/>
    <w:rsid w:val="00516AB6"/>
    <w:rsid w:val="00516F63"/>
    <w:rsid w:val="0051746C"/>
    <w:rsid w:val="005177BD"/>
    <w:rsid w:val="005201E9"/>
    <w:rsid w:val="0052026B"/>
    <w:rsid w:val="0052062E"/>
    <w:rsid w:val="00520737"/>
    <w:rsid w:val="00521586"/>
    <w:rsid w:val="005219A3"/>
    <w:rsid w:val="00521C30"/>
    <w:rsid w:val="00521E41"/>
    <w:rsid w:val="00521F70"/>
    <w:rsid w:val="0052206C"/>
    <w:rsid w:val="0052210B"/>
    <w:rsid w:val="00522160"/>
    <w:rsid w:val="0052225B"/>
    <w:rsid w:val="005225F6"/>
    <w:rsid w:val="00522DF0"/>
    <w:rsid w:val="005238A1"/>
    <w:rsid w:val="00523F1F"/>
    <w:rsid w:val="00524AD0"/>
    <w:rsid w:val="0052538D"/>
    <w:rsid w:val="00525658"/>
    <w:rsid w:val="0052599D"/>
    <w:rsid w:val="00525EAA"/>
    <w:rsid w:val="00526439"/>
    <w:rsid w:val="00527542"/>
    <w:rsid w:val="0052778C"/>
    <w:rsid w:val="00527BFD"/>
    <w:rsid w:val="00527DC0"/>
    <w:rsid w:val="00527F4C"/>
    <w:rsid w:val="00530663"/>
    <w:rsid w:val="00530795"/>
    <w:rsid w:val="00532A19"/>
    <w:rsid w:val="00532D4F"/>
    <w:rsid w:val="00533551"/>
    <w:rsid w:val="005347D7"/>
    <w:rsid w:val="005350EA"/>
    <w:rsid w:val="00535465"/>
    <w:rsid w:val="00535A48"/>
    <w:rsid w:val="0053608E"/>
    <w:rsid w:val="00537AD4"/>
    <w:rsid w:val="00541019"/>
    <w:rsid w:val="0054164A"/>
    <w:rsid w:val="00542BBD"/>
    <w:rsid w:val="00543466"/>
    <w:rsid w:val="00543554"/>
    <w:rsid w:val="00543EEA"/>
    <w:rsid w:val="00544971"/>
    <w:rsid w:val="00544A99"/>
    <w:rsid w:val="005454D3"/>
    <w:rsid w:val="005466D1"/>
    <w:rsid w:val="00546E29"/>
    <w:rsid w:val="005474D3"/>
    <w:rsid w:val="00547A60"/>
    <w:rsid w:val="00550599"/>
    <w:rsid w:val="00550645"/>
    <w:rsid w:val="00551FCA"/>
    <w:rsid w:val="0055220A"/>
    <w:rsid w:val="00552787"/>
    <w:rsid w:val="00552D7B"/>
    <w:rsid w:val="0055330A"/>
    <w:rsid w:val="00553F4E"/>
    <w:rsid w:val="0055528C"/>
    <w:rsid w:val="005554BE"/>
    <w:rsid w:val="0055583E"/>
    <w:rsid w:val="005559F6"/>
    <w:rsid w:val="00555AB5"/>
    <w:rsid w:val="0055620E"/>
    <w:rsid w:val="00556699"/>
    <w:rsid w:val="00556A74"/>
    <w:rsid w:val="005601D9"/>
    <w:rsid w:val="00561702"/>
    <w:rsid w:val="00562942"/>
    <w:rsid w:val="00563528"/>
    <w:rsid w:val="00563701"/>
    <w:rsid w:val="00563D34"/>
    <w:rsid w:val="00564127"/>
    <w:rsid w:val="005642B7"/>
    <w:rsid w:val="005642F8"/>
    <w:rsid w:val="00564410"/>
    <w:rsid w:val="00564654"/>
    <w:rsid w:val="00564AE1"/>
    <w:rsid w:val="00565FD0"/>
    <w:rsid w:val="00566212"/>
    <w:rsid w:val="005665CD"/>
    <w:rsid w:val="00566EB8"/>
    <w:rsid w:val="005670A5"/>
    <w:rsid w:val="00567142"/>
    <w:rsid w:val="0056724F"/>
    <w:rsid w:val="0056780E"/>
    <w:rsid w:val="005708E7"/>
    <w:rsid w:val="00570E81"/>
    <w:rsid w:val="00572414"/>
    <w:rsid w:val="00572861"/>
    <w:rsid w:val="0057293B"/>
    <w:rsid w:val="00573ABA"/>
    <w:rsid w:val="0057482C"/>
    <w:rsid w:val="005748E7"/>
    <w:rsid w:val="0057536A"/>
    <w:rsid w:val="00577104"/>
    <w:rsid w:val="005771A1"/>
    <w:rsid w:val="00577721"/>
    <w:rsid w:val="00577AD2"/>
    <w:rsid w:val="00577E23"/>
    <w:rsid w:val="005803CA"/>
    <w:rsid w:val="00580811"/>
    <w:rsid w:val="00580B8D"/>
    <w:rsid w:val="00580C8C"/>
    <w:rsid w:val="00581910"/>
    <w:rsid w:val="00581974"/>
    <w:rsid w:val="00581DFD"/>
    <w:rsid w:val="005820BB"/>
    <w:rsid w:val="00582C44"/>
    <w:rsid w:val="00582C49"/>
    <w:rsid w:val="00583401"/>
    <w:rsid w:val="00583507"/>
    <w:rsid w:val="005840CD"/>
    <w:rsid w:val="00584823"/>
    <w:rsid w:val="005848F8"/>
    <w:rsid w:val="00585344"/>
    <w:rsid w:val="005858CC"/>
    <w:rsid w:val="00586648"/>
    <w:rsid w:val="005866DD"/>
    <w:rsid w:val="00586A65"/>
    <w:rsid w:val="00587C37"/>
    <w:rsid w:val="005905B3"/>
    <w:rsid w:val="00590E1F"/>
    <w:rsid w:val="00591898"/>
    <w:rsid w:val="00591F62"/>
    <w:rsid w:val="00592B86"/>
    <w:rsid w:val="00593125"/>
    <w:rsid w:val="005931EF"/>
    <w:rsid w:val="00593896"/>
    <w:rsid w:val="00593BCF"/>
    <w:rsid w:val="005942D5"/>
    <w:rsid w:val="0059490B"/>
    <w:rsid w:val="00594B58"/>
    <w:rsid w:val="00595229"/>
    <w:rsid w:val="0059564A"/>
    <w:rsid w:val="00596BAA"/>
    <w:rsid w:val="00596D16"/>
    <w:rsid w:val="0059703F"/>
    <w:rsid w:val="00597F28"/>
    <w:rsid w:val="005A012E"/>
    <w:rsid w:val="005A05B3"/>
    <w:rsid w:val="005A0D2E"/>
    <w:rsid w:val="005A1705"/>
    <w:rsid w:val="005A1723"/>
    <w:rsid w:val="005A189D"/>
    <w:rsid w:val="005A2285"/>
    <w:rsid w:val="005A34BF"/>
    <w:rsid w:val="005A3570"/>
    <w:rsid w:val="005A381A"/>
    <w:rsid w:val="005A3DDA"/>
    <w:rsid w:val="005A53C9"/>
    <w:rsid w:val="005A5B45"/>
    <w:rsid w:val="005A5CDA"/>
    <w:rsid w:val="005A6AD9"/>
    <w:rsid w:val="005A6F21"/>
    <w:rsid w:val="005B0F06"/>
    <w:rsid w:val="005B1185"/>
    <w:rsid w:val="005B1246"/>
    <w:rsid w:val="005B19A6"/>
    <w:rsid w:val="005B1B7E"/>
    <w:rsid w:val="005B20E2"/>
    <w:rsid w:val="005B24AF"/>
    <w:rsid w:val="005B3A8E"/>
    <w:rsid w:val="005B3BF3"/>
    <w:rsid w:val="005B4A7F"/>
    <w:rsid w:val="005B4C84"/>
    <w:rsid w:val="005B4CC3"/>
    <w:rsid w:val="005B5112"/>
    <w:rsid w:val="005B5562"/>
    <w:rsid w:val="005B60B8"/>
    <w:rsid w:val="005B60F8"/>
    <w:rsid w:val="005B6487"/>
    <w:rsid w:val="005B655A"/>
    <w:rsid w:val="005B6C14"/>
    <w:rsid w:val="005B789C"/>
    <w:rsid w:val="005B7C4A"/>
    <w:rsid w:val="005C1048"/>
    <w:rsid w:val="005C1375"/>
    <w:rsid w:val="005C23FD"/>
    <w:rsid w:val="005C28EA"/>
    <w:rsid w:val="005C35EA"/>
    <w:rsid w:val="005C3B89"/>
    <w:rsid w:val="005C40AE"/>
    <w:rsid w:val="005C424E"/>
    <w:rsid w:val="005C4863"/>
    <w:rsid w:val="005C5BC2"/>
    <w:rsid w:val="005C6228"/>
    <w:rsid w:val="005C69BA"/>
    <w:rsid w:val="005C7B38"/>
    <w:rsid w:val="005D00C3"/>
    <w:rsid w:val="005D0DCB"/>
    <w:rsid w:val="005D10A1"/>
    <w:rsid w:val="005D13B0"/>
    <w:rsid w:val="005D241F"/>
    <w:rsid w:val="005D27D3"/>
    <w:rsid w:val="005D2A29"/>
    <w:rsid w:val="005D2B4D"/>
    <w:rsid w:val="005D2F5A"/>
    <w:rsid w:val="005D3056"/>
    <w:rsid w:val="005D35FC"/>
    <w:rsid w:val="005D3752"/>
    <w:rsid w:val="005D3757"/>
    <w:rsid w:val="005D3960"/>
    <w:rsid w:val="005D4696"/>
    <w:rsid w:val="005D4B2A"/>
    <w:rsid w:val="005D4CA1"/>
    <w:rsid w:val="005D4D60"/>
    <w:rsid w:val="005D597C"/>
    <w:rsid w:val="005D61C7"/>
    <w:rsid w:val="005D63AE"/>
    <w:rsid w:val="005D733C"/>
    <w:rsid w:val="005D7B82"/>
    <w:rsid w:val="005D7C3D"/>
    <w:rsid w:val="005D7D0B"/>
    <w:rsid w:val="005E022D"/>
    <w:rsid w:val="005E02DF"/>
    <w:rsid w:val="005E0DB3"/>
    <w:rsid w:val="005E0FC5"/>
    <w:rsid w:val="005E1561"/>
    <w:rsid w:val="005E169A"/>
    <w:rsid w:val="005E1900"/>
    <w:rsid w:val="005E1D11"/>
    <w:rsid w:val="005E2038"/>
    <w:rsid w:val="005E22E2"/>
    <w:rsid w:val="005E318A"/>
    <w:rsid w:val="005E3787"/>
    <w:rsid w:val="005E384D"/>
    <w:rsid w:val="005E4559"/>
    <w:rsid w:val="005E49D9"/>
    <w:rsid w:val="005E4B1F"/>
    <w:rsid w:val="005E56C2"/>
    <w:rsid w:val="005E5B25"/>
    <w:rsid w:val="005E5BC2"/>
    <w:rsid w:val="005E6227"/>
    <w:rsid w:val="005E63EC"/>
    <w:rsid w:val="005E665A"/>
    <w:rsid w:val="005E73D0"/>
    <w:rsid w:val="005E77BD"/>
    <w:rsid w:val="005F077A"/>
    <w:rsid w:val="005F1244"/>
    <w:rsid w:val="005F1309"/>
    <w:rsid w:val="005F237D"/>
    <w:rsid w:val="005F27EA"/>
    <w:rsid w:val="005F3F01"/>
    <w:rsid w:val="005F3F99"/>
    <w:rsid w:val="005F40BE"/>
    <w:rsid w:val="005F421F"/>
    <w:rsid w:val="005F468D"/>
    <w:rsid w:val="005F4BA6"/>
    <w:rsid w:val="005F56E6"/>
    <w:rsid w:val="005F6055"/>
    <w:rsid w:val="005F66B2"/>
    <w:rsid w:val="005F72AB"/>
    <w:rsid w:val="005F790B"/>
    <w:rsid w:val="005F7F81"/>
    <w:rsid w:val="006002F4"/>
    <w:rsid w:val="006004F5"/>
    <w:rsid w:val="00600F3B"/>
    <w:rsid w:val="00601141"/>
    <w:rsid w:val="0060167A"/>
    <w:rsid w:val="0060465A"/>
    <w:rsid w:val="00604F25"/>
    <w:rsid w:val="0060625D"/>
    <w:rsid w:val="0060657B"/>
    <w:rsid w:val="00606E8F"/>
    <w:rsid w:val="006076F2"/>
    <w:rsid w:val="00607738"/>
    <w:rsid w:val="00607CB7"/>
    <w:rsid w:val="00607E50"/>
    <w:rsid w:val="00610205"/>
    <w:rsid w:val="006102D1"/>
    <w:rsid w:val="006106C7"/>
    <w:rsid w:val="00610D86"/>
    <w:rsid w:val="00611E9A"/>
    <w:rsid w:val="00612B48"/>
    <w:rsid w:val="00612D1C"/>
    <w:rsid w:val="0061320D"/>
    <w:rsid w:val="00613851"/>
    <w:rsid w:val="00613A7C"/>
    <w:rsid w:val="00613FCD"/>
    <w:rsid w:val="0061420C"/>
    <w:rsid w:val="0061426C"/>
    <w:rsid w:val="006146D0"/>
    <w:rsid w:val="00614A6A"/>
    <w:rsid w:val="00614F9D"/>
    <w:rsid w:val="00615631"/>
    <w:rsid w:val="00615F62"/>
    <w:rsid w:val="006161FF"/>
    <w:rsid w:val="006170DF"/>
    <w:rsid w:val="00617AE7"/>
    <w:rsid w:val="0062050E"/>
    <w:rsid w:val="00620883"/>
    <w:rsid w:val="00620DF0"/>
    <w:rsid w:val="00620FC7"/>
    <w:rsid w:val="0062155C"/>
    <w:rsid w:val="00621DF1"/>
    <w:rsid w:val="00621E27"/>
    <w:rsid w:val="00622A55"/>
    <w:rsid w:val="00622BFF"/>
    <w:rsid w:val="00623A75"/>
    <w:rsid w:val="00623E84"/>
    <w:rsid w:val="006252C1"/>
    <w:rsid w:val="00625330"/>
    <w:rsid w:val="006259A7"/>
    <w:rsid w:val="00626636"/>
    <w:rsid w:val="00626D7D"/>
    <w:rsid w:val="006307F1"/>
    <w:rsid w:val="00630861"/>
    <w:rsid w:val="0063157F"/>
    <w:rsid w:val="006318CD"/>
    <w:rsid w:val="006326D7"/>
    <w:rsid w:val="0063315B"/>
    <w:rsid w:val="006336A1"/>
    <w:rsid w:val="006337C5"/>
    <w:rsid w:val="00633D87"/>
    <w:rsid w:val="006345FA"/>
    <w:rsid w:val="00634ACB"/>
    <w:rsid w:val="006350A0"/>
    <w:rsid w:val="006357FF"/>
    <w:rsid w:val="00636DD9"/>
    <w:rsid w:val="00637347"/>
    <w:rsid w:val="006378F0"/>
    <w:rsid w:val="0064064E"/>
    <w:rsid w:val="00640993"/>
    <w:rsid w:val="00641320"/>
    <w:rsid w:val="00641545"/>
    <w:rsid w:val="0064181E"/>
    <w:rsid w:val="0064187A"/>
    <w:rsid w:val="00641EBB"/>
    <w:rsid w:val="00642050"/>
    <w:rsid w:val="0064293B"/>
    <w:rsid w:val="006430DB"/>
    <w:rsid w:val="0064349A"/>
    <w:rsid w:val="00643AD0"/>
    <w:rsid w:val="00644222"/>
    <w:rsid w:val="00644D19"/>
    <w:rsid w:val="00644EDD"/>
    <w:rsid w:val="006450FE"/>
    <w:rsid w:val="0064539C"/>
    <w:rsid w:val="006455AD"/>
    <w:rsid w:val="006467CA"/>
    <w:rsid w:val="006471A7"/>
    <w:rsid w:val="00647617"/>
    <w:rsid w:val="0064783B"/>
    <w:rsid w:val="00647C55"/>
    <w:rsid w:val="006504A2"/>
    <w:rsid w:val="0065061E"/>
    <w:rsid w:val="00650F93"/>
    <w:rsid w:val="006516E6"/>
    <w:rsid w:val="00651722"/>
    <w:rsid w:val="0065181E"/>
    <w:rsid w:val="00652206"/>
    <w:rsid w:val="0065281B"/>
    <w:rsid w:val="00652BEB"/>
    <w:rsid w:val="00653209"/>
    <w:rsid w:val="00653295"/>
    <w:rsid w:val="0065390C"/>
    <w:rsid w:val="00653AB1"/>
    <w:rsid w:val="00653C0F"/>
    <w:rsid w:val="00653D65"/>
    <w:rsid w:val="00655087"/>
    <w:rsid w:val="00655BC9"/>
    <w:rsid w:val="00655C50"/>
    <w:rsid w:val="00656A0B"/>
    <w:rsid w:val="00657CF4"/>
    <w:rsid w:val="00657EA9"/>
    <w:rsid w:val="00660C6F"/>
    <w:rsid w:val="00660D60"/>
    <w:rsid w:val="00660DCA"/>
    <w:rsid w:val="00661474"/>
    <w:rsid w:val="006623D2"/>
    <w:rsid w:val="006626D8"/>
    <w:rsid w:val="00663047"/>
    <w:rsid w:val="00663234"/>
    <w:rsid w:val="006633E3"/>
    <w:rsid w:val="0066369C"/>
    <w:rsid w:val="00663C42"/>
    <w:rsid w:val="00665459"/>
    <w:rsid w:val="00665645"/>
    <w:rsid w:val="00667282"/>
    <w:rsid w:val="00667BF4"/>
    <w:rsid w:val="00670A72"/>
    <w:rsid w:val="00670FAD"/>
    <w:rsid w:val="00673ACC"/>
    <w:rsid w:val="0067498B"/>
    <w:rsid w:val="0067592D"/>
    <w:rsid w:val="00676A92"/>
    <w:rsid w:val="006775C6"/>
    <w:rsid w:val="00677C27"/>
    <w:rsid w:val="006802A2"/>
    <w:rsid w:val="00681567"/>
    <w:rsid w:val="00681635"/>
    <w:rsid w:val="0068164A"/>
    <w:rsid w:val="006817AF"/>
    <w:rsid w:val="00681B10"/>
    <w:rsid w:val="00681CF1"/>
    <w:rsid w:val="00681D5D"/>
    <w:rsid w:val="00682093"/>
    <w:rsid w:val="0068244A"/>
    <w:rsid w:val="0068315E"/>
    <w:rsid w:val="00683585"/>
    <w:rsid w:val="00683B48"/>
    <w:rsid w:val="00684F4D"/>
    <w:rsid w:val="00685218"/>
    <w:rsid w:val="00685417"/>
    <w:rsid w:val="00685766"/>
    <w:rsid w:val="00685999"/>
    <w:rsid w:val="006860F8"/>
    <w:rsid w:val="00686E9F"/>
    <w:rsid w:val="00686FFD"/>
    <w:rsid w:val="00687690"/>
    <w:rsid w:val="00690D3C"/>
    <w:rsid w:val="0069199C"/>
    <w:rsid w:val="00692C88"/>
    <w:rsid w:val="0069348E"/>
    <w:rsid w:val="006939F1"/>
    <w:rsid w:val="00694F61"/>
    <w:rsid w:val="00695497"/>
    <w:rsid w:val="00695A2D"/>
    <w:rsid w:val="00696853"/>
    <w:rsid w:val="00696C9F"/>
    <w:rsid w:val="006979D1"/>
    <w:rsid w:val="00697DE9"/>
    <w:rsid w:val="006A0419"/>
    <w:rsid w:val="006A068A"/>
    <w:rsid w:val="006A06EB"/>
    <w:rsid w:val="006A0C26"/>
    <w:rsid w:val="006A1D16"/>
    <w:rsid w:val="006A2462"/>
    <w:rsid w:val="006A26AC"/>
    <w:rsid w:val="006A2751"/>
    <w:rsid w:val="006A33B9"/>
    <w:rsid w:val="006A3932"/>
    <w:rsid w:val="006A3E6A"/>
    <w:rsid w:val="006A439A"/>
    <w:rsid w:val="006A46BB"/>
    <w:rsid w:val="006A5141"/>
    <w:rsid w:val="006A52A1"/>
    <w:rsid w:val="006A5CAF"/>
    <w:rsid w:val="006A66C9"/>
    <w:rsid w:val="006A7061"/>
    <w:rsid w:val="006A7EC5"/>
    <w:rsid w:val="006B0143"/>
    <w:rsid w:val="006B09D8"/>
    <w:rsid w:val="006B0F34"/>
    <w:rsid w:val="006B106A"/>
    <w:rsid w:val="006B1473"/>
    <w:rsid w:val="006B1B8C"/>
    <w:rsid w:val="006B2241"/>
    <w:rsid w:val="006B2334"/>
    <w:rsid w:val="006B3956"/>
    <w:rsid w:val="006B3CC5"/>
    <w:rsid w:val="006B3D24"/>
    <w:rsid w:val="006B4447"/>
    <w:rsid w:val="006B4540"/>
    <w:rsid w:val="006B4CD2"/>
    <w:rsid w:val="006B54CD"/>
    <w:rsid w:val="006B76CA"/>
    <w:rsid w:val="006B7A50"/>
    <w:rsid w:val="006C0736"/>
    <w:rsid w:val="006C07A9"/>
    <w:rsid w:val="006C0F05"/>
    <w:rsid w:val="006C24EB"/>
    <w:rsid w:val="006C2D1C"/>
    <w:rsid w:val="006C2DE2"/>
    <w:rsid w:val="006C309D"/>
    <w:rsid w:val="006C3531"/>
    <w:rsid w:val="006C37F0"/>
    <w:rsid w:val="006C492D"/>
    <w:rsid w:val="006C4A92"/>
    <w:rsid w:val="006C5039"/>
    <w:rsid w:val="006C54BC"/>
    <w:rsid w:val="006C5A34"/>
    <w:rsid w:val="006C61D3"/>
    <w:rsid w:val="006C627E"/>
    <w:rsid w:val="006C6A27"/>
    <w:rsid w:val="006C6FFC"/>
    <w:rsid w:val="006C7361"/>
    <w:rsid w:val="006C7584"/>
    <w:rsid w:val="006C77DE"/>
    <w:rsid w:val="006D02F1"/>
    <w:rsid w:val="006D06D5"/>
    <w:rsid w:val="006D077C"/>
    <w:rsid w:val="006D081C"/>
    <w:rsid w:val="006D0FD8"/>
    <w:rsid w:val="006D1063"/>
    <w:rsid w:val="006D1324"/>
    <w:rsid w:val="006D1B46"/>
    <w:rsid w:val="006D2CF5"/>
    <w:rsid w:val="006D37A7"/>
    <w:rsid w:val="006D3C0B"/>
    <w:rsid w:val="006D3E58"/>
    <w:rsid w:val="006D44BD"/>
    <w:rsid w:val="006D4576"/>
    <w:rsid w:val="006D49F0"/>
    <w:rsid w:val="006D4D09"/>
    <w:rsid w:val="006D4FE5"/>
    <w:rsid w:val="006D5B99"/>
    <w:rsid w:val="006D63BE"/>
    <w:rsid w:val="006D68E5"/>
    <w:rsid w:val="006D748D"/>
    <w:rsid w:val="006D7896"/>
    <w:rsid w:val="006D7CCA"/>
    <w:rsid w:val="006D7F0A"/>
    <w:rsid w:val="006E0886"/>
    <w:rsid w:val="006E0BE9"/>
    <w:rsid w:val="006E0F1C"/>
    <w:rsid w:val="006E0F2B"/>
    <w:rsid w:val="006E1305"/>
    <w:rsid w:val="006E1451"/>
    <w:rsid w:val="006E1687"/>
    <w:rsid w:val="006E1728"/>
    <w:rsid w:val="006E1CD6"/>
    <w:rsid w:val="006E1D7E"/>
    <w:rsid w:val="006E1DB8"/>
    <w:rsid w:val="006E2F82"/>
    <w:rsid w:val="006E33A7"/>
    <w:rsid w:val="006E3CE3"/>
    <w:rsid w:val="006E4292"/>
    <w:rsid w:val="006E4FA1"/>
    <w:rsid w:val="006E5466"/>
    <w:rsid w:val="006E58EA"/>
    <w:rsid w:val="006E59CD"/>
    <w:rsid w:val="006E7EEF"/>
    <w:rsid w:val="006F02F3"/>
    <w:rsid w:val="006F0469"/>
    <w:rsid w:val="006F054C"/>
    <w:rsid w:val="006F0A77"/>
    <w:rsid w:val="006F0DB8"/>
    <w:rsid w:val="006F0ECC"/>
    <w:rsid w:val="006F1242"/>
    <w:rsid w:val="006F1307"/>
    <w:rsid w:val="006F19B7"/>
    <w:rsid w:val="006F2178"/>
    <w:rsid w:val="006F2966"/>
    <w:rsid w:val="006F2C47"/>
    <w:rsid w:val="006F2C5A"/>
    <w:rsid w:val="006F2CC5"/>
    <w:rsid w:val="006F38F8"/>
    <w:rsid w:val="006F3E36"/>
    <w:rsid w:val="006F5417"/>
    <w:rsid w:val="006F5C5D"/>
    <w:rsid w:val="006F6722"/>
    <w:rsid w:val="006F755C"/>
    <w:rsid w:val="006F7E5D"/>
    <w:rsid w:val="00700765"/>
    <w:rsid w:val="007011F6"/>
    <w:rsid w:val="00701285"/>
    <w:rsid w:val="0070199D"/>
    <w:rsid w:val="00701DE4"/>
    <w:rsid w:val="00701F76"/>
    <w:rsid w:val="00702169"/>
    <w:rsid w:val="007021F0"/>
    <w:rsid w:val="0070259F"/>
    <w:rsid w:val="007026A3"/>
    <w:rsid w:val="00703110"/>
    <w:rsid w:val="0070355A"/>
    <w:rsid w:val="007036E9"/>
    <w:rsid w:val="0070452F"/>
    <w:rsid w:val="007047CF"/>
    <w:rsid w:val="007048E5"/>
    <w:rsid w:val="00704BBC"/>
    <w:rsid w:val="00705446"/>
    <w:rsid w:val="00706643"/>
    <w:rsid w:val="007069EF"/>
    <w:rsid w:val="00706D4D"/>
    <w:rsid w:val="007075CF"/>
    <w:rsid w:val="007075DB"/>
    <w:rsid w:val="00710F18"/>
    <w:rsid w:val="00711184"/>
    <w:rsid w:val="00711922"/>
    <w:rsid w:val="00711C2E"/>
    <w:rsid w:val="00712146"/>
    <w:rsid w:val="00712ADA"/>
    <w:rsid w:val="00712CA7"/>
    <w:rsid w:val="00713029"/>
    <w:rsid w:val="0071319B"/>
    <w:rsid w:val="0071325D"/>
    <w:rsid w:val="00713E04"/>
    <w:rsid w:val="00714558"/>
    <w:rsid w:val="007148B0"/>
    <w:rsid w:val="00714FF5"/>
    <w:rsid w:val="0071616A"/>
    <w:rsid w:val="007161A5"/>
    <w:rsid w:val="007166EA"/>
    <w:rsid w:val="00717785"/>
    <w:rsid w:val="00717DAD"/>
    <w:rsid w:val="00720009"/>
    <w:rsid w:val="007201A7"/>
    <w:rsid w:val="00720614"/>
    <w:rsid w:val="00720841"/>
    <w:rsid w:val="00720E43"/>
    <w:rsid w:val="007211DE"/>
    <w:rsid w:val="00721AD9"/>
    <w:rsid w:val="00721BB7"/>
    <w:rsid w:val="00722A60"/>
    <w:rsid w:val="00722A99"/>
    <w:rsid w:val="00722E8C"/>
    <w:rsid w:val="00722EE3"/>
    <w:rsid w:val="0072321D"/>
    <w:rsid w:val="007239B5"/>
    <w:rsid w:val="00723AA9"/>
    <w:rsid w:val="00724F71"/>
    <w:rsid w:val="00725A00"/>
    <w:rsid w:val="00725AEA"/>
    <w:rsid w:val="007267BC"/>
    <w:rsid w:val="00727B1A"/>
    <w:rsid w:val="00727E23"/>
    <w:rsid w:val="007300DD"/>
    <w:rsid w:val="0073023A"/>
    <w:rsid w:val="007302C9"/>
    <w:rsid w:val="007303FA"/>
    <w:rsid w:val="00731214"/>
    <w:rsid w:val="0073121D"/>
    <w:rsid w:val="00731265"/>
    <w:rsid w:val="007313D5"/>
    <w:rsid w:val="00732F58"/>
    <w:rsid w:val="0073358B"/>
    <w:rsid w:val="00733AAB"/>
    <w:rsid w:val="00733CFF"/>
    <w:rsid w:val="00733D36"/>
    <w:rsid w:val="00733F0D"/>
    <w:rsid w:val="00734877"/>
    <w:rsid w:val="00734BFE"/>
    <w:rsid w:val="00735C18"/>
    <w:rsid w:val="00736BF1"/>
    <w:rsid w:val="00736C8F"/>
    <w:rsid w:val="007372FA"/>
    <w:rsid w:val="007374B0"/>
    <w:rsid w:val="0073791D"/>
    <w:rsid w:val="00737DE8"/>
    <w:rsid w:val="007401E3"/>
    <w:rsid w:val="00740516"/>
    <w:rsid w:val="007409AE"/>
    <w:rsid w:val="00741BA7"/>
    <w:rsid w:val="00742208"/>
    <w:rsid w:val="0074285D"/>
    <w:rsid w:val="00742CEC"/>
    <w:rsid w:val="007433DD"/>
    <w:rsid w:val="0074377A"/>
    <w:rsid w:val="00743D66"/>
    <w:rsid w:val="0074420B"/>
    <w:rsid w:val="0074511F"/>
    <w:rsid w:val="00745943"/>
    <w:rsid w:val="00745AAA"/>
    <w:rsid w:val="00746115"/>
    <w:rsid w:val="007471C9"/>
    <w:rsid w:val="00747746"/>
    <w:rsid w:val="007478AE"/>
    <w:rsid w:val="00747981"/>
    <w:rsid w:val="00747B85"/>
    <w:rsid w:val="00747C2C"/>
    <w:rsid w:val="007508AA"/>
    <w:rsid w:val="00750953"/>
    <w:rsid w:val="0075146D"/>
    <w:rsid w:val="00751DF8"/>
    <w:rsid w:val="00751EB4"/>
    <w:rsid w:val="0075259F"/>
    <w:rsid w:val="00752953"/>
    <w:rsid w:val="00752D40"/>
    <w:rsid w:val="0075394C"/>
    <w:rsid w:val="00753A10"/>
    <w:rsid w:val="00754644"/>
    <w:rsid w:val="00754D2C"/>
    <w:rsid w:val="007551F3"/>
    <w:rsid w:val="00755B11"/>
    <w:rsid w:val="00755DF8"/>
    <w:rsid w:val="0075624C"/>
    <w:rsid w:val="0075636D"/>
    <w:rsid w:val="007563DA"/>
    <w:rsid w:val="00756452"/>
    <w:rsid w:val="007567DE"/>
    <w:rsid w:val="00757031"/>
    <w:rsid w:val="007573E9"/>
    <w:rsid w:val="00760923"/>
    <w:rsid w:val="00760B5B"/>
    <w:rsid w:val="00760C49"/>
    <w:rsid w:val="00760E85"/>
    <w:rsid w:val="00760FD8"/>
    <w:rsid w:val="00761322"/>
    <w:rsid w:val="00761945"/>
    <w:rsid w:val="00761C7E"/>
    <w:rsid w:val="00761DB8"/>
    <w:rsid w:val="00762166"/>
    <w:rsid w:val="007628E4"/>
    <w:rsid w:val="007630D8"/>
    <w:rsid w:val="007633B6"/>
    <w:rsid w:val="00764455"/>
    <w:rsid w:val="00764771"/>
    <w:rsid w:val="00764A27"/>
    <w:rsid w:val="007654C7"/>
    <w:rsid w:val="0076564D"/>
    <w:rsid w:val="00766027"/>
    <w:rsid w:val="00766729"/>
    <w:rsid w:val="007674CC"/>
    <w:rsid w:val="00767582"/>
    <w:rsid w:val="007676AD"/>
    <w:rsid w:val="00770B5C"/>
    <w:rsid w:val="00770B8A"/>
    <w:rsid w:val="00771158"/>
    <w:rsid w:val="007714FF"/>
    <w:rsid w:val="00771908"/>
    <w:rsid w:val="00772466"/>
    <w:rsid w:val="007725C9"/>
    <w:rsid w:val="0077326C"/>
    <w:rsid w:val="007736A0"/>
    <w:rsid w:val="0077381D"/>
    <w:rsid w:val="007738B0"/>
    <w:rsid w:val="0077433D"/>
    <w:rsid w:val="007745A0"/>
    <w:rsid w:val="00775247"/>
    <w:rsid w:val="0077662A"/>
    <w:rsid w:val="00776911"/>
    <w:rsid w:val="00776EAE"/>
    <w:rsid w:val="007776B0"/>
    <w:rsid w:val="00777C08"/>
    <w:rsid w:val="00780D63"/>
    <w:rsid w:val="00781733"/>
    <w:rsid w:val="00781872"/>
    <w:rsid w:val="00781FDF"/>
    <w:rsid w:val="007822E4"/>
    <w:rsid w:val="0078399E"/>
    <w:rsid w:val="00783D15"/>
    <w:rsid w:val="00783E54"/>
    <w:rsid w:val="0078457F"/>
    <w:rsid w:val="0078479D"/>
    <w:rsid w:val="007851FB"/>
    <w:rsid w:val="0078680E"/>
    <w:rsid w:val="00786A2A"/>
    <w:rsid w:val="00786D5C"/>
    <w:rsid w:val="00787099"/>
    <w:rsid w:val="00787A97"/>
    <w:rsid w:val="007909C5"/>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9D1"/>
    <w:rsid w:val="00797CBC"/>
    <w:rsid w:val="007A0A1C"/>
    <w:rsid w:val="007A111F"/>
    <w:rsid w:val="007A1B51"/>
    <w:rsid w:val="007A1FEA"/>
    <w:rsid w:val="007A237E"/>
    <w:rsid w:val="007A3AEA"/>
    <w:rsid w:val="007A3F8B"/>
    <w:rsid w:val="007A3FFD"/>
    <w:rsid w:val="007A4906"/>
    <w:rsid w:val="007A4AB2"/>
    <w:rsid w:val="007A515F"/>
    <w:rsid w:val="007A561C"/>
    <w:rsid w:val="007A57C6"/>
    <w:rsid w:val="007A5EFB"/>
    <w:rsid w:val="007A60B1"/>
    <w:rsid w:val="007A6206"/>
    <w:rsid w:val="007A6823"/>
    <w:rsid w:val="007A6830"/>
    <w:rsid w:val="007A73BA"/>
    <w:rsid w:val="007A7CDD"/>
    <w:rsid w:val="007B12AF"/>
    <w:rsid w:val="007B1FD9"/>
    <w:rsid w:val="007B23B0"/>
    <w:rsid w:val="007B28DD"/>
    <w:rsid w:val="007B3061"/>
    <w:rsid w:val="007B3430"/>
    <w:rsid w:val="007B3664"/>
    <w:rsid w:val="007B3BBE"/>
    <w:rsid w:val="007B4A03"/>
    <w:rsid w:val="007B5764"/>
    <w:rsid w:val="007B5F96"/>
    <w:rsid w:val="007B602C"/>
    <w:rsid w:val="007B6160"/>
    <w:rsid w:val="007B6389"/>
    <w:rsid w:val="007B6854"/>
    <w:rsid w:val="007B69CA"/>
    <w:rsid w:val="007B7726"/>
    <w:rsid w:val="007B7F14"/>
    <w:rsid w:val="007C06D6"/>
    <w:rsid w:val="007C07F3"/>
    <w:rsid w:val="007C0913"/>
    <w:rsid w:val="007C0D82"/>
    <w:rsid w:val="007C16C1"/>
    <w:rsid w:val="007C2093"/>
    <w:rsid w:val="007C221B"/>
    <w:rsid w:val="007C31DC"/>
    <w:rsid w:val="007C39E6"/>
    <w:rsid w:val="007C40DB"/>
    <w:rsid w:val="007C543A"/>
    <w:rsid w:val="007C5632"/>
    <w:rsid w:val="007C5B70"/>
    <w:rsid w:val="007C633B"/>
    <w:rsid w:val="007C651E"/>
    <w:rsid w:val="007C7548"/>
    <w:rsid w:val="007C7AB4"/>
    <w:rsid w:val="007D0612"/>
    <w:rsid w:val="007D0CEF"/>
    <w:rsid w:val="007D0D9F"/>
    <w:rsid w:val="007D1F19"/>
    <w:rsid w:val="007D1FC2"/>
    <w:rsid w:val="007D2707"/>
    <w:rsid w:val="007D2B07"/>
    <w:rsid w:val="007D2CF0"/>
    <w:rsid w:val="007D3624"/>
    <w:rsid w:val="007D398D"/>
    <w:rsid w:val="007D3BA9"/>
    <w:rsid w:val="007D454D"/>
    <w:rsid w:val="007D4C0F"/>
    <w:rsid w:val="007D5195"/>
    <w:rsid w:val="007D57B8"/>
    <w:rsid w:val="007D5985"/>
    <w:rsid w:val="007D59C4"/>
    <w:rsid w:val="007D63C2"/>
    <w:rsid w:val="007D6432"/>
    <w:rsid w:val="007D66EC"/>
    <w:rsid w:val="007D6AA6"/>
    <w:rsid w:val="007D749C"/>
    <w:rsid w:val="007D74B6"/>
    <w:rsid w:val="007D787D"/>
    <w:rsid w:val="007D7F2B"/>
    <w:rsid w:val="007E03DC"/>
    <w:rsid w:val="007E0642"/>
    <w:rsid w:val="007E11DA"/>
    <w:rsid w:val="007E18EE"/>
    <w:rsid w:val="007E1AA5"/>
    <w:rsid w:val="007E1C31"/>
    <w:rsid w:val="007E238C"/>
    <w:rsid w:val="007E2B53"/>
    <w:rsid w:val="007E3D0F"/>
    <w:rsid w:val="007E4AB4"/>
    <w:rsid w:val="007E5108"/>
    <w:rsid w:val="007E564F"/>
    <w:rsid w:val="007E6B0B"/>
    <w:rsid w:val="007E6E76"/>
    <w:rsid w:val="007E71F9"/>
    <w:rsid w:val="007E7C4F"/>
    <w:rsid w:val="007F0485"/>
    <w:rsid w:val="007F06FE"/>
    <w:rsid w:val="007F14E9"/>
    <w:rsid w:val="007F272C"/>
    <w:rsid w:val="007F2BBE"/>
    <w:rsid w:val="007F2EDE"/>
    <w:rsid w:val="007F2F13"/>
    <w:rsid w:val="007F3239"/>
    <w:rsid w:val="007F344C"/>
    <w:rsid w:val="007F3834"/>
    <w:rsid w:val="007F397D"/>
    <w:rsid w:val="007F3A0C"/>
    <w:rsid w:val="007F3ACE"/>
    <w:rsid w:val="007F3F6E"/>
    <w:rsid w:val="007F4700"/>
    <w:rsid w:val="007F5238"/>
    <w:rsid w:val="007F55F0"/>
    <w:rsid w:val="007F63C7"/>
    <w:rsid w:val="007F751D"/>
    <w:rsid w:val="007F7C9E"/>
    <w:rsid w:val="008000EA"/>
    <w:rsid w:val="00800518"/>
    <w:rsid w:val="0080054A"/>
    <w:rsid w:val="00800934"/>
    <w:rsid w:val="00800B11"/>
    <w:rsid w:val="00800C3D"/>
    <w:rsid w:val="00801511"/>
    <w:rsid w:val="008018E8"/>
    <w:rsid w:val="00801B56"/>
    <w:rsid w:val="00802359"/>
    <w:rsid w:val="00802AC8"/>
    <w:rsid w:val="00802E87"/>
    <w:rsid w:val="00803641"/>
    <w:rsid w:val="00803EF1"/>
    <w:rsid w:val="00804D4B"/>
    <w:rsid w:val="0080507F"/>
    <w:rsid w:val="00805185"/>
    <w:rsid w:val="00805D03"/>
    <w:rsid w:val="00805E54"/>
    <w:rsid w:val="008062E5"/>
    <w:rsid w:val="00806501"/>
    <w:rsid w:val="00806D85"/>
    <w:rsid w:val="00807484"/>
    <w:rsid w:val="008103CE"/>
    <w:rsid w:val="00810BB1"/>
    <w:rsid w:val="00810DD9"/>
    <w:rsid w:val="00810E2C"/>
    <w:rsid w:val="00811CF2"/>
    <w:rsid w:val="00811DB4"/>
    <w:rsid w:val="008139B3"/>
    <w:rsid w:val="00813AEA"/>
    <w:rsid w:val="0081414E"/>
    <w:rsid w:val="00815A1A"/>
    <w:rsid w:val="008160D1"/>
    <w:rsid w:val="00816465"/>
    <w:rsid w:val="00816512"/>
    <w:rsid w:val="0081652B"/>
    <w:rsid w:val="00816B41"/>
    <w:rsid w:val="00817FA8"/>
    <w:rsid w:val="0082007C"/>
    <w:rsid w:val="008201C7"/>
    <w:rsid w:val="00820662"/>
    <w:rsid w:val="00821319"/>
    <w:rsid w:val="00821F3A"/>
    <w:rsid w:val="00822155"/>
    <w:rsid w:val="00822D96"/>
    <w:rsid w:val="00823C93"/>
    <w:rsid w:val="0082427A"/>
    <w:rsid w:val="00824AF1"/>
    <w:rsid w:val="00824F9B"/>
    <w:rsid w:val="00824FBA"/>
    <w:rsid w:val="00825035"/>
    <w:rsid w:val="00825F35"/>
    <w:rsid w:val="00826F27"/>
    <w:rsid w:val="00830155"/>
    <w:rsid w:val="0083027F"/>
    <w:rsid w:val="0083083E"/>
    <w:rsid w:val="0083192D"/>
    <w:rsid w:val="00831944"/>
    <w:rsid w:val="00831C34"/>
    <w:rsid w:val="00832119"/>
    <w:rsid w:val="008326C4"/>
    <w:rsid w:val="0083305C"/>
    <w:rsid w:val="008330AE"/>
    <w:rsid w:val="0083333C"/>
    <w:rsid w:val="00833564"/>
    <w:rsid w:val="008339FD"/>
    <w:rsid w:val="00833E7E"/>
    <w:rsid w:val="00834BBB"/>
    <w:rsid w:val="0083586D"/>
    <w:rsid w:val="00835D6B"/>
    <w:rsid w:val="0083686F"/>
    <w:rsid w:val="00837109"/>
    <w:rsid w:val="00837607"/>
    <w:rsid w:val="008379C6"/>
    <w:rsid w:val="00837DD5"/>
    <w:rsid w:val="008400A6"/>
    <w:rsid w:val="0084079C"/>
    <w:rsid w:val="008413BF"/>
    <w:rsid w:val="0084228C"/>
    <w:rsid w:val="0084280C"/>
    <w:rsid w:val="00842ABD"/>
    <w:rsid w:val="00842D03"/>
    <w:rsid w:val="00843818"/>
    <w:rsid w:val="00843C66"/>
    <w:rsid w:val="00844084"/>
    <w:rsid w:val="008445C9"/>
    <w:rsid w:val="0084488D"/>
    <w:rsid w:val="008451CF"/>
    <w:rsid w:val="008455C0"/>
    <w:rsid w:val="00845E47"/>
    <w:rsid w:val="00846777"/>
    <w:rsid w:val="008468A0"/>
    <w:rsid w:val="0084695E"/>
    <w:rsid w:val="00846D09"/>
    <w:rsid w:val="00846D53"/>
    <w:rsid w:val="008471D0"/>
    <w:rsid w:val="00847595"/>
    <w:rsid w:val="00847758"/>
    <w:rsid w:val="00847B17"/>
    <w:rsid w:val="00847E5A"/>
    <w:rsid w:val="00850124"/>
    <w:rsid w:val="008509A4"/>
    <w:rsid w:val="00850B6F"/>
    <w:rsid w:val="00850EC2"/>
    <w:rsid w:val="008518BD"/>
    <w:rsid w:val="00851A36"/>
    <w:rsid w:val="00852AE4"/>
    <w:rsid w:val="008533F9"/>
    <w:rsid w:val="008534CD"/>
    <w:rsid w:val="0085361E"/>
    <w:rsid w:val="00853749"/>
    <w:rsid w:val="00853750"/>
    <w:rsid w:val="00853761"/>
    <w:rsid w:val="008537DF"/>
    <w:rsid w:val="00853DEA"/>
    <w:rsid w:val="00854455"/>
    <w:rsid w:val="0085445C"/>
    <w:rsid w:val="00855435"/>
    <w:rsid w:val="00855D02"/>
    <w:rsid w:val="008560C7"/>
    <w:rsid w:val="00857394"/>
    <w:rsid w:val="00857666"/>
    <w:rsid w:val="0086039F"/>
    <w:rsid w:val="00860858"/>
    <w:rsid w:val="00860DF7"/>
    <w:rsid w:val="00861B04"/>
    <w:rsid w:val="00862510"/>
    <w:rsid w:val="00862AED"/>
    <w:rsid w:val="00862B3D"/>
    <w:rsid w:val="00862CF2"/>
    <w:rsid w:val="00862E27"/>
    <w:rsid w:val="008631F5"/>
    <w:rsid w:val="00864248"/>
    <w:rsid w:val="00864868"/>
    <w:rsid w:val="0086578F"/>
    <w:rsid w:val="00865E23"/>
    <w:rsid w:val="00867827"/>
    <w:rsid w:val="00870331"/>
    <w:rsid w:val="00870691"/>
    <w:rsid w:val="00870B29"/>
    <w:rsid w:val="0087320E"/>
    <w:rsid w:val="00873F91"/>
    <w:rsid w:val="00874534"/>
    <w:rsid w:val="0087470D"/>
    <w:rsid w:val="008749B5"/>
    <w:rsid w:val="00875004"/>
    <w:rsid w:val="0087509E"/>
    <w:rsid w:val="008760F0"/>
    <w:rsid w:val="0087630B"/>
    <w:rsid w:val="008765D2"/>
    <w:rsid w:val="00877E1E"/>
    <w:rsid w:val="008800DF"/>
    <w:rsid w:val="00880569"/>
    <w:rsid w:val="008809E6"/>
    <w:rsid w:val="008810AE"/>
    <w:rsid w:val="0088133D"/>
    <w:rsid w:val="00881A19"/>
    <w:rsid w:val="008823A4"/>
    <w:rsid w:val="00882631"/>
    <w:rsid w:val="008834F2"/>
    <w:rsid w:val="00883575"/>
    <w:rsid w:val="00883B61"/>
    <w:rsid w:val="00884F24"/>
    <w:rsid w:val="0088543D"/>
    <w:rsid w:val="00885DCA"/>
    <w:rsid w:val="00885EEA"/>
    <w:rsid w:val="00886537"/>
    <w:rsid w:val="00886F70"/>
    <w:rsid w:val="00887540"/>
    <w:rsid w:val="00887AC5"/>
    <w:rsid w:val="0089047B"/>
    <w:rsid w:val="008904A9"/>
    <w:rsid w:val="008910A5"/>
    <w:rsid w:val="00891D20"/>
    <w:rsid w:val="00892910"/>
    <w:rsid w:val="00892FC3"/>
    <w:rsid w:val="0089371B"/>
    <w:rsid w:val="0089378B"/>
    <w:rsid w:val="0089399D"/>
    <w:rsid w:val="00893BA0"/>
    <w:rsid w:val="0089407F"/>
    <w:rsid w:val="00894236"/>
    <w:rsid w:val="008947AA"/>
    <w:rsid w:val="00894C09"/>
    <w:rsid w:val="008950AD"/>
    <w:rsid w:val="00895B15"/>
    <w:rsid w:val="00895F80"/>
    <w:rsid w:val="0089660E"/>
    <w:rsid w:val="00896AEF"/>
    <w:rsid w:val="00896E26"/>
    <w:rsid w:val="00897165"/>
    <w:rsid w:val="00897B25"/>
    <w:rsid w:val="00897D84"/>
    <w:rsid w:val="008A0B68"/>
    <w:rsid w:val="008A0C9A"/>
    <w:rsid w:val="008A0F04"/>
    <w:rsid w:val="008A10CA"/>
    <w:rsid w:val="008A1612"/>
    <w:rsid w:val="008A1C6A"/>
    <w:rsid w:val="008A21FB"/>
    <w:rsid w:val="008A228D"/>
    <w:rsid w:val="008A2406"/>
    <w:rsid w:val="008A2BC5"/>
    <w:rsid w:val="008A2C37"/>
    <w:rsid w:val="008A2DDB"/>
    <w:rsid w:val="008A2F9E"/>
    <w:rsid w:val="008A33EA"/>
    <w:rsid w:val="008A4438"/>
    <w:rsid w:val="008A4C91"/>
    <w:rsid w:val="008A5334"/>
    <w:rsid w:val="008A5C3B"/>
    <w:rsid w:val="008A692F"/>
    <w:rsid w:val="008A6B66"/>
    <w:rsid w:val="008A6F06"/>
    <w:rsid w:val="008A7455"/>
    <w:rsid w:val="008A77FE"/>
    <w:rsid w:val="008A7902"/>
    <w:rsid w:val="008A7AA1"/>
    <w:rsid w:val="008B00F4"/>
    <w:rsid w:val="008B01C6"/>
    <w:rsid w:val="008B02B7"/>
    <w:rsid w:val="008B0907"/>
    <w:rsid w:val="008B0A93"/>
    <w:rsid w:val="008B19D8"/>
    <w:rsid w:val="008B1A5F"/>
    <w:rsid w:val="008B1CFD"/>
    <w:rsid w:val="008B251D"/>
    <w:rsid w:val="008B2DE6"/>
    <w:rsid w:val="008B3673"/>
    <w:rsid w:val="008B36BE"/>
    <w:rsid w:val="008B3EFA"/>
    <w:rsid w:val="008B43B0"/>
    <w:rsid w:val="008B47D3"/>
    <w:rsid w:val="008B4A18"/>
    <w:rsid w:val="008B4FCB"/>
    <w:rsid w:val="008B555F"/>
    <w:rsid w:val="008B5720"/>
    <w:rsid w:val="008B5AAF"/>
    <w:rsid w:val="008B600D"/>
    <w:rsid w:val="008B654E"/>
    <w:rsid w:val="008B683B"/>
    <w:rsid w:val="008B6C7D"/>
    <w:rsid w:val="008B72D9"/>
    <w:rsid w:val="008B774A"/>
    <w:rsid w:val="008B7A3E"/>
    <w:rsid w:val="008C0286"/>
    <w:rsid w:val="008C02B9"/>
    <w:rsid w:val="008C06F1"/>
    <w:rsid w:val="008C143F"/>
    <w:rsid w:val="008C1786"/>
    <w:rsid w:val="008C17DB"/>
    <w:rsid w:val="008C1AE3"/>
    <w:rsid w:val="008C1CB9"/>
    <w:rsid w:val="008C1E8F"/>
    <w:rsid w:val="008C2E64"/>
    <w:rsid w:val="008C3678"/>
    <w:rsid w:val="008C3FAA"/>
    <w:rsid w:val="008C4716"/>
    <w:rsid w:val="008C4AFC"/>
    <w:rsid w:val="008C4D90"/>
    <w:rsid w:val="008C4E0F"/>
    <w:rsid w:val="008C5618"/>
    <w:rsid w:val="008C5B23"/>
    <w:rsid w:val="008C5C16"/>
    <w:rsid w:val="008C5D28"/>
    <w:rsid w:val="008C64AC"/>
    <w:rsid w:val="008C6DD9"/>
    <w:rsid w:val="008C6EED"/>
    <w:rsid w:val="008C74AA"/>
    <w:rsid w:val="008C7517"/>
    <w:rsid w:val="008C7F56"/>
    <w:rsid w:val="008D0BC0"/>
    <w:rsid w:val="008D2558"/>
    <w:rsid w:val="008D2B66"/>
    <w:rsid w:val="008D371F"/>
    <w:rsid w:val="008D3B76"/>
    <w:rsid w:val="008D3F75"/>
    <w:rsid w:val="008D562F"/>
    <w:rsid w:val="008D5BA8"/>
    <w:rsid w:val="008D5C91"/>
    <w:rsid w:val="008D611A"/>
    <w:rsid w:val="008D640A"/>
    <w:rsid w:val="008D71BB"/>
    <w:rsid w:val="008E02A4"/>
    <w:rsid w:val="008E02FD"/>
    <w:rsid w:val="008E0300"/>
    <w:rsid w:val="008E05EA"/>
    <w:rsid w:val="008E1258"/>
    <w:rsid w:val="008E1E65"/>
    <w:rsid w:val="008E2310"/>
    <w:rsid w:val="008E2667"/>
    <w:rsid w:val="008E3498"/>
    <w:rsid w:val="008E356B"/>
    <w:rsid w:val="008E3F53"/>
    <w:rsid w:val="008E457B"/>
    <w:rsid w:val="008E461B"/>
    <w:rsid w:val="008E4B28"/>
    <w:rsid w:val="008E4CDB"/>
    <w:rsid w:val="008E504C"/>
    <w:rsid w:val="008E579F"/>
    <w:rsid w:val="008E673F"/>
    <w:rsid w:val="008E6BD7"/>
    <w:rsid w:val="008E726B"/>
    <w:rsid w:val="008E7773"/>
    <w:rsid w:val="008E7DB1"/>
    <w:rsid w:val="008F08DA"/>
    <w:rsid w:val="008F0D0A"/>
    <w:rsid w:val="008F0D87"/>
    <w:rsid w:val="008F1A61"/>
    <w:rsid w:val="008F1F7E"/>
    <w:rsid w:val="008F23BF"/>
    <w:rsid w:val="008F2500"/>
    <w:rsid w:val="008F262B"/>
    <w:rsid w:val="008F2930"/>
    <w:rsid w:val="008F2954"/>
    <w:rsid w:val="008F2C1A"/>
    <w:rsid w:val="008F2DA7"/>
    <w:rsid w:val="008F3781"/>
    <w:rsid w:val="008F3816"/>
    <w:rsid w:val="008F3842"/>
    <w:rsid w:val="008F53FC"/>
    <w:rsid w:val="008F66A0"/>
    <w:rsid w:val="008F6F00"/>
    <w:rsid w:val="008F70A5"/>
    <w:rsid w:val="0090001D"/>
    <w:rsid w:val="009012BC"/>
    <w:rsid w:val="00901C30"/>
    <w:rsid w:val="00902C79"/>
    <w:rsid w:val="009030C8"/>
    <w:rsid w:val="009038A9"/>
    <w:rsid w:val="009039DF"/>
    <w:rsid w:val="00904253"/>
    <w:rsid w:val="0090473A"/>
    <w:rsid w:val="0090522C"/>
    <w:rsid w:val="0090545D"/>
    <w:rsid w:val="00906391"/>
    <w:rsid w:val="00906748"/>
    <w:rsid w:val="00906A14"/>
    <w:rsid w:val="00906B33"/>
    <w:rsid w:val="00906E72"/>
    <w:rsid w:val="009072CD"/>
    <w:rsid w:val="009077A7"/>
    <w:rsid w:val="00910B4D"/>
    <w:rsid w:val="00911208"/>
    <w:rsid w:val="00911618"/>
    <w:rsid w:val="00912868"/>
    <w:rsid w:val="00912ABA"/>
    <w:rsid w:val="00912F56"/>
    <w:rsid w:val="00913286"/>
    <w:rsid w:val="00914B21"/>
    <w:rsid w:val="0091552E"/>
    <w:rsid w:val="00915577"/>
    <w:rsid w:val="009156D7"/>
    <w:rsid w:val="00916058"/>
    <w:rsid w:val="0091622C"/>
    <w:rsid w:val="009162AA"/>
    <w:rsid w:val="00917A66"/>
    <w:rsid w:val="00917BAB"/>
    <w:rsid w:val="00920029"/>
    <w:rsid w:val="0092038F"/>
    <w:rsid w:val="0092064A"/>
    <w:rsid w:val="0092089E"/>
    <w:rsid w:val="009209EF"/>
    <w:rsid w:val="00920EE4"/>
    <w:rsid w:val="00920FF2"/>
    <w:rsid w:val="009212D8"/>
    <w:rsid w:val="00922ABA"/>
    <w:rsid w:val="00922DD7"/>
    <w:rsid w:val="009234F1"/>
    <w:rsid w:val="00924AFC"/>
    <w:rsid w:val="00925094"/>
    <w:rsid w:val="0092527F"/>
    <w:rsid w:val="00925B92"/>
    <w:rsid w:val="00926C59"/>
    <w:rsid w:val="00927276"/>
    <w:rsid w:val="0092778B"/>
    <w:rsid w:val="0092793F"/>
    <w:rsid w:val="00927F90"/>
    <w:rsid w:val="0093031E"/>
    <w:rsid w:val="00930696"/>
    <w:rsid w:val="00930E8D"/>
    <w:rsid w:val="009310B1"/>
    <w:rsid w:val="009317E7"/>
    <w:rsid w:val="00931940"/>
    <w:rsid w:val="009324EA"/>
    <w:rsid w:val="00932EFE"/>
    <w:rsid w:val="009337AC"/>
    <w:rsid w:val="009338D8"/>
    <w:rsid w:val="00933A51"/>
    <w:rsid w:val="00933ACD"/>
    <w:rsid w:val="00933C69"/>
    <w:rsid w:val="009340A5"/>
    <w:rsid w:val="00935423"/>
    <w:rsid w:val="00935C4E"/>
    <w:rsid w:val="00937503"/>
    <w:rsid w:val="0093764B"/>
    <w:rsid w:val="00937BD1"/>
    <w:rsid w:val="00937C10"/>
    <w:rsid w:val="00940C1C"/>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5955"/>
    <w:rsid w:val="00945E71"/>
    <w:rsid w:val="009466DC"/>
    <w:rsid w:val="00946B84"/>
    <w:rsid w:val="00946E37"/>
    <w:rsid w:val="009472B8"/>
    <w:rsid w:val="00947730"/>
    <w:rsid w:val="00947E26"/>
    <w:rsid w:val="0095017A"/>
    <w:rsid w:val="009502A2"/>
    <w:rsid w:val="00950561"/>
    <w:rsid w:val="00950C50"/>
    <w:rsid w:val="0095165D"/>
    <w:rsid w:val="00951A82"/>
    <w:rsid w:val="00951E00"/>
    <w:rsid w:val="009521DE"/>
    <w:rsid w:val="00952622"/>
    <w:rsid w:val="0095267C"/>
    <w:rsid w:val="00952FA2"/>
    <w:rsid w:val="0095305E"/>
    <w:rsid w:val="00953564"/>
    <w:rsid w:val="009537AA"/>
    <w:rsid w:val="00953C08"/>
    <w:rsid w:val="00953CB4"/>
    <w:rsid w:val="00953DA4"/>
    <w:rsid w:val="00954582"/>
    <w:rsid w:val="00954B5B"/>
    <w:rsid w:val="009550CB"/>
    <w:rsid w:val="00955199"/>
    <w:rsid w:val="00955252"/>
    <w:rsid w:val="0095561C"/>
    <w:rsid w:val="009558CE"/>
    <w:rsid w:val="00956420"/>
    <w:rsid w:val="00957A29"/>
    <w:rsid w:val="00960666"/>
    <w:rsid w:val="00961348"/>
    <w:rsid w:val="0096198E"/>
    <w:rsid w:val="00961D04"/>
    <w:rsid w:val="00961E4D"/>
    <w:rsid w:val="009627FE"/>
    <w:rsid w:val="00962E30"/>
    <w:rsid w:val="00965248"/>
    <w:rsid w:val="009656B3"/>
    <w:rsid w:val="00965838"/>
    <w:rsid w:val="00965F45"/>
    <w:rsid w:val="00966095"/>
    <w:rsid w:val="00966481"/>
    <w:rsid w:val="00966646"/>
    <w:rsid w:val="00966DDC"/>
    <w:rsid w:val="00966E1C"/>
    <w:rsid w:val="00967B60"/>
    <w:rsid w:val="0097123A"/>
    <w:rsid w:val="00972140"/>
    <w:rsid w:val="00972716"/>
    <w:rsid w:val="00972880"/>
    <w:rsid w:val="009735B8"/>
    <w:rsid w:val="009739D9"/>
    <w:rsid w:val="00973C94"/>
    <w:rsid w:val="00973CF2"/>
    <w:rsid w:val="009744EE"/>
    <w:rsid w:val="00974799"/>
    <w:rsid w:val="0097504B"/>
    <w:rsid w:val="009751BB"/>
    <w:rsid w:val="00975C1D"/>
    <w:rsid w:val="00975DD6"/>
    <w:rsid w:val="0097648C"/>
    <w:rsid w:val="00976A81"/>
    <w:rsid w:val="009775D9"/>
    <w:rsid w:val="00977A3E"/>
    <w:rsid w:val="009802F9"/>
    <w:rsid w:val="00980324"/>
    <w:rsid w:val="00981F1F"/>
    <w:rsid w:val="00982BFB"/>
    <w:rsid w:val="009832D5"/>
    <w:rsid w:val="00983322"/>
    <w:rsid w:val="009838FC"/>
    <w:rsid w:val="00983957"/>
    <w:rsid w:val="00984591"/>
    <w:rsid w:val="00984887"/>
    <w:rsid w:val="009850CA"/>
    <w:rsid w:val="009852E4"/>
    <w:rsid w:val="00987336"/>
    <w:rsid w:val="00987492"/>
    <w:rsid w:val="009879F4"/>
    <w:rsid w:val="00990927"/>
    <w:rsid w:val="00990E87"/>
    <w:rsid w:val="009910E2"/>
    <w:rsid w:val="0099146E"/>
    <w:rsid w:val="009919FF"/>
    <w:rsid w:val="00992084"/>
    <w:rsid w:val="0099443A"/>
    <w:rsid w:val="00994C0D"/>
    <w:rsid w:val="00994C9F"/>
    <w:rsid w:val="00994FE1"/>
    <w:rsid w:val="00995005"/>
    <w:rsid w:val="00995022"/>
    <w:rsid w:val="00995BB1"/>
    <w:rsid w:val="00995C62"/>
    <w:rsid w:val="00996836"/>
    <w:rsid w:val="009971D9"/>
    <w:rsid w:val="009978B0"/>
    <w:rsid w:val="009978B7"/>
    <w:rsid w:val="00997E3D"/>
    <w:rsid w:val="009A06A2"/>
    <w:rsid w:val="009A076E"/>
    <w:rsid w:val="009A0865"/>
    <w:rsid w:val="009A0A04"/>
    <w:rsid w:val="009A0BB3"/>
    <w:rsid w:val="009A0BDB"/>
    <w:rsid w:val="009A1305"/>
    <w:rsid w:val="009A1F29"/>
    <w:rsid w:val="009A2587"/>
    <w:rsid w:val="009A287A"/>
    <w:rsid w:val="009A32D1"/>
    <w:rsid w:val="009A38BA"/>
    <w:rsid w:val="009A41D9"/>
    <w:rsid w:val="009A48A6"/>
    <w:rsid w:val="009A5B4F"/>
    <w:rsid w:val="009A5E58"/>
    <w:rsid w:val="009A5F23"/>
    <w:rsid w:val="009A6DD1"/>
    <w:rsid w:val="009A707A"/>
    <w:rsid w:val="009A7275"/>
    <w:rsid w:val="009A7623"/>
    <w:rsid w:val="009A7A6E"/>
    <w:rsid w:val="009B0040"/>
    <w:rsid w:val="009B01E5"/>
    <w:rsid w:val="009B07FF"/>
    <w:rsid w:val="009B085D"/>
    <w:rsid w:val="009B0C4A"/>
    <w:rsid w:val="009B1404"/>
    <w:rsid w:val="009B1797"/>
    <w:rsid w:val="009B21B5"/>
    <w:rsid w:val="009B251E"/>
    <w:rsid w:val="009B35C5"/>
    <w:rsid w:val="009B35D5"/>
    <w:rsid w:val="009B35D9"/>
    <w:rsid w:val="009B36EF"/>
    <w:rsid w:val="009B4619"/>
    <w:rsid w:val="009B4B90"/>
    <w:rsid w:val="009B51A6"/>
    <w:rsid w:val="009B525D"/>
    <w:rsid w:val="009B57E3"/>
    <w:rsid w:val="009B5FFF"/>
    <w:rsid w:val="009B628A"/>
    <w:rsid w:val="009B6DFC"/>
    <w:rsid w:val="009B6FBE"/>
    <w:rsid w:val="009B724A"/>
    <w:rsid w:val="009B73B8"/>
    <w:rsid w:val="009C0008"/>
    <w:rsid w:val="009C1E8E"/>
    <w:rsid w:val="009C274B"/>
    <w:rsid w:val="009C2A8E"/>
    <w:rsid w:val="009C3AE3"/>
    <w:rsid w:val="009C3DEF"/>
    <w:rsid w:val="009C43F7"/>
    <w:rsid w:val="009C5163"/>
    <w:rsid w:val="009C53AB"/>
    <w:rsid w:val="009C5B36"/>
    <w:rsid w:val="009C6C04"/>
    <w:rsid w:val="009D2B7D"/>
    <w:rsid w:val="009D3332"/>
    <w:rsid w:val="009D337E"/>
    <w:rsid w:val="009D41C5"/>
    <w:rsid w:val="009D4BFD"/>
    <w:rsid w:val="009D4CA4"/>
    <w:rsid w:val="009D51C7"/>
    <w:rsid w:val="009D5A07"/>
    <w:rsid w:val="009D5E3D"/>
    <w:rsid w:val="009D6BBB"/>
    <w:rsid w:val="009D6F1D"/>
    <w:rsid w:val="009D7957"/>
    <w:rsid w:val="009E1226"/>
    <w:rsid w:val="009E1352"/>
    <w:rsid w:val="009E146E"/>
    <w:rsid w:val="009E14F5"/>
    <w:rsid w:val="009E2A80"/>
    <w:rsid w:val="009E2D32"/>
    <w:rsid w:val="009E32A3"/>
    <w:rsid w:val="009E4020"/>
    <w:rsid w:val="009E4384"/>
    <w:rsid w:val="009E44DE"/>
    <w:rsid w:val="009E47D4"/>
    <w:rsid w:val="009E4E07"/>
    <w:rsid w:val="009E5217"/>
    <w:rsid w:val="009E525C"/>
    <w:rsid w:val="009E602A"/>
    <w:rsid w:val="009E6074"/>
    <w:rsid w:val="009E6558"/>
    <w:rsid w:val="009E6A70"/>
    <w:rsid w:val="009E76E2"/>
    <w:rsid w:val="009E7CE7"/>
    <w:rsid w:val="009E7D9B"/>
    <w:rsid w:val="009E7E2A"/>
    <w:rsid w:val="009F0D20"/>
    <w:rsid w:val="009F151C"/>
    <w:rsid w:val="009F16C8"/>
    <w:rsid w:val="009F20A6"/>
    <w:rsid w:val="009F22B2"/>
    <w:rsid w:val="009F2731"/>
    <w:rsid w:val="009F2DA9"/>
    <w:rsid w:val="009F2FAE"/>
    <w:rsid w:val="009F2FBC"/>
    <w:rsid w:val="009F3255"/>
    <w:rsid w:val="009F33F0"/>
    <w:rsid w:val="009F3C02"/>
    <w:rsid w:val="009F3FD1"/>
    <w:rsid w:val="009F42D4"/>
    <w:rsid w:val="009F4319"/>
    <w:rsid w:val="009F4CA7"/>
    <w:rsid w:val="009F4F9F"/>
    <w:rsid w:val="009F5037"/>
    <w:rsid w:val="009F524F"/>
    <w:rsid w:val="009F643B"/>
    <w:rsid w:val="009F64A4"/>
    <w:rsid w:val="009F7DD6"/>
    <w:rsid w:val="009F7E47"/>
    <w:rsid w:val="009F7F04"/>
    <w:rsid w:val="00A006D7"/>
    <w:rsid w:val="00A01372"/>
    <w:rsid w:val="00A02248"/>
    <w:rsid w:val="00A027DE"/>
    <w:rsid w:val="00A02B4D"/>
    <w:rsid w:val="00A02CD7"/>
    <w:rsid w:val="00A037CB"/>
    <w:rsid w:val="00A03A8F"/>
    <w:rsid w:val="00A042A9"/>
    <w:rsid w:val="00A04D6C"/>
    <w:rsid w:val="00A06B99"/>
    <w:rsid w:val="00A06E91"/>
    <w:rsid w:val="00A0765E"/>
    <w:rsid w:val="00A07964"/>
    <w:rsid w:val="00A100D9"/>
    <w:rsid w:val="00A10668"/>
    <w:rsid w:val="00A1072A"/>
    <w:rsid w:val="00A1098A"/>
    <w:rsid w:val="00A10D69"/>
    <w:rsid w:val="00A10EC6"/>
    <w:rsid w:val="00A110E2"/>
    <w:rsid w:val="00A11342"/>
    <w:rsid w:val="00A11609"/>
    <w:rsid w:val="00A11B69"/>
    <w:rsid w:val="00A11E5A"/>
    <w:rsid w:val="00A12368"/>
    <w:rsid w:val="00A124C1"/>
    <w:rsid w:val="00A13562"/>
    <w:rsid w:val="00A14117"/>
    <w:rsid w:val="00A14215"/>
    <w:rsid w:val="00A14872"/>
    <w:rsid w:val="00A14B1F"/>
    <w:rsid w:val="00A14DA8"/>
    <w:rsid w:val="00A14E7F"/>
    <w:rsid w:val="00A15B99"/>
    <w:rsid w:val="00A15FD9"/>
    <w:rsid w:val="00A16351"/>
    <w:rsid w:val="00A16ED4"/>
    <w:rsid w:val="00A1719B"/>
    <w:rsid w:val="00A209AA"/>
    <w:rsid w:val="00A21296"/>
    <w:rsid w:val="00A21328"/>
    <w:rsid w:val="00A21830"/>
    <w:rsid w:val="00A223CC"/>
    <w:rsid w:val="00A22F51"/>
    <w:rsid w:val="00A23330"/>
    <w:rsid w:val="00A23470"/>
    <w:rsid w:val="00A23A41"/>
    <w:rsid w:val="00A23AB7"/>
    <w:rsid w:val="00A24441"/>
    <w:rsid w:val="00A24C55"/>
    <w:rsid w:val="00A250C1"/>
    <w:rsid w:val="00A255C8"/>
    <w:rsid w:val="00A25E80"/>
    <w:rsid w:val="00A26205"/>
    <w:rsid w:val="00A26700"/>
    <w:rsid w:val="00A26AB1"/>
    <w:rsid w:val="00A27090"/>
    <w:rsid w:val="00A300A8"/>
    <w:rsid w:val="00A30916"/>
    <w:rsid w:val="00A30F2D"/>
    <w:rsid w:val="00A30F86"/>
    <w:rsid w:val="00A31440"/>
    <w:rsid w:val="00A316E8"/>
    <w:rsid w:val="00A31BA9"/>
    <w:rsid w:val="00A31C1D"/>
    <w:rsid w:val="00A33F9F"/>
    <w:rsid w:val="00A3412B"/>
    <w:rsid w:val="00A34391"/>
    <w:rsid w:val="00A346C6"/>
    <w:rsid w:val="00A34BAB"/>
    <w:rsid w:val="00A34C1E"/>
    <w:rsid w:val="00A34D48"/>
    <w:rsid w:val="00A354D2"/>
    <w:rsid w:val="00A35FEE"/>
    <w:rsid w:val="00A36072"/>
    <w:rsid w:val="00A36416"/>
    <w:rsid w:val="00A368AB"/>
    <w:rsid w:val="00A36A1A"/>
    <w:rsid w:val="00A36A51"/>
    <w:rsid w:val="00A36D07"/>
    <w:rsid w:val="00A36DB8"/>
    <w:rsid w:val="00A37248"/>
    <w:rsid w:val="00A37E8C"/>
    <w:rsid w:val="00A4062E"/>
    <w:rsid w:val="00A40640"/>
    <w:rsid w:val="00A41980"/>
    <w:rsid w:val="00A41E86"/>
    <w:rsid w:val="00A42B6C"/>
    <w:rsid w:val="00A42BC6"/>
    <w:rsid w:val="00A43117"/>
    <w:rsid w:val="00A4339A"/>
    <w:rsid w:val="00A433B0"/>
    <w:rsid w:val="00A441D4"/>
    <w:rsid w:val="00A448D2"/>
    <w:rsid w:val="00A45617"/>
    <w:rsid w:val="00A46108"/>
    <w:rsid w:val="00A463AC"/>
    <w:rsid w:val="00A4676E"/>
    <w:rsid w:val="00A4677F"/>
    <w:rsid w:val="00A46A68"/>
    <w:rsid w:val="00A47581"/>
    <w:rsid w:val="00A4796C"/>
    <w:rsid w:val="00A479FA"/>
    <w:rsid w:val="00A47ECA"/>
    <w:rsid w:val="00A47FB0"/>
    <w:rsid w:val="00A50663"/>
    <w:rsid w:val="00A51FA9"/>
    <w:rsid w:val="00A52106"/>
    <w:rsid w:val="00A522D1"/>
    <w:rsid w:val="00A5343D"/>
    <w:rsid w:val="00A53C2E"/>
    <w:rsid w:val="00A542D6"/>
    <w:rsid w:val="00A5452C"/>
    <w:rsid w:val="00A547EC"/>
    <w:rsid w:val="00A54817"/>
    <w:rsid w:val="00A55256"/>
    <w:rsid w:val="00A554D1"/>
    <w:rsid w:val="00A5564B"/>
    <w:rsid w:val="00A607F5"/>
    <w:rsid w:val="00A612B4"/>
    <w:rsid w:val="00A613B0"/>
    <w:rsid w:val="00A632F4"/>
    <w:rsid w:val="00A63DB5"/>
    <w:rsid w:val="00A64127"/>
    <w:rsid w:val="00A64AF7"/>
    <w:rsid w:val="00A65623"/>
    <w:rsid w:val="00A65C15"/>
    <w:rsid w:val="00A67A57"/>
    <w:rsid w:val="00A7041C"/>
    <w:rsid w:val="00A70A2F"/>
    <w:rsid w:val="00A70BC0"/>
    <w:rsid w:val="00A70FF4"/>
    <w:rsid w:val="00A71039"/>
    <w:rsid w:val="00A710D8"/>
    <w:rsid w:val="00A72305"/>
    <w:rsid w:val="00A72785"/>
    <w:rsid w:val="00A72859"/>
    <w:rsid w:val="00A729CD"/>
    <w:rsid w:val="00A7318D"/>
    <w:rsid w:val="00A735D0"/>
    <w:rsid w:val="00A742A4"/>
    <w:rsid w:val="00A742BF"/>
    <w:rsid w:val="00A74347"/>
    <w:rsid w:val="00A750A1"/>
    <w:rsid w:val="00A75C99"/>
    <w:rsid w:val="00A76A92"/>
    <w:rsid w:val="00A77397"/>
    <w:rsid w:val="00A777D0"/>
    <w:rsid w:val="00A778B9"/>
    <w:rsid w:val="00A80101"/>
    <w:rsid w:val="00A813A3"/>
    <w:rsid w:val="00A814B1"/>
    <w:rsid w:val="00A817A3"/>
    <w:rsid w:val="00A820D1"/>
    <w:rsid w:val="00A82FB4"/>
    <w:rsid w:val="00A83099"/>
    <w:rsid w:val="00A83800"/>
    <w:rsid w:val="00A8383B"/>
    <w:rsid w:val="00A84ABF"/>
    <w:rsid w:val="00A85560"/>
    <w:rsid w:val="00A856BE"/>
    <w:rsid w:val="00A85A07"/>
    <w:rsid w:val="00A85A14"/>
    <w:rsid w:val="00A866AC"/>
    <w:rsid w:val="00A869EB"/>
    <w:rsid w:val="00A86DBE"/>
    <w:rsid w:val="00A8749A"/>
    <w:rsid w:val="00A87C3B"/>
    <w:rsid w:val="00A90C44"/>
    <w:rsid w:val="00A90F15"/>
    <w:rsid w:val="00A917E5"/>
    <w:rsid w:val="00A91800"/>
    <w:rsid w:val="00A919FB"/>
    <w:rsid w:val="00A91B93"/>
    <w:rsid w:val="00A92B45"/>
    <w:rsid w:val="00A92E60"/>
    <w:rsid w:val="00A92F57"/>
    <w:rsid w:val="00A93257"/>
    <w:rsid w:val="00A9377C"/>
    <w:rsid w:val="00A94A24"/>
    <w:rsid w:val="00A94F54"/>
    <w:rsid w:val="00A952C9"/>
    <w:rsid w:val="00A958B8"/>
    <w:rsid w:val="00A95948"/>
    <w:rsid w:val="00A963EB"/>
    <w:rsid w:val="00A96560"/>
    <w:rsid w:val="00A96811"/>
    <w:rsid w:val="00A969A9"/>
    <w:rsid w:val="00A96B98"/>
    <w:rsid w:val="00A97043"/>
    <w:rsid w:val="00A977FA"/>
    <w:rsid w:val="00A97DE9"/>
    <w:rsid w:val="00AA0637"/>
    <w:rsid w:val="00AA08AB"/>
    <w:rsid w:val="00AA0DC8"/>
    <w:rsid w:val="00AA1327"/>
    <w:rsid w:val="00AA1394"/>
    <w:rsid w:val="00AA1A76"/>
    <w:rsid w:val="00AA1B31"/>
    <w:rsid w:val="00AA1BFD"/>
    <w:rsid w:val="00AA1EAB"/>
    <w:rsid w:val="00AA2E6D"/>
    <w:rsid w:val="00AA2F05"/>
    <w:rsid w:val="00AA3254"/>
    <w:rsid w:val="00AA39AA"/>
    <w:rsid w:val="00AA479D"/>
    <w:rsid w:val="00AA4BE6"/>
    <w:rsid w:val="00AA51F9"/>
    <w:rsid w:val="00AA538D"/>
    <w:rsid w:val="00AA55ED"/>
    <w:rsid w:val="00AA57EC"/>
    <w:rsid w:val="00AA5E5C"/>
    <w:rsid w:val="00AA6446"/>
    <w:rsid w:val="00AB016E"/>
    <w:rsid w:val="00AB03D9"/>
    <w:rsid w:val="00AB06A9"/>
    <w:rsid w:val="00AB10A1"/>
    <w:rsid w:val="00AB1324"/>
    <w:rsid w:val="00AB1AFA"/>
    <w:rsid w:val="00AB1BF9"/>
    <w:rsid w:val="00AB2970"/>
    <w:rsid w:val="00AB2C53"/>
    <w:rsid w:val="00AB3197"/>
    <w:rsid w:val="00AB31E6"/>
    <w:rsid w:val="00AB3CF0"/>
    <w:rsid w:val="00AB3FCA"/>
    <w:rsid w:val="00AB46B1"/>
    <w:rsid w:val="00AB4801"/>
    <w:rsid w:val="00AB48CC"/>
    <w:rsid w:val="00AB551B"/>
    <w:rsid w:val="00AB55AD"/>
    <w:rsid w:val="00AB6287"/>
    <w:rsid w:val="00AB6296"/>
    <w:rsid w:val="00AB6371"/>
    <w:rsid w:val="00AB6B4D"/>
    <w:rsid w:val="00AB6EF8"/>
    <w:rsid w:val="00AB6FE1"/>
    <w:rsid w:val="00AB72EE"/>
    <w:rsid w:val="00AB79CD"/>
    <w:rsid w:val="00AB7B4C"/>
    <w:rsid w:val="00AB7C45"/>
    <w:rsid w:val="00AB7CA3"/>
    <w:rsid w:val="00AC026A"/>
    <w:rsid w:val="00AC2596"/>
    <w:rsid w:val="00AC2944"/>
    <w:rsid w:val="00AC35BD"/>
    <w:rsid w:val="00AC3730"/>
    <w:rsid w:val="00AC411B"/>
    <w:rsid w:val="00AC4FFF"/>
    <w:rsid w:val="00AC508E"/>
    <w:rsid w:val="00AC51B2"/>
    <w:rsid w:val="00AC5B8D"/>
    <w:rsid w:val="00AC66E4"/>
    <w:rsid w:val="00AC6876"/>
    <w:rsid w:val="00AC751C"/>
    <w:rsid w:val="00AC791B"/>
    <w:rsid w:val="00AC7BA1"/>
    <w:rsid w:val="00AD0011"/>
    <w:rsid w:val="00AD0978"/>
    <w:rsid w:val="00AD15D9"/>
    <w:rsid w:val="00AD16C2"/>
    <w:rsid w:val="00AD23CC"/>
    <w:rsid w:val="00AD28E7"/>
    <w:rsid w:val="00AD2D31"/>
    <w:rsid w:val="00AD3064"/>
    <w:rsid w:val="00AD3782"/>
    <w:rsid w:val="00AD3885"/>
    <w:rsid w:val="00AD3C64"/>
    <w:rsid w:val="00AD550C"/>
    <w:rsid w:val="00AD59EE"/>
    <w:rsid w:val="00AD5FFF"/>
    <w:rsid w:val="00AD6C2E"/>
    <w:rsid w:val="00AD6D7B"/>
    <w:rsid w:val="00AD7A38"/>
    <w:rsid w:val="00AD7E52"/>
    <w:rsid w:val="00AE1144"/>
    <w:rsid w:val="00AE1198"/>
    <w:rsid w:val="00AE1539"/>
    <w:rsid w:val="00AE2523"/>
    <w:rsid w:val="00AE27DE"/>
    <w:rsid w:val="00AE2F4F"/>
    <w:rsid w:val="00AE30B0"/>
    <w:rsid w:val="00AE3F1F"/>
    <w:rsid w:val="00AE403F"/>
    <w:rsid w:val="00AE4C2F"/>
    <w:rsid w:val="00AE614F"/>
    <w:rsid w:val="00AE70AC"/>
    <w:rsid w:val="00AE7445"/>
    <w:rsid w:val="00AE765C"/>
    <w:rsid w:val="00AE7D38"/>
    <w:rsid w:val="00AE7D7D"/>
    <w:rsid w:val="00AF0A74"/>
    <w:rsid w:val="00AF0ABD"/>
    <w:rsid w:val="00AF155E"/>
    <w:rsid w:val="00AF23D8"/>
    <w:rsid w:val="00AF25B6"/>
    <w:rsid w:val="00AF355F"/>
    <w:rsid w:val="00AF370D"/>
    <w:rsid w:val="00AF377F"/>
    <w:rsid w:val="00AF3F4D"/>
    <w:rsid w:val="00AF3FAD"/>
    <w:rsid w:val="00AF453C"/>
    <w:rsid w:val="00AF45FC"/>
    <w:rsid w:val="00AF492C"/>
    <w:rsid w:val="00AF52E7"/>
    <w:rsid w:val="00AF5930"/>
    <w:rsid w:val="00AF627A"/>
    <w:rsid w:val="00AF662A"/>
    <w:rsid w:val="00AF71AB"/>
    <w:rsid w:val="00AF7A46"/>
    <w:rsid w:val="00AF7A9A"/>
    <w:rsid w:val="00B01320"/>
    <w:rsid w:val="00B01998"/>
    <w:rsid w:val="00B02432"/>
    <w:rsid w:val="00B027C1"/>
    <w:rsid w:val="00B027EC"/>
    <w:rsid w:val="00B02E19"/>
    <w:rsid w:val="00B03755"/>
    <w:rsid w:val="00B03BA0"/>
    <w:rsid w:val="00B04550"/>
    <w:rsid w:val="00B046C7"/>
    <w:rsid w:val="00B04B55"/>
    <w:rsid w:val="00B04FBF"/>
    <w:rsid w:val="00B06DA0"/>
    <w:rsid w:val="00B0759A"/>
    <w:rsid w:val="00B07779"/>
    <w:rsid w:val="00B101B9"/>
    <w:rsid w:val="00B105B2"/>
    <w:rsid w:val="00B1070F"/>
    <w:rsid w:val="00B1079B"/>
    <w:rsid w:val="00B10F9B"/>
    <w:rsid w:val="00B10FEE"/>
    <w:rsid w:val="00B11E7D"/>
    <w:rsid w:val="00B12C35"/>
    <w:rsid w:val="00B133DA"/>
    <w:rsid w:val="00B13682"/>
    <w:rsid w:val="00B139D2"/>
    <w:rsid w:val="00B13F18"/>
    <w:rsid w:val="00B1405F"/>
    <w:rsid w:val="00B141F4"/>
    <w:rsid w:val="00B14233"/>
    <w:rsid w:val="00B14F15"/>
    <w:rsid w:val="00B1515B"/>
    <w:rsid w:val="00B159D4"/>
    <w:rsid w:val="00B15D09"/>
    <w:rsid w:val="00B160BC"/>
    <w:rsid w:val="00B160D4"/>
    <w:rsid w:val="00B1615D"/>
    <w:rsid w:val="00B16252"/>
    <w:rsid w:val="00B177AB"/>
    <w:rsid w:val="00B17D03"/>
    <w:rsid w:val="00B205AA"/>
    <w:rsid w:val="00B20D72"/>
    <w:rsid w:val="00B2122A"/>
    <w:rsid w:val="00B214AD"/>
    <w:rsid w:val="00B21803"/>
    <w:rsid w:val="00B21CDC"/>
    <w:rsid w:val="00B227C3"/>
    <w:rsid w:val="00B22C1E"/>
    <w:rsid w:val="00B22EE3"/>
    <w:rsid w:val="00B23323"/>
    <w:rsid w:val="00B23BEB"/>
    <w:rsid w:val="00B24357"/>
    <w:rsid w:val="00B24BE1"/>
    <w:rsid w:val="00B26428"/>
    <w:rsid w:val="00B264A6"/>
    <w:rsid w:val="00B26867"/>
    <w:rsid w:val="00B277A2"/>
    <w:rsid w:val="00B31092"/>
    <w:rsid w:val="00B3131D"/>
    <w:rsid w:val="00B322A0"/>
    <w:rsid w:val="00B32AB6"/>
    <w:rsid w:val="00B32BD8"/>
    <w:rsid w:val="00B335BF"/>
    <w:rsid w:val="00B33655"/>
    <w:rsid w:val="00B34384"/>
    <w:rsid w:val="00B34AAD"/>
    <w:rsid w:val="00B34E9E"/>
    <w:rsid w:val="00B3632A"/>
    <w:rsid w:val="00B37549"/>
    <w:rsid w:val="00B401A2"/>
    <w:rsid w:val="00B40483"/>
    <w:rsid w:val="00B40625"/>
    <w:rsid w:val="00B40DFE"/>
    <w:rsid w:val="00B411AC"/>
    <w:rsid w:val="00B411D0"/>
    <w:rsid w:val="00B412AC"/>
    <w:rsid w:val="00B41780"/>
    <w:rsid w:val="00B42978"/>
    <w:rsid w:val="00B42DD2"/>
    <w:rsid w:val="00B43B56"/>
    <w:rsid w:val="00B44621"/>
    <w:rsid w:val="00B4468E"/>
    <w:rsid w:val="00B448B5"/>
    <w:rsid w:val="00B44AE4"/>
    <w:rsid w:val="00B450CA"/>
    <w:rsid w:val="00B463C5"/>
    <w:rsid w:val="00B46696"/>
    <w:rsid w:val="00B476BC"/>
    <w:rsid w:val="00B477CF"/>
    <w:rsid w:val="00B47DF1"/>
    <w:rsid w:val="00B47FF4"/>
    <w:rsid w:val="00B502F1"/>
    <w:rsid w:val="00B50592"/>
    <w:rsid w:val="00B505B6"/>
    <w:rsid w:val="00B51769"/>
    <w:rsid w:val="00B519E7"/>
    <w:rsid w:val="00B51ADD"/>
    <w:rsid w:val="00B51C61"/>
    <w:rsid w:val="00B51C62"/>
    <w:rsid w:val="00B51D2E"/>
    <w:rsid w:val="00B51D7F"/>
    <w:rsid w:val="00B51E27"/>
    <w:rsid w:val="00B53092"/>
    <w:rsid w:val="00B5311D"/>
    <w:rsid w:val="00B537B9"/>
    <w:rsid w:val="00B537D4"/>
    <w:rsid w:val="00B53E13"/>
    <w:rsid w:val="00B54013"/>
    <w:rsid w:val="00B54066"/>
    <w:rsid w:val="00B54465"/>
    <w:rsid w:val="00B545FE"/>
    <w:rsid w:val="00B54B9C"/>
    <w:rsid w:val="00B54F39"/>
    <w:rsid w:val="00B5500C"/>
    <w:rsid w:val="00B5529A"/>
    <w:rsid w:val="00B554F0"/>
    <w:rsid w:val="00B5588A"/>
    <w:rsid w:val="00B56A1F"/>
    <w:rsid w:val="00B56EEA"/>
    <w:rsid w:val="00B6019C"/>
    <w:rsid w:val="00B60643"/>
    <w:rsid w:val="00B609E6"/>
    <w:rsid w:val="00B61A13"/>
    <w:rsid w:val="00B61DD4"/>
    <w:rsid w:val="00B621FC"/>
    <w:rsid w:val="00B630D0"/>
    <w:rsid w:val="00B639E5"/>
    <w:rsid w:val="00B63B5F"/>
    <w:rsid w:val="00B640E7"/>
    <w:rsid w:val="00B65AF9"/>
    <w:rsid w:val="00B664B5"/>
    <w:rsid w:val="00B66D58"/>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77CBE"/>
    <w:rsid w:val="00B80314"/>
    <w:rsid w:val="00B80415"/>
    <w:rsid w:val="00B80573"/>
    <w:rsid w:val="00B80BD2"/>
    <w:rsid w:val="00B814E2"/>
    <w:rsid w:val="00B82D9A"/>
    <w:rsid w:val="00B834D4"/>
    <w:rsid w:val="00B843C0"/>
    <w:rsid w:val="00B8457B"/>
    <w:rsid w:val="00B8467F"/>
    <w:rsid w:val="00B853F2"/>
    <w:rsid w:val="00B8563F"/>
    <w:rsid w:val="00B85644"/>
    <w:rsid w:val="00B85694"/>
    <w:rsid w:val="00B860CD"/>
    <w:rsid w:val="00B86B88"/>
    <w:rsid w:val="00B86E53"/>
    <w:rsid w:val="00B87C6F"/>
    <w:rsid w:val="00B9041F"/>
    <w:rsid w:val="00B9068B"/>
    <w:rsid w:val="00B90A16"/>
    <w:rsid w:val="00B90E1E"/>
    <w:rsid w:val="00B91469"/>
    <w:rsid w:val="00B91A34"/>
    <w:rsid w:val="00B91EE9"/>
    <w:rsid w:val="00B92318"/>
    <w:rsid w:val="00B930B6"/>
    <w:rsid w:val="00B939F3"/>
    <w:rsid w:val="00B94A95"/>
    <w:rsid w:val="00B95CE7"/>
    <w:rsid w:val="00B9619C"/>
    <w:rsid w:val="00B9658F"/>
    <w:rsid w:val="00B96B09"/>
    <w:rsid w:val="00B96CEF"/>
    <w:rsid w:val="00B97EAB"/>
    <w:rsid w:val="00BA0055"/>
    <w:rsid w:val="00BA08B3"/>
    <w:rsid w:val="00BA0A2A"/>
    <w:rsid w:val="00BA0C8A"/>
    <w:rsid w:val="00BA0F97"/>
    <w:rsid w:val="00BA1146"/>
    <w:rsid w:val="00BA13DA"/>
    <w:rsid w:val="00BA20A8"/>
    <w:rsid w:val="00BA3298"/>
    <w:rsid w:val="00BA360B"/>
    <w:rsid w:val="00BA3970"/>
    <w:rsid w:val="00BA3CCC"/>
    <w:rsid w:val="00BA4F6C"/>
    <w:rsid w:val="00BA4FAC"/>
    <w:rsid w:val="00BA503A"/>
    <w:rsid w:val="00BA6455"/>
    <w:rsid w:val="00BA6C69"/>
    <w:rsid w:val="00BA729F"/>
    <w:rsid w:val="00BA7877"/>
    <w:rsid w:val="00BA7C58"/>
    <w:rsid w:val="00BB0053"/>
    <w:rsid w:val="00BB03B4"/>
    <w:rsid w:val="00BB059B"/>
    <w:rsid w:val="00BB0E53"/>
    <w:rsid w:val="00BB1489"/>
    <w:rsid w:val="00BB24A1"/>
    <w:rsid w:val="00BB24F3"/>
    <w:rsid w:val="00BB2634"/>
    <w:rsid w:val="00BB2BB9"/>
    <w:rsid w:val="00BB31E7"/>
    <w:rsid w:val="00BB32BB"/>
    <w:rsid w:val="00BB364F"/>
    <w:rsid w:val="00BB3726"/>
    <w:rsid w:val="00BB396E"/>
    <w:rsid w:val="00BB4CA1"/>
    <w:rsid w:val="00BB4E15"/>
    <w:rsid w:val="00BB63F6"/>
    <w:rsid w:val="00BB73CF"/>
    <w:rsid w:val="00BB7CBB"/>
    <w:rsid w:val="00BC07A3"/>
    <w:rsid w:val="00BC1D01"/>
    <w:rsid w:val="00BC23FA"/>
    <w:rsid w:val="00BC2B69"/>
    <w:rsid w:val="00BC31E4"/>
    <w:rsid w:val="00BC3240"/>
    <w:rsid w:val="00BC43CB"/>
    <w:rsid w:val="00BC4667"/>
    <w:rsid w:val="00BC4721"/>
    <w:rsid w:val="00BC6218"/>
    <w:rsid w:val="00BC66D5"/>
    <w:rsid w:val="00BC7056"/>
    <w:rsid w:val="00BC7A84"/>
    <w:rsid w:val="00BD1251"/>
    <w:rsid w:val="00BD1B2A"/>
    <w:rsid w:val="00BD27BC"/>
    <w:rsid w:val="00BD379C"/>
    <w:rsid w:val="00BD40CC"/>
    <w:rsid w:val="00BD4F22"/>
    <w:rsid w:val="00BD56D0"/>
    <w:rsid w:val="00BD5AED"/>
    <w:rsid w:val="00BD5D28"/>
    <w:rsid w:val="00BD6AD0"/>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4A93"/>
    <w:rsid w:val="00BE4C4C"/>
    <w:rsid w:val="00BE6B77"/>
    <w:rsid w:val="00BE7086"/>
    <w:rsid w:val="00BE7172"/>
    <w:rsid w:val="00BF0532"/>
    <w:rsid w:val="00BF0834"/>
    <w:rsid w:val="00BF0B1B"/>
    <w:rsid w:val="00BF0B5C"/>
    <w:rsid w:val="00BF1E6F"/>
    <w:rsid w:val="00BF2B1F"/>
    <w:rsid w:val="00BF3F53"/>
    <w:rsid w:val="00BF447D"/>
    <w:rsid w:val="00BF4946"/>
    <w:rsid w:val="00BF4F82"/>
    <w:rsid w:val="00BF5008"/>
    <w:rsid w:val="00BF5D85"/>
    <w:rsid w:val="00BF5F36"/>
    <w:rsid w:val="00BF5FC8"/>
    <w:rsid w:val="00BF6825"/>
    <w:rsid w:val="00BF6D3C"/>
    <w:rsid w:val="00BF746D"/>
    <w:rsid w:val="00BF785F"/>
    <w:rsid w:val="00BF78B5"/>
    <w:rsid w:val="00C00CD1"/>
    <w:rsid w:val="00C0103E"/>
    <w:rsid w:val="00C01110"/>
    <w:rsid w:val="00C01C10"/>
    <w:rsid w:val="00C02458"/>
    <w:rsid w:val="00C025BF"/>
    <w:rsid w:val="00C02FE0"/>
    <w:rsid w:val="00C03D0B"/>
    <w:rsid w:val="00C03FDD"/>
    <w:rsid w:val="00C04616"/>
    <w:rsid w:val="00C0461A"/>
    <w:rsid w:val="00C04A28"/>
    <w:rsid w:val="00C04F06"/>
    <w:rsid w:val="00C05142"/>
    <w:rsid w:val="00C05A09"/>
    <w:rsid w:val="00C05DFE"/>
    <w:rsid w:val="00C06C73"/>
    <w:rsid w:val="00C0702A"/>
    <w:rsid w:val="00C07131"/>
    <w:rsid w:val="00C0714D"/>
    <w:rsid w:val="00C07847"/>
    <w:rsid w:val="00C078A2"/>
    <w:rsid w:val="00C07BF6"/>
    <w:rsid w:val="00C109C3"/>
    <w:rsid w:val="00C11347"/>
    <w:rsid w:val="00C118C6"/>
    <w:rsid w:val="00C119AB"/>
    <w:rsid w:val="00C11D41"/>
    <w:rsid w:val="00C12B8E"/>
    <w:rsid w:val="00C13D49"/>
    <w:rsid w:val="00C14175"/>
    <w:rsid w:val="00C14668"/>
    <w:rsid w:val="00C14F63"/>
    <w:rsid w:val="00C1579D"/>
    <w:rsid w:val="00C157F8"/>
    <w:rsid w:val="00C159C2"/>
    <w:rsid w:val="00C16030"/>
    <w:rsid w:val="00C16111"/>
    <w:rsid w:val="00C164D0"/>
    <w:rsid w:val="00C16CC8"/>
    <w:rsid w:val="00C16D2B"/>
    <w:rsid w:val="00C16DDC"/>
    <w:rsid w:val="00C16DEE"/>
    <w:rsid w:val="00C17BDB"/>
    <w:rsid w:val="00C17C40"/>
    <w:rsid w:val="00C17E72"/>
    <w:rsid w:val="00C17EFF"/>
    <w:rsid w:val="00C20552"/>
    <w:rsid w:val="00C20658"/>
    <w:rsid w:val="00C2089E"/>
    <w:rsid w:val="00C20C8E"/>
    <w:rsid w:val="00C20D31"/>
    <w:rsid w:val="00C20FF0"/>
    <w:rsid w:val="00C213BB"/>
    <w:rsid w:val="00C21686"/>
    <w:rsid w:val="00C21B5C"/>
    <w:rsid w:val="00C22608"/>
    <w:rsid w:val="00C22BED"/>
    <w:rsid w:val="00C24153"/>
    <w:rsid w:val="00C242B6"/>
    <w:rsid w:val="00C24671"/>
    <w:rsid w:val="00C249E6"/>
    <w:rsid w:val="00C25922"/>
    <w:rsid w:val="00C25D3B"/>
    <w:rsid w:val="00C263A8"/>
    <w:rsid w:val="00C306CC"/>
    <w:rsid w:val="00C31F93"/>
    <w:rsid w:val="00C32291"/>
    <w:rsid w:val="00C3271A"/>
    <w:rsid w:val="00C3339B"/>
    <w:rsid w:val="00C334B5"/>
    <w:rsid w:val="00C334FA"/>
    <w:rsid w:val="00C336C5"/>
    <w:rsid w:val="00C33A93"/>
    <w:rsid w:val="00C33ACB"/>
    <w:rsid w:val="00C33C11"/>
    <w:rsid w:val="00C33D41"/>
    <w:rsid w:val="00C33E8D"/>
    <w:rsid w:val="00C340E5"/>
    <w:rsid w:val="00C3468D"/>
    <w:rsid w:val="00C351AA"/>
    <w:rsid w:val="00C35432"/>
    <w:rsid w:val="00C37919"/>
    <w:rsid w:val="00C40621"/>
    <w:rsid w:val="00C41691"/>
    <w:rsid w:val="00C41A6A"/>
    <w:rsid w:val="00C420D6"/>
    <w:rsid w:val="00C421AD"/>
    <w:rsid w:val="00C42372"/>
    <w:rsid w:val="00C42B30"/>
    <w:rsid w:val="00C42CEB"/>
    <w:rsid w:val="00C43AFC"/>
    <w:rsid w:val="00C44BB7"/>
    <w:rsid w:val="00C457AC"/>
    <w:rsid w:val="00C4635D"/>
    <w:rsid w:val="00C46B7A"/>
    <w:rsid w:val="00C46F28"/>
    <w:rsid w:val="00C47D5C"/>
    <w:rsid w:val="00C47F6F"/>
    <w:rsid w:val="00C50894"/>
    <w:rsid w:val="00C51221"/>
    <w:rsid w:val="00C513D5"/>
    <w:rsid w:val="00C52205"/>
    <w:rsid w:val="00C52A69"/>
    <w:rsid w:val="00C52B29"/>
    <w:rsid w:val="00C52FD4"/>
    <w:rsid w:val="00C53161"/>
    <w:rsid w:val="00C533DB"/>
    <w:rsid w:val="00C5342D"/>
    <w:rsid w:val="00C538D9"/>
    <w:rsid w:val="00C538EE"/>
    <w:rsid w:val="00C53EE2"/>
    <w:rsid w:val="00C5461A"/>
    <w:rsid w:val="00C54A16"/>
    <w:rsid w:val="00C54A9B"/>
    <w:rsid w:val="00C54D19"/>
    <w:rsid w:val="00C550D3"/>
    <w:rsid w:val="00C55BA1"/>
    <w:rsid w:val="00C57347"/>
    <w:rsid w:val="00C574C6"/>
    <w:rsid w:val="00C5755F"/>
    <w:rsid w:val="00C575B7"/>
    <w:rsid w:val="00C60656"/>
    <w:rsid w:val="00C608A3"/>
    <w:rsid w:val="00C6190E"/>
    <w:rsid w:val="00C6228B"/>
    <w:rsid w:val="00C6246E"/>
    <w:rsid w:val="00C62C63"/>
    <w:rsid w:val="00C637F8"/>
    <w:rsid w:val="00C63A7D"/>
    <w:rsid w:val="00C64547"/>
    <w:rsid w:val="00C64C07"/>
    <w:rsid w:val="00C64EEB"/>
    <w:rsid w:val="00C6519F"/>
    <w:rsid w:val="00C651F6"/>
    <w:rsid w:val="00C659EA"/>
    <w:rsid w:val="00C66159"/>
    <w:rsid w:val="00C667CD"/>
    <w:rsid w:val="00C668EF"/>
    <w:rsid w:val="00C66D74"/>
    <w:rsid w:val="00C66E74"/>
    <w:rsid w:val="00C66F9D"/>
    <w:rsid w:val="00C67B14"/>
    <w:rsid w:val="00C70098"/>
    <w:rsid w:val="00C70658"/>
    <w:rsid w:val="00C70EC7"/>
    <w:rsid w:val="00C715C0"/>
    <w:rsid w:val="00C71B8D"/>
    <w:rsid w:val="00C72935"/>
    <w:rsid w:val="00C7323E"/>
    <w:rsid w:val="00C7341E"/>
    <w:rsid w:val="00C735F4"/>
    <w:rsid w:val="00C73DB0"/>
    <w:rsid w:val="00C74573"/>
    <w:rsid w:val="00C758D2"/>
    <w:rsid w:val="00C75FC5"/>
    <w:rsid w:val="00C7630A"/>
    <w:rsid w:val="00C7643B"/>
    <w:rsid w:val="00C76778"/>
    <w:rsid w:val="00C76BF6"/>
    <w:rsid w:val="00C770AA"/>
    <w:rsid w:val="00C776D2"/>
    <w:rsid w:val="00C77997"/>
    <w:rsid w:val="00C77B3E"/>
    <w:rsid w:val="00C77DBD"/>
    <w:rsid w:val="00C80238"/>
    <w:rsid w:val="00C80271"/>
    <w:rsid w:val="00C804EC"/>
    <w:rsid w:val="00C80759"/>
    <w:rsid w:val="00C807D3"/>
    <w:rsid w:val="00C808C8"/>
    <w:rsid w:val="00C814B8"/>
    <w:rsid w:val="00C827AE"/>
    <w:rsid w:val="00C83265"/>
    <w:rsid w:val="00C83767"/>
    <w:rsid w:val="00C84A05"/>
    <w:rsid w:val="00C84BE8"/>
    <w:rsid w:val="00C84C03"/>
    <w:rsid w:val="00C84D6B"/>
    <w:rsid w:val="00C85967"/>
    <w:rsid w:val="00C8638B"/>
    <w:rsid w:val="00C86B1A"/>
    <w:rsid w:val="00C86E80"/>
    <w:rsid w:val="00C87A51"/>
    <w:rsid w:val="00C87B14"/>
    <w:rsid w:val="00C90E11"/>
    <w:rsid w:val="00C912AB"/>
    <w:rsid w:val="00C917DC"/>
    <w:rsid w:val="00C91DDA"/>
    <w:rsid w:val="00C91E10"/>
    <w:rsid w:val="00C94292"/>
    <w:rsid w:val="00C96CF5"/>
    <w:rsid w:val="00CA1AEC"/>
    <w:rsid w:val="00CA1E72"/>
    <w:rsid w:val="00CA261F"/>
    <w:rsid w:val="00CA29D7"/>
    <w:rsid w:val="00CA29DF"/>
    <w:rsid w:val="00CA2C13"/>
    <w:rsid w:val="00CA407B"/>
    <w:rsid w:val="00CA448D"/>
    <w:rsid w:val="00CA4613"/>
    <w:rsid w:val="00CA50D9"/>
    <w:rsid w:val="00CA578F"/>
    <w:rsid w:val="00CA5F84"/>
    <w:rsid w:val="00CA64DE"/>
    <w:rsid w:val="00CA68E0"/>
    <w:rsid w:val="00CA7157"/>
    <w:rsid w:val="00CA736B"/>
    <w:rsid w:val="00CB0391"/>
    <w:rsid w:val="00CB07A5"/>
    <w:rsid w:val="00CB0AB8"/>
    <w:rsid w:val="00CB0D4A"/>
    <w:rsid w:val="00CB134B"/>
    <w:rsid w:val="00CB1EF2"/>
    <w:rsid w:val="00CB25A0"/>
    <w:rsid w:val="00CB3A11"/>
    <w:rsid w:val="00CB4227"/>
    <w:rsid w:val="00CB471D"/>
    <w:rsid w:val="00CB538F"/>
    <w:rsid w:val="00CB59E9"/>
    <w:rsid w:val="00CB6593"/>
    <w:rsid w:val="00CB65BA"/>
    <w:rsid w:val="00CB664A"/>
    <w:rsid w:val="00CB6795"/>
    <w:rsid w:val="00CB6A1B"/>
    <w:rsid w:val="00CB7267"/>
    <w:rsid w:val="00CB72C5"/>
    <w:rsid w:val="00CB75C5"/>
    <w:rsid w:val="00CB7EB4"/>
    <w:rsid w:val="00CC0233"/>
    <w:rsid w:val="00CC0654"/>
    <w:rsid w:val="00CC0B15"/>
    <w:rsid w:val="00CC1048"/>
    <w:rsid w:val="00CC1777"/>
    <w:rsid w:val="00CC18B8"/>
    <w:rsid w:val="00CC3402"/>
    <w:rsid w:val="00CC3829"/>
    <w:rsid w:val="00CC3AFC"/>
    <w:rsid w:val="00CC4A29"/>
    <w:rsid w:val="00CC5C74"/>
    <w:rsid w:val="00CC5C80"/>
    <w:rsid w:val="00CD00AB"/>
    <w:rsid w:val="00CD089A"/>
    <w:rsid w:val="00CD1214"/>
    <w:rsid w:val="00CD13AA"/>
    <w:rsid w:val="00CD15EC"/>
    <w:rsid w:val="00CD1B37"/>
    <w:rsid w:val="00CD1D81"/>
    <w:rsid w:val="00CD26DE"/>
    <w:rsid w:val="00CD2A36"/>
    <w:rsid w:val="00CD325C"/>
    <w:rsid w:val="00CD3365"/>
    <w:rsid w:val="00CD35FF"/>
    <w:rsid w:val="00CD39BC"/>
    <w:rsid w:val="00CD4C16"/>
    <w:rsid w:val="00CD4F7C"/>
    <w:rsid w:val="00CD5020"/>
    <w:rsid w:val="00CD5244"/>
    <w:rsid w:val="00CD52EF"/>
    <w:rsid w:val="00CD53B2"/>
    <w:rsid w:val="00CD580B"/>
    <w:rsid w:val="00CD64E9"/>
    <w:rsid w:val="00CD6E40"/>
    <w:rsid w:val="00CD7123"/>
    <w:rsid w:val="00CD7188"/>
    <w:rsid w:val="00CD7A6E"/>
    <w:rsid w:val="00CD7C55"/>
    <w:rsid w:val="00CE05DF"/>
    <w:rsid w:val="00CE1124"/>
    <w:rsid w:val="00CE1EAD"/>
    <w:rsid w:val="00CE21B6"/>
    <w:rsid w:val="00CE2C89"/>
    <w:rsid w:val="00CE32E6"/>
    <w:rsid w:val="00CE3C3B"/>
    <w:rsid w:val="00CE4390"/>
    <w:rsid w:val="00CE6401"/>
    <w:rsid w:val="00CE71B9"/>
    <w:rsid w:val="00CE7418"/>
    <w:rsid w:val="00CE7930"/>
    <w:rsid w:val="00CE7B47"/>
    <w:rsid w:val="00CE7F21"/>
    <w:rsid w:val="00CE7F4B"/>
    <w:rsid w:val="00CF0BF3"/>
    <w:rsid w:val="00CF14F8"/>
    <w:rsid w:val="00CF1C12"/>
    <w:rsid w:val="00CF2CDD"/>
    <w:rsid w:val="00CF3ADF"/>
    <w:rsid w:val="00CF4FD3"/>
    <w:rsid w:val="00CF525E"/>
    <w:rsid w:val="00CF536E"/>
    <w:rsid w:val="00CF5FD3"/>
    <w:rsid w:val="00CF67F7"/>
    <w:rsid w:val="00CF698F"/>
    <w:rsid w:val="00CF6CB1"/>
    <w:rsid w:val="00CF7388"/>
    <w:rsid w:val="00CF7513"/>
    <w:rsid w:val="00CF77D5"/>
    <w:rsid w:val="00CF7845"/>
    <w:rsid w:val="00CF788A"/>
    <w:rsid w:val="00CF7D7C"/>
    <w:rsid w:val="00D003FC"/>
    <w:rsid w:val="00D00C2C"/>
    <w:rsid w:val="00D0100F"/>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9D1"/>
    <w:rsid w:val="00D06BEF"/>
    <w:rsid w:val="00D07767"/>
    <w:rsid w:val="00D07C8F"/>
    <w:rsid w:val="00D07D16"/>
    <w:rsid w:val="00D10FB0"/>
    <w:rsid w:val="00D1153A"/>
    <w:rsid w:val="00D1154A"/>
    <w:rsid w:val="00D11E9B"/>
    <w:rsid w:val="00D12472"/>
    <w:rsid w:val="00D14565"/>
    <w:rsid w:val="00D1513A"/>
    <w:rsid w:val="00D161E8"/>
    <w:rsid w:val="00D163C3"/>
    <w:rsid w:val="00D1668A"/>
    <w:rsid w:val="00D1671F"/>
    <w:rsid w:val="00D16AE6"/>
    <w:rsid w:val="00D16B63"/>
    <w:rsid w:val="00D17150"/>
    <w:rsid w:val="00D17B51"/>
    <w:rsid w:val="00D22992"/>
    <w:rsid w:val="00D23156"/>
    <w:rsid w:val="00D231F0"/>
    <w:rsid w:val="00D23EA3"/>
    <w:rsid w:val="00D242D7"/>
    <w:rsid w:val="00D24594"/>
    <w:rsid w:val="00D245F8"/>
    <w:rsid w:val="00D264D4"/>
    <w:rsid w:val="00D269BF"/>
    <w:rsid w:val="00D26B5B"/>
    <w:rsid w:val="00D27357"/>
    <w:rsid w:val="00D274AD"/>
    <w:rsid w:val="00D301DA"/>
    <w:rsid w:val="00D30EA2"/>
    <w:rsid w:val="00D31402"/>
    <w:rsid w:val="00D3156A"/>
    <w:rsid w:val="00D31A53"/>
    <w:rsid w:val="00D328A7"/>
    <w:rsid w:val="00D32AE3"/>
    <w:rsid w:val="00D33C87"/>
    <w:rsid w:val="00D33EBF"/>
    <w:rsid w:val="00D342D0"/>
    <w:rsid w:val="00D34703"/>
    <w:rsid w:val="00D3538B"/>
    <w:rsid w:val="00D356FB"/>
    <w:rsid w:val="00D3687D"/>
    <w:rsid w:val="00D36C78"/>
    <w:rsid w:val="00D36E43"/>
    <w:rsid w:val="00D3735D"/>
    <w:rsid w:val="00D37C0D"/>
    <w:rsid w:val="00D4196D"/>
    <w:rsid w:val="00D42502"/>
    <w:rsid w:val="00D434EC"/>
    <w:rsid w:val="00D44FA9"/>
    <w:rsid w:val="00D45420"/>
    <w:rsid w:val="00D4550F"/>
    <w:rsid w:val="00D45AD9"/>
    <w:rsid w:val="00D46A1A"/>
    <w:rsid w:val="00D4744B"/>
    <w:rsid w:val="00D478E4"/>
    <w:rsid w:val="00D50648"/>
    <w:rsid w:val="00D51786"/>
    <w:rsid w:val="00D519A9"/>
    <w:rsid w:val="00D51CC3"/>
    <w:rsid w:val="00D5288D"/>
    <w:rsid w:val="00D52A4A"/>
    <w:rsid w:val="00D52C38"/>
    <w:rsid w:val="00D52D48"/>
    <w:rsid w:val="00D53445"/>
    <w:rsid w:val="00D53983"/>
    <w:rsid w:val="00D540FF"/>
    <w:rsid w:val="00D5478F"/>
    <w:rsid w:val="00D547DF"/>
    <w:rsid w:val="00D54A9D"/>
    <w:rsid w:val="00D54CD6"/>
    <w:rsid w:val="00D558DE"/>
    <w:rsid w:val="00D55CDE"/>
    <w:rsid w:val="00D5611D"/>
    <w:rsid w:val="00D56530"/>
    <w:rsid w:val="00D56E8B"/>
    <w:rsid w:val="00D609CC"/>
    <w:rsid w:val="00D60D07"/>
    <w:rsid w:val="00D619FE"/>
    <w:rsid w:val="00D61A1A"/>
    <w:rsid w:val="00D63729"/>
    <w:rsid w:val="00D638F4"/>
    <w:rsid w:val="00D64193"/>
    <w:rsid w:val="00D643FF"/>
    <w:rsid w:val="00D649F1"/>
    <w:rsid w:val="00D657E9"/>
    <w:rsid w:val="00D65E59"/>
    <w:rsid w:val="00D6660B"/>
    <w:rsid w:val="00D669B0"/>
    <w:rsid w:val="00D66D67"/>
    <w:rsid w:val="00D67E65"/>
    <w:rsid w:val="00D70DF5"/>
    <w:rsid w:val="00D71A25"/>
    <w:rsid w:val="00D71B52"/>
    <w:rsid w:val="00D71BF7"/>
    <w:rsid w:val="00D71C44"/>
    <w:rsid w:val="00D71D2A"/>
    <w:rsid w:val="00D72732"/>
    <w:rsid w:val="00D72E30"/>
    <w:rsid w:val="00D731AD"/>
    <w:rsid w:val="00D73427"/>
    <w:rsid w:val="00D7381A"/>
    <w:rsid w:val="00D73F11"/>
    <w:rsid w:val="00D740C8"/>
    <w:rsid w:val="00D7452F"/>
    <w:rsid w:val="00D74671"/>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25C7"/>
    <w:rsid w:val="00D8324A"/>
    <w:rsid w:val="00D8329D"/>
    <w:rsid w:val="00D83C40"/>
    <w:rsid w:val="00D8423C"/>
    <w:rsid w:val="00D849AB"/>
    <w:rsid w:val="00D84BC1"/>
    <w:rsid w:val="00D85125"/>
    <w:rsid w:val="00D86115"/>
    <w:rsid w:val="00D86AA7"/>
    <w:rsid w:val="00D86B2E"/>
    <w:rsid w:val="00D87457"/>
    <w:rsid w:val="00D87C3F"/>
    <w:rsid w:val="00D87DB9"/>
    <w:rsid w:val="00D9056C"/>
    <w:rsid w:val="00D91150"/>
    <w:rsid w:val="00D9125A"/>
    <w:rsid w:val="00D9155D"/>
    <w:rsid w:val="00D91AB2"/>
    <w:rsid w:val="00D91D28"/>
    <w:rsid w:val="00D920D7"/>
    <w:rsid w:val="00D92D9C"/>
    <w:rsid w:val="00D93E5D"/>
    <w:rsid w:val="00D942B7"/>
    <w:rsid w:val="00D94FBF"/>
    <w:rsid w:val="00D951A5"/>
    <w:rsid w:val="00D95EF9"/>
    <w:rsid w:val="00D965D6"/>
    <w:rsid w:val="00D972A6"/>
    <w:rsid w:val="00D9767F"/>
    <w:rsid w:val="00DA0424"/>
    <w:rsid w:val="00DA0907"/>
    <w:rsid w:val="00DA17C0"/>
    <w:rsid w:val="00DA23A1"/>
    <w:rsid w:val="00DA24FA"/>
    <w:rsid w:val="00DA2B46"/>
    <w:rsid w:val="00DA2C17"/>
    <w:rsid w:val="00DA2C34"/>
    <w:rsid w:val="00DA433E"/>
    <w:rsid w:val="00DA44E3"/>
    <w:rsid w:val="00DA4CBE"/>
    <w:rsid w:val="00DA4CC4"/>
    <w:rsid w:val="00DA50C8"/>
    <w:rsid w:val="00DA5513"/>
    <w:rsid w:val="00DA66CE"/>
    <w:rsid w:val="00DA7150"/>
    <w:rsid w:val="00DA73BF"/>
    <w:rsid w:val="00DB0687"/>
    <w:rsid w:val="00DB08A9"/>
    <w:rsid w:val="00DB0FA4"/>
    <w:rsid w:val="00DB11A6"/>
    <w:rsid w:val="00DB224B"/>
    <w:rsid w:val="00DB235B"/>
    <w:rsid w:val="00DB2684"/>
    <w:rsid w:val="00DB2C6F"/>
    <w:rsid w:val="00DB312C"/>
    <w:rsid w:val="00DB3AF6"/>
    <w:rsid w:val="00DB42F1"/>
    <w:rsid w:val="00DB47DE"/>
    <w:rsid w:val="00DB4E2F"/>
    <w:rsid w:val="00DB52AC"/>
    <w:rsid w:val="00DB5AAA"/>
    <w:rsid w:val="00DB6044"/>
    <w:rsid w:val="00DB6663"/>
    <w:rsid w:val="00DB67A2"/>
    <w:rsid w:val="00DB68CD"/>
    <w:rsid w:val="00DB6A39"/>
    <w:rsid w:val="00DB7301"/>
    <w:rsid w:val="00DC17AE"/>
    <w:rsid w:val="00DC1991"/>
    <w:rsid w:val="00DC1E60"/>
    <w:rsid w:val="00DC1ED4"/>
    <w:rsid w:val="00DC23BE"/>
    <w:rsid w:val="00DC2CCC"/>
    <w:rsid w:val="00DC3308"/>
    <w:rsid w:val="00DC370E"/>
    <w:rsid w:val="00DC3866"/>
    <w:rsid w:val="00DC39C2"/>
    <w:rsid w:val="00DC3E27"/>
    <w:rsid w:val="00DC4116"/>
    <w:rsid w:val="00DC4247"/>
    <w:rsid w:val="00DC4CDA"/>
    <w:rsid w:val="00DC53C9"/>
    <w:rsid w:val="00DC572C"/>
    <w:rsid w:val="00DC678E"/>
    <w:rsid w:val="00DC6946"/>
    <w:rsid w:val="00DC6AF7"/>
    <w:rsid w:val="00DC70D6"/>
    <w:rsid w:val="00DC71A4"/>
    <w:rsid w:val="00DC72D4"/>
    <w:rsid w:val="00DC7B49"/>
    <w:rsid w:val="00DD0F22"/>
    <w:rsid w:val="00DD1275"/>
    <w:rsid w:val="00DD131F"/>
    <w:rsid w:val="00DD14D3"/>
    <w:rsid w:val="00DD3206"/>
    <w:rsid w:val="00DD35BF"/>
    <w:rsid w:val="00DD3B04"/>
    <w:rsid w:val="00DD3B6E"/>
    <w:rsid w:val="00DD4625"/>
    <w:rsid w:val="00DD4A55"/>
    <w:rsid w:val="00DD4CD6"/>
    <w:rsid w:val="00DD4CF2"/>
    <w:rsid w:val="00DD5525"/>
    <w:rsid w:val="00DD5EFE"/>
    <w:rsid w:val="00DD5F77"/>
    <w:rsid w:val="00DD640E"/>
    <w:rsid w:val="00DD65C8"/>
    <w:rsid w:val="00DD70D7"/>
    <w:rsid w:val="00DD73F8"/>
    <w:rsid w:val="00DD7B87"/>
    <w:rsid w:val="00DE0BE7"/>
    <w:rsid w:val="00DE101D"/>
    <w:rsid w:val="00DE1EDB"/>
    <w:rsid w:val="00DE2D10"/>
    <w:rsid w:val="00DE3732"/>
    <w:rsid w:val="00DE495C"/>
    <w:rsid w:val="00DE49E6"/>
    <w:rsid w:val="00DE4CE6"/>
    <w:rsid w:val="00DE5584"/>
    <w:rsid w:val="00DE55FA"/>
    <w:rsid w:val="00DE5ADF"/>
    <w:rsid w:val="00DE5D0D"/>
    <w:rsid w:val="00DE62AD"/>
    <w:rsid w:val="00DE6CC1"/>
    <w:rsid w:val="00DE6CFA"/>
    <w:rsid w:val="00DE753D"/>
    <w:rsid w:val="00DE78F9"/>
    <w:rsid w:val="00DF04D6"/>
    <w:rsid w:val="00DF0F13"/>
    <w:rsid w:val="00DF14F2"/>
    <w:rsid w:val="00DF1FB7"/>
    <w:rsid w:val="00DF1FE2"/>
    <w:rsid w:val="00DF34F0"/>
    <w:rsid w:val="00DF386C"/>
    <w:rsid w:val="00DF3FA5"/>
    <w:rsid w:val="00DF4187"/>
    <w:rsid w:val="00DF4E81"/>
    <w:rsid w:val="00DF64CC"/>
    <w:rsid w:val="00DF698B"/>
    <w:rsid w:val="00DF7271"/>
    <w:rsid w:val="00E00B47"/>
    <w:rsid w:val="00E00CAF"/>
    <w:rsid w:val="00E01DE7"/>
    <w:rsid w:val="00E01EF4"/>
    <w:rsid w:val="00E02B24"/>
    <w:rsid w:val="00E02D19"/>
    <w:rsid w:val="00E02EEA"/>
    <w:rsid w:val="00E033D4"/>
    <w:rsid w:val="00E03BDC"/>
    <w:rsid w:val="00E045F3"/>
    <w:rsid w:val="00E048EA"/>
    <w:rsid w:val="00E04D2C"/>
    <w:rsid w:val="00E051C6"/>
    <w:rsid w:val="00E05A46"/>
    <w:rsid w:val="00E06AE5"/>
    <w:rsid w:val="00E06B39"/>
    <w:rsid w:val="00E06CE4"/>
    <w:rsid w:val="00E07844"/>
    <w:rsid w:val="00E07CD8"/>
    <w:rsid w:val="00E1026C"/>
    <w:rsid w:val="00E11032"/>
    <w:rsid w:val="00E12E67"/>
    <w:rsid w:val="00E13F78"/>
    <w:rsid w:val="00E14323"/>
    <w:rsid w:val="00E14B48"/>
    <w:rsid w:val="00E159A4"/>
    <w:rsid w:val="00E16259"/>
    <w:rsid w:val="00E1652A"/>
    <w:rsid w:val="00E173C4"/>
    <w:rsid w:val="00E1794E"/>
    <w:rsid w:val="00E17E1F"/>
    <w:rsid w:val="00E20715"/>
    <w:rsid w:val="00E20D95"/>
    <w:rsid w:val="00E20F69"/>
    <w:rsid w:val="00E2110B"/>
    <w:rsid w:val="00E21A08"/>
    <w:rsid w:val="00E21A5A"/>
    <w:rsid w:val="00E21FD0"/>
    <w:rsid w:val="00E2252E"/>
    <w:rsid w:val="00E22EC6"/>
    <w:rsid w:val="00E23021"/>
    <w:rsid w:val="00E2381C"/>
    <w:rsid w:val="00E23C11"/>
    <w:rsid w:val="00E23F5E"/>
    <w:rsid w:val="00E23FDF"/>
    <w:rsid w:val="00E2467E"/>
    <w:rsid w:val="00E24776"/>
    <w:rsid w:val="00E24EBE"/>
    <w:rsid w:val="00E26476"/>
    <w:rsid w:val="00E264C6"/>
    <w:rsid w:val="00E26F78"/>
    <w:rsid w:val="00E27B91"/>
    <w:rsid w:val="00E27F03"/>
    <w:rsid w:val="00E30BBC"/>
    <w:rsid w:val="00E30C6F"/>
    <w:rsid w:val="00E3132C"/>
    <w:rsid w:val="00E31F34"/>
    <w:rsid w:val="00E323CC"/>
    <w:rsid w:val="00E32420"/>
    <w:rsid w:val="00E32715"/>
    <w:rsid w:val="00E3279F"/>
    <w:rsid w:val="00E32A28"/>
    <w:rsid w:val="00E3396E"/>
    <w:rsid w:val="00E347CA"/>
    <w:rsid w:val="00E349B7"/>
    <w:rsid w:val="00E3562D"/>
    <w:rsid w:val="00E3578F"/>
    <w:rsid w:val="00E360DC"/>
    <w:rsid w:val="00E364CD"/>
    <w:rsid w:val="00E36659"/>
    <w:rsid w:val="00E3679D"/>
    <w:rsid w:val="00E37A8A"/>
    <w:rsid w:val="00E37A99"/>
    <w:rsid w:val="00E37BE4"/>
    <w:rsid w:val="00E37F53"/>
    <w:rsid w:val="00E405D8"/>
    <w:rsid w:val="00E4137E"/>
    <w:rsid w:val="00E41803"/>
    <w:rsid w:val="00E4259E"/>
    <w:rsid w:val="00E425CD"/>
    <w:rsid w:val="00E426DF"/>
    <w:rsid w:val="00E4287B"/>
    <w:rsid w:val="00E42B0B"/>
    <w:rsid w:val="00E43002"/>
    <w:rsid w:val="00E433EF"/>
    <w:rsid w:val="00E43E33"/>
    <w:rsid w:val="00E44158"/>
    <w:rsid w:val="00E44785"/>
    <w:rsid w:val="00E44A9E"/>
    <w:rsid w:val="00E44DF8"/>
    <w:rsid w:val="00E4507B"/>
    <w:rsid w:val="00E454CF"/>
    <w:rsid w:val="00E46F73"/>
    <w:rsid w:val="00E46FC2"/>
    <w:rsid w:val="00E472DB"/>
    <w:rsid w:val="00E474AA"/>
    <w:rsid w:val="00E47594"/>
    <w:rsid w:val="00E503A5"/>
    <w:rsid w:val="00E50409"/>
    <w:rsid w:val="00E50956"/>
    <w:rsid w:val="00E51075"/>
    <w:rsid w:val="00E514BD"/>
    <w:rsid w:val="00E522E0"/>
    <w:rsid w:val="00E52385"/>
    <w:rsid w:val="00E528D8"/>
    <w:rsid w:val="00E52DDA"/>
    <w:rsid w:val="00E532F0"/>
    <w:rsid w:val="00E533FF"/>
    <w:rsid w:val="00E53BD6"/>
    <w:rsid w:val="00E53DB1"/>
    <w:rsid w:val="00E54A96"/>
    <w:rsid w:val="00E55001"/>
    <w:rsid w:val="00E55D96"/>
    <w:rsid w:val="00E56958"/>
    <w:rsid w:val="00E569A3"/>
    <w:rsid w:val="00E5712F"/>
    <w:rsid w:val="00E571C3"/>
    <w:rsid w:val="00E5773F"/>
    <w:rsid w:val="00E5798B"/>
    <w:rsid w:val="00E6047F"/>
    <w:rsid w:val="00E60D8E"/>
    <w:rsid w:val="00E62303"/>
    <w:rsid w:val="00E62322"/>
    <w:rsid w:val="00E6247A"/>
    <w:rsid w:val="00E62F10"/>
    <w:rsid w:val="00E63A2D"/>
    <w:rsid w:val="00E64051"/>
    <w:rsid w:val="00E6468F"/>
    <w:rsid w:val="00E652D6"/>
    <w:rsid w:val="00E657FC"/>
    <w:rsid w:val="00E6625D"/>
    <w:rsid w:val="00E662D8"/>
    <w:rsid w:val="00E66D50"/>
    <w:rsid w:val="00E66F21"/>
    <w:rsid w:val="00E6782C"/>
    <w:rsid w:val="00E67842"/>
    <w:rsid w:val="00E67D29"/>
    <w:rsid w:val="00E67EB6"/>
    <w:rsid w:val="00E70343"/>
    <w:rsid w:val="00E7109F"/>
    <w:rsid w:val="00E71177"/>
    <w:rsid w:val="00E71351"/>
    <w:rsid w:val="00E715B1"/>
    <w:rsid w:val="00E715E7"/>
    <w:rsid w:val="00E71798"/>
    <w:rsid w:val="00E72FDF"/>
    <w:rsid w:val="00E73770"/>
    <w:rsid w:val="00E741BA"/>
    <w:rsid w:val="00E74C94"/>
    <w:rsid w:val="00E74EFE"/>
    <w:rsid w:val="00E75033"/>
    <w:rsid w:val="00E75450"/>
    <w:rsid w:val="00E75A6A"/>
    <w:rsid w:val="00E7750C"/>
    <w:rsid w:val="00E777E6"/>
    <w:rsid w:val="00E77CDC"/>
    <w:rsid w:val="00E77D38"/>
    <w:rsid w:val="00E8019D"/>
    <w:rsid w:val="00E80C4A"/>
    <w:rsid w:val="00E81469"/>
    <w:rsid w:val="00E81C8F"/>
    <w:rsid w:val="00E81E14"/>
    <w:rsid w:val="00E82204"/>
    <w:rsid w:val="00E824B6"/>
    <w:rsid w:val="00E82719"/>
    <w:rsid w:val="00E82A5D"/>
    <w:rsid w:val="00E82AA3"/>
    <w:rsid w:val="00E82D3F"/>
    <w:rsid w:val="00E83472"/>
    <w:rsid w:val="00E837A0"/>
    <w:rsid w:val="00E83BEC"/>
    <w:rsid w:val="00E83E3D"/>
    <w:rsid w:val="00E83F8D"/>
    <w:rsid w:val="00E84403"/>
    <w:rsid w:val="00E84684"/>
    <w:rsid w:val="00E84728"/>
    <w:rsid w:val="00E847CD"/>
    <w:rsid w:val="00E84B22"/>
    <w:rsid w:val="00E84B6C"/>
    <w:rsid w:val="00E84C3F"/>
    <w:rsid w:val="00E85425"/>
    <w:rsid w:val="00E856AE"/>
    <w:rsid w:val="00E85AB8"/>
    <w:rsid w:val="00E85F45"/>
    <w:rsid w:val="00E869B5"/>
    <w:rsid w:val="00E86A7E"/>
    <w:rsid w:val="00E91521"/>
    <w:rsid w:val="00E91B18"/>
    <w:rsid w:val="00E91F53"/>
    <w:rsid w:val="00E9294B"/>
    <w:rsid w:val="00E93708"/>
    <w:rsid w:val="00E93A39"/>
    <w:rsid w:val="00E93DB3"/>
    <w:rsid w:val="00E9430D"/>
    <w:rsid w:val="00E943CB"/>
    <w:rsid w:val="00E944FB"/>
    <w:rsid w:val="00E94BB2"/>
    <w:rsid w:val="00E94E8F"/>
    <w:rsid w:val="00E96452"/>
    <w:rsid w:val="00E96817"/>
    <w:rsid w:val="00E96EDD"/>
    <w:rsid w:val="00E9784E"/>
    <w:rsid w:val="00E9787F"/>
    <w:rsid w:val="00E97A27"/>
    <w:rsid w:val="00EA0909"/>
    <w:rsid w:val="00EA11EF"/>
    <w:rsid w:val="00EA16AB"/>
    <w:rsid w:val="00EA17B3"/>
    <w:rsid w:val="00EA18B2"/>
    <w:rsid w:val="00EA1C82"/>
    <w:rsid w:val="00EA1D17"/>
    <w:rsid w:val="00EA2341"/>
    <w:rsid w:val="00EA256F"/>
    <w:rsid w:val="00EA2D44"/>
    <w:rsid w:val="00EA2DC2"/>
    <w:rsid w:val="00EA308C"/>
    <w:rsid w:val="00EA34F5"/>
    <w:rsid w:val="00EA3B57"/>
    <w:rsid w:val="00EA3B98"/>
    <w:rsid w:val="00EA3C86"/>
    <w:rsid w:val="00EA4AE0"/>
    <w:rsid w:val="00EA5202"/>
    <w:rsid w:val="00EA5F48"/>
    <w:rsid w:val="00EA6279"/>
    <w:rsid w:val="00EA64D3"/>
    <w:rsid w:val="00EA66B8"/>
    <w:rsid w:val="00EA6AFF"/>
    <w:rsid w:val="00EA72AE"/>
    <w:rsid w:val="00EA7AC5"/>
    <w:rsid w:val="00EA7DB2"/>
    <w:rsid w:val="00EB0262"/>
    <w:rsid w:val="00EB0C10"/>
    <w:rsid w:val="00EB2241"/>
    <w:rsid w:val="00EB386D"/>
    <w:rsid w:val="00EB3C86"/>
    <w:rsid w:val="00EB4D7A"/>
    <w:rsid w:val="00EB4E56"/>
    <w:rsid w:val="00EB5A34"/>
    <w:rsid w:val="00EB6627"/>
    <w:rsid w:val="00EB6EA4"/>
    <w:rsid w:val="00EB72B1"/>
    <w:rsid w:val="00EC093A"/>
    <w:rsid w:val="00EC0DE4"/>
    <w:rsid w:val="00EC12E6"/>
    <w:rsid w:val="00EC1E21"/>
    <w:rsid w:val="00EC26FB"/>
    <w:rsid w:val="00EC2CE0"/>
    <w:rsid w:val="00EC313A"/>
    <w:rsid w:val="00EC3420"/>
    <w:rsid w:val="00EC36C8"/>
    <w:rsid w:val="00EC39FA"/>
    <w:rsid w:val="00EC3D8C"/>
    <w:rsid w:val="00EC3F54"/>
    <w:rsid w:val="00EC43B9"/>
    <w:rsid w:val="00EC4894"/>
    <w:rsid w:val="00EC4B00"/>
    <w:rsid w:val="00EC4F66"/>
    <w:rsid w:val="00EC5145"/>
    <w:rsid w:val="00EC54F5"/>
    <w:rsid w:val="00EC5830"/>
    <w:rsid w:val="00EC5C6A"/>
    <w:rsid w:val="00EC614B"/>
    <w:rsid w:val="00EC6411"/>
    <w:rsid w:val="00EC68D0"/>
    <w:rsid w:val="00ED02AE"/>
    <w:rsid w:val="00ED04FC"/>
    <w:rsid w:val="00ED0825"/>
    <w:rsid w:val="00ED0AAE"/>
    <w:rsid w:val="00ED0DA6"/>
    <w:rsid w:val="00ED15B7"/>
    <w:rsid w:val="00ED19A0"/>
    <w:rsid w:val="00ED2697"/>
    <w:rsid w:val="00ED31F9"/>
    <w:rsid w:val="00ED35D2"/>
    <w:rsid w:val="00ED3785"/>
    <w:rsid w:val="00ED3FC4"/>
    <w:rsid w:val="00ED4275"/>
    <w:rsid w:val="00ED4533"/>
    <w:rsid w:val="00ED4E37"/>
    <w:rsid w:val="00ED56E0"/>
    <w:rsid w:val="00ED5E18"/>
    <w:rsid w:val="00ED6228"/>
    <w:rsid w:val="00ED6AFC"/>
    <w:rsid w:val="00ED6C8C"/>
    <w:rsid w:val="00ED7BE1"/>
    <w:rsid w:val="00EE182E"/>
    <w:rsid w:val="00EE1B3D"/>
    <w:rsid w:val="00EE1E48"/>
    <w:rsid w:val="00EE2E38"/>
    <w:rsid w:val="00EE3048"/>
    <w:rsid w:val="00EE31A5"/>
    <w:rsid w:val="00EE3621"/>
    <w:rsid w:val="00EE3D08"/>
    <w:rsid w:val="00EE3F58"/>
    <w:rsid w:val="00EE419C"/>
    <w:rsid w:val="00EE4227"/>
    <w:rsid w:val="00EE44FA"/>
    <w:rsid w:val="00EE483A"/>
    <w:rsid w:val="00EE4B08"/>
    <w:rsid w:val="00EE5139"/>
    <w:rsid w:val="00EE5265"/>
    <w:rsid w:val="00EE53A7"/>
    <w:rsid w:val="00EE660A"/>
    <w:rsid w:val="00EE6930"/>
    <w:rsid w:val="00EF0A46"/>
    <w:rsid w:val="00EF0BA6"/>
    <w:rsid w:val="00EF0FC1"/>
    <w:rsid w:val="00EF14C1"/>
    <w:rsid w:val="00EF1859"/>
    <w:rsid w:val="00EF1AD4"/>
    <w:rsid w:val="00EF323D"/>
    <w:rsid w:val="00EF3727"/>
    <w:rsid w:val="00EF3AC9"/>
    <w:rsid w:val="00EF3E05"/>
    <w:rsid w:val="00EF40B4"/>
    <w:rsid w:val="00EF512C"/>
    <w:rsid w:val="00EF6823"/>
    <w:rsid w:val="00EF72EE"/>
    <w:rsid w:val="00F004D8"/>
    <w:rsid w:val="00F006A5"/>
    <w:rsid w:val="00F00E51"/>
    <w:rsid w:val="00F0123B"/>
    <w:rsid w:val="00F01937"/>
    <w:rsid w:val="00F03514"/>
    <w:rsid w:val="00F0365F"/>
    <w:rsid w:val="00F037BA"/>
    <w:rsid w:val="00F0383D"/>
    <w:rsid w:val="00F045B5"/>
    <w:rsid w:val="00F048A6"/>
    <w:rsid w:val="00F05437"/>
    <w:rsid w:val="00F05769"/>
    <w:rsid w:val="00F0606C"/>
    <w:rsid w:val="00F0636A"/>
    <w:rsid w:val="00F073EA"/>
    <w:rsid w:val="00F074AA"/>
    <w:rsid w:val="00F076C8"/>
    <w:rsid w:val="00F079E6"/>
    <w:rsid w:val="00F07E18"/>
    <w:rsid w:val="00F1101A"/>
    <w:rsid w:val="00F110D0"/>
    <w:rsid w:val="00F117A3"/>
    <w:rsid w:val="00F11E94"/>
    <w:rsid w:val="00F122BD"/>
    <w:rsid w:val="00F13685"/>
    <w:rsid w:val="00F13AED"/>
    <w:rsid w:val="00F13B25"/>
    <w:rsid w:val="00F14793"/>
    <w:rsid w:val="00F14A79"/>
    <w:rsid w:val="00F150F1"/>
    <w:rsid w:val="00F153FD"/>
    <w:rsid w:val="00F15F56"/>
    <w:rsid w:val="00F15FC0"/>
    <w:rsid w:val="00F1759E"/>
    <w:rsid w:val="00F17760"/>
    <w:rsid w:val="00F17C38"/>
    <w:rsid w:val="00F200CB"/>
    <w:rsid w:val="00F203A3"/>
    <w:rsid w:val="00F20911"/>
    <w:rsid w:val="00F20AEA"/>
    <w:rsid w:val="00F20B4C"/>
    <w:rsid w:val="00F21196"/>
    <w:rsid w:val="00F21916"/>
    <w:rsid w:val="00F21A4C"/>
    <w:rsid w:val="00F21E1E"/>
    <w:rsid w:val="00F21F68"/>
    <w:rsid w:val="00F22001"/>
    <w:rsid w:val="00F222B9"/>
    <w:rsid w:val="00F224A4"/>
    <w:rsid w:val="00F22798"/>
    <w:rsid w:val="00F231C3"/>
    <w:rsid w:val="00F24085"/>
    <w:rsid w:val="00F248E6"/>
    <w:rsid w:val="00F24B37"/>
    <w:rsid w:val="00F24D5D"/>
    <w:rsid w:val="00F24DCD"/>
    <w:rsid w:val="00F25949"/>
    <w:rsid w:val="00F25CC4"/>
    <w:rsid w:val="00F25D9E"/>
    <w:rsid w:val="00F25E0E"/>
    <w:rsid w:val="00F27B5A"/>
    <w:rsid w:val="00F30ED0"/>
    <w:rsid w:val="00F30FBD"/>
    <w:rsid w:val="00F34140"/>
    <w:rsid w:val="00F345F6"/>
    <w:rsid w:val="00F36C92"/>
    <w:rsid w:val="00F36D18"/>
    <w:rsid w:val="00F36EEB"/>
    <w:rsid w:val="00F37BBF"/>
    <w:rsid w:val="00F40DD4"/>
    <w:rsid w:val="00F40EAE"/>
    <w:rsid w:val="00F410C6"/>
    <w:rsid w:val="00F41A86"/>
    <w:rsid w:val="00F41E5B"/>
    <w:rsid w:val="00F443FC"/>
    <w:rsid w:val="00F44BB5"/>
    <w:rsid w:val="00F44D48"/>
    <w:rsid w:val="00F45B0D"/>
    <w:rsid w:val="00F46327"/>
    <w:rsid w:val="00F479F0"/>
    <w:rsid w:val="00F47FB5"/>
    <w:rsid w:val="00F504C7"/>
    <w:rsid w:val="00F50AF7"/>
    <w:rsid w:val="00F50B8D"/>
    <w:rsid w:val="00F50CAB"/>
    <w:rsid w:val="00F51296"/>
    <w:rsid w:val="00F5184E"/>
    <w:rsid w:val="00F524C1"/>
    <w:rsid w:val="00F52B06"/>
    <w:rsid w:val="00F52B7D"/>
    <w:rsid w:val="00F53988"/>
    <w:rsid w:val="00F53E4E"/>
    <w:rsid w:val="00F540AE"/>
    <w:rsid w:val="00F54116"/>
    <w:rsid w:val="00F54EE8"/>
    <w:rsid w:val="00F55407"/>
    <w:rsid w:val="00F554DC"/>
    <w:rsid w:val="00F55566"/>
    <w:rsid w:val="00F5579A"/>
    <w:rsid w:val="00F55FA5"/>
    <w:rsid w:val="00F56A01"/>
    <w:rsid w:val="00F57385"/>
    <w:rsid w:val="00F57537"/>
    <w:rsid w:val="00F5791E"/>
    <w:rsid w:val="00F57B6A"/>
    <w:rsid w:val="00F601F5"/>
    <w:rsid w:val="00F6131B"/>
    <w:rsid w:val="00F62FF2"/>
    <w:rsid w:val="00F6412E"/>
    <w:rsid w:val="00F648D6"/>
    <w:rsid w:val="00F65CA1"/>
    <w:rsid w:val="00F66109"/>
    <w:rsid w:val="00F665A4"/>
    <w:rsid w:val="00F66924"/>
    <w:rsid w:val="00F66B1B"/>
    <w:rsid w:val="00F67681"/>
    <w:rsid w:val="00F67981"/>
    <w:rsid w:val="00F67D6D"/>
    <w:rsid w:val="00F70A5E"/>
    <w:rsid w:val="00F7127F"/>
    <w:rsid w:val="00F7189B"/>
    <w:rsid w:val="00F72D7E"/>
    <w:rsid w:val="00F735DD"/>
    <w:rsid w:val="00F73D85"/>
    <w:rsid w:val="00F74365"/>
    <w:rsid w:val="00F74B39"/>
    <w:rsid w:val="00F75648"/>
    <w:rsid w:val="00F75652"/>
    <w:rsid w:val="00F75683"/>
    <w:rsid w:val="00F7594F"/>
    <w:rsid w:val="00F761FD"/>
    <w:rsid w:val="00F76F1E"/>
    <w:rsid w:val="00F7729B"/>
    <w:rsid w:val="00F77A5E"/>
    <w:rsid w:val="00F77BB0"/>
    <w:rsid w:val="00F80C79"/>
    <w:rsid w:val="00F81AEA"/>
    <w:rsid w:val="00F8245D"/>
    <w:rsid w:val="00F827BA"/>
    <w:rsid w:val="00F83436"/>
    <w:rsid w:val="00F8374E"/>
    <w:rsid w:val="00F83CE3"/>
    <w:rsid w:val="00F841E8"/>
    <w:rsid w:val="00F85220"/>
    <w:rsid w:val="00F8590F"/>
    <w:rsid w:val="00F85AC2"/>
    <w:rsid w:val="00F85CEB"/>
    <w:rsid w:val="00F86116"/>
    <w:rsid w:val="00F862F7"/>
    <w:rsid w:val="00F86DC0"/>
    <w:rsid w:val="00F87478"/>
    <w:rsid w:val="00F90830"/>
    <w:rsid w:val="00F9089E"/>
    <w:rsid w:val="00F913DD"/>
    <w:rsid w:val="00F91B4A"/>
    <w:rsid w:val="00F92BB6"/>
    <w:rsid w:val="00F931E3"/>
    <w:rsid w:val="00F932EE"/>
    <w:rsid w:val="00F936A7"/>
    <w:rsid w:val="00F94E17"/>
    <w:rsid w:val="00F95E0D"/>
    <w:rsid w:val="00F961E1"/>
    <w:rsid w:val="00F962C7"/>
    <w:rsid w:val="00F96CDD"/>
    <w:rsid w:val="00FA0017"/>
    <w:rsid w:val="00FA0120"/>
    <w:rsid w:val="00FA01A5"/>
    <w:rsid w:val="00FA10C8"/>
    <w:rsid w:val="00FA126F"/>
    <w:rsid w:val="00FA131C"/>
    <w:rsid w:val="00FA1A26"/>
    <w:rsid w:val="00FA1C30"/>
    <w:rsid w:val="00FA2CEE"/>
    <w:rsid w:val="00FA3657"/>
    <w:rsid w:val="00FA4196"/>
    <w:rsid w:val="00FA4780"/>
    <w:rsid w:val="00FA478A"/>
    <w:rsid w:val="00FA4EA8"/>
    <w:rsid w:val="00FA6AA7"/>
    <w:rsid w:val="00FA7004"/>
    <w:rsid w:val="00FA733B"/>
    <w:rsid w:val="00FA73A1"/>
    <w:rsid w:val="00FA7BFF"/>
    <w:rsid w:val="00FA7CB4"/>
    <w:rsid w:val="00FA7E75"/>
    <w:rsid w:val="00FB0267"/>
    <w:rsid w:val="00FB085E"/>
    <w:rsid w:val="00FB0FB1"/>
    <w:rsid w:val="00FB10A8"/>
    <w:rsid w:val="00FB11E9"/>
    <w:rsid w:val="00FB133C"/>
    <w:rsid w:val="00FB150D"/>
    <w:rsid w:val="00FB2032"/>
    <w:rsid w:val="00FB4ABA"/>
    <w:rsid w:val="00FB4AFB"/>
    <w:rsid w:val="00FB51E6"/>
    <w:rsid w:val="00FB5266"/>
    <w:rsid w:val="00FB534A"/>
    <w:rsid w:val="00FB582C"/>
    <w:rsid w:val="00FB5B4E"/>
    <w:rsid w:val="00FB5FB1"/>
    <w:rsid w:val="00FB6624"/>
    <w:rsid w:val="00FB781A"/>
    <w:rsid w:val="00FB7C85"/>
    <w:rsid w:val="00FC0C15"/>
    <w:rsid w:val="00FC0F6D"/>
    <w:rsid w:val="00FC0F6E"/>
    <w:rsid w:val="00FC10F9"/>
    <w:rsid w:val="00FC11B6"/>
    <w:rsid w:val="00FC125E"/>
    <w:rsid w:val="00FC1BDD"/>
    <w:rsid w:val="00FC1C7C"/>
    <w:rsid w:val="00FC1DC0"/>
    <w:rsid w:val="00FC25A7"/>
    <w:rsid w:val="00FC2BA4"/>
    <w:rsid w:val="00FC2BD8"/>
    <w:rsid w:val="00FC3E5F"/>
    <w:rsid w:val="00FC48CA"/>
    <w:rsid w:val="00FC4C7A"/>
    <w:rsid w:val="00FC50A9"/>
    <w:rsid w:val="00FC59A5"/>
    <w:rsid w:val="00FC5E0D"/>
    <w:rsid w:val="00FC681D"/>
    <w:rsid w:val="00FC74F3"/>
    <w:rsid w:val="00FC7852"/>
    <w:rsid w:val="00FC7B17"/>
    <w:rsid w:val="00FC7B74"/>
    <w:rsid w:val="00FC7FCF"/>
    <w:rsid w:val="00FD0C3D"/>
    <w:rsid w:val="00FD0CE6"/>
    <w:rsid w:val="00FD0D32"/>
    <w:rsid w:val="00FD190D"/>
    <w:rsid w:val="00FD1A90"/>
    <w:rsid w:val="00FD265D"/>
    <w:rsid w:val="00FD33B1"/>
    <w:rsid w:val="00FD34B3"/>
    <w:rsid w:val="00FD3DC2"/>
    <w:rsid w:val="00FD4D44"/>
    <w:rsid w:val="00FD4FB3"/>
    <w:rsid w:val="00FD52EC"/>
    <w:rsid w:val="00FD675A"/>
    <w:rsid w:val="00FD7372"/>
    <w:rsid w:val="00FD7808"/>
    <w:rsid w:val="00FD797C"/>
    <w:rsid w:val="00FD7D67"/>
    <w:rsid w:val="00FE0375"/>
    <w:rsid w:val="00FE0566"/>
    <w:rsid w:val="00FE078F"/>
    <w:rsid w:val="00FE1788"/>
    <w:rsid w:val="00FE28F6"/>
    <w:rsid w:val="00FE2C98"/>
    <w:rsid w:val="00FE3035"/>
    <w:rsid w:val="00FE35A5"/>
    <w:rsid w:val="00FE39FF"/>
    <w:rsid w:val="00FE3C3C"/>
    <w:rsid w:val="00FE50F2"/>
    <w:rsid w:val="00FE5642"/>
    <w:rsid w:val="00FE65F9"/>
    <w:rsid w:val="00FE6958"/>
    <w:rsid w:val="00FE74A5"/>
    <w:rsid w:val="00FE74AA"/>
    <w:rsid w:val="00FE789F"/>
    <w:rsid w:val="00FE7C8D"/>
    <w:rsid w:val="00FE7CFA"/>
    <w:rsid w:val="00FF0176"/>
    <w:rsid w:val="00FF048C"/>
    <w:rsid w:val="00FF0FAC"/>
    <w:rsid w:val="00FF30FF"/>
    <w:rsid w:val="00FF3316"/>
    <w:rsid w:val="00FF3622"/>
    <w:rsid w:val="00FF3910"/>
    <w:rsid w:val="00FF47EB"/>
    <w:rsid w:val="00FF5060"/>
    <w:rsid w:val="00FF52C0"/>
    <w:rsid w:val="00FF57A1"/>
    <w:rsid w:val="00FF6536"/>
    <w:rsid w:val="00FF6C4C"/>
    <w:rsid w:val="00FF78BD"/>
    <w:rsid w:val="00FF79FA"/>
    <w:rsid w:val="00FF7A63"/>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3777"/>
    <o:shapelayout v:ext="edit">
      <o:idmap v:ext="edit" data="1"/>
    </o:shapelayout>
  </w:shapeDefaults>
  <w:decimalSymbol w:val="."/>
  <w:listSeparator w:val=","/>
  <w15:docId w15:val="{22E6EA89-D13F-435A-8F20-6B9CF02D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h1,Heading1#,Section Heading,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h2,heading 2"/>
    <w:basedOn w:val="Normal"/>
    <w:next w:val="Normal"/>
    <w:link w:val="Heading2Char"/>
    <w:unhideWhenUsed/>
    <w:qFormat/>
    <w:rsid w:val="008A33EA"/>
    <w:pPr>
      <w:outlineLvl w:val="1"/>
    </w:pPr>
    <w:rPr>
      <w:sz w:val="30"/>
    </w:rPr>
  </w:style>
  <w:style w:type="paragraph" w:styleId="Heading3">
    <w:name w:val="heading 3"/>
    <w:aliases w:val="MB3,COM L3,h3,Heading 3cris,H3,(3),heading 3,heading 3 Char Char Char,heading 3 Char Char Char Char Char Char"/>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h5,heading 5,heading 5 Char,h5 Char Char Char Char Char Char Char"/>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aliases w:val="h7,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aliases w:val="h8,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aliases w:val="h9,heading 9,Style Heading 4"/>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h5 Char,heading 5 Char1,heading 5 Char Char,h5 Char Char Char Char Char Char Char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h1 Char,Heading1# Char,Section Heading Char,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h2 Char,heading 2 Char"/>
    <w:link w:val="Heading2"/>
    <w:rsid w:val="008A33EA"/>
    <w:rPr>
      <w:rFonts w:ascii="Arial" w:hAnsi="Arial"/>
      <w:sz w:val="30"/>
      <w:szCs w:val="22"/>
      <w:lang w:val="en-US"/>
    </w:rPr>
  </w:style>
  <w:style w:type="character" w:customStyle="1" w:styleId="Heading3Char">
    <w:name w:val="Heading 3 Char"/>
    <w:aliases w:val="MB3 Char,COM L3 Char,h3 Char1,Heading 3cris Char1,H3 Char1,(3) Char1,heading 3 Char1,heading 3 Char Char Char Char1,heading 3 Char Char Char Char Char Char Char1"/>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link w:val="ListParagraphChar"/>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aliases w:val="h7 Char,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aliases w:val="h8 Char,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aliases w:val="h9 Char,heading 9 Char,Style Heading 4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 w:type="paragraph" w:styleId="TOC7">
    <w:name w:val="toc 7"/>
    <w:basedOn w:val="Normal"/>
    <w:next w:val="Normal"/>
    <w:autoRedefine/>
    <w:semiHidden/>
    <w:unhideWhenUsed/>
    <w:rsid w:val="00E94E8F"/>
    <w:pPr>
      <w:spacing w:after="100"/>
      <w:ind w:left="1440"/>
    </w:pPr>
  </w:style>
  <w:style w:type="paragraph" w:styleId="NormalIndent">
    <w:name w:val="Normal Indent"/>
    <w:basedOn w:val="Normal"/>
    <w:rsid w:val="00E94E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720"/>
      <w:jc w:val="both"/>
    </w:pPr>
    <w:rPr>
      <w:rFonts w:ascii="Times New Roman" w:eastAsia="Times New Roman" w:hAnsi="Times New Roman"/>
      <w:sz w:val="26"/>
      <w:szCs w:val="26"/>
      <w:lang w:val="en-GB" w:eastAsia="en-AU"/>
    </w:rPr>
  </w:style>
  <w:style w:type="character" w:customStyle="1" w:styleId="ListParagraphChar">
    <w:name w:val="List Paragraph Char"/>
    <w:link w:val="ListParagraph"/>
    <w:uiPriority w:val="34"/>
    <w:locked/>
    <w:rsid w:val="00DD65C8"/>
    <w:rPr>
      <w:rFonts w:ascii="Helvetica" w:hAnsi="Helvetica"/>
      <w:sz w:val="24"/>
      <w:szCs w:val="22"/>
      <w:lang w:val="en-US" w:eastAsia="en-US"/>
    </w:rPr>
  </w:style>
  <w:style w:type="table" w:styleId="ColorfulShading-Accent5">
    <w:name w:val="Colorful Shading Accent 5"/>
    <w:basedOn w:val="TableNormal"/>
    <w:uiPriority w:val="71"/>
    <w:rsid w:val="00DD65C8"/>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customStyle="1" w:styleId="ParagraphChar">
    <w:name w:val="Paragraph Char"/>
    <w:link w:val="Paragraph"/>
    <w:locked/>
    <w:rsid w:val="005905B3"/>
    <w:rPr>
      <w:rFonts w:ascii="Helvetica" w:hAnsi="Helvetica" w:cs="Helvetica"/>
      <w:sz w:val="24"/>
      <w:szCs w:val="24"/>
    </w:rPr>
  </w:style>
  <w:style w:type="paragraph" w:customStyle="1" w:styleId="Paragraph">
    <w:name w:val="Paragraph"/>
    <w:basedOn w:val="Normal"/>
    <w:link w:val="ParagraphChar"/>
    <w:rsid w:val="005905B3"/>
    <w:pPr>
      <w:widowControl w:val="0"/>
      <w:spacing w:after="240"/>
      <w:ind w:left="1667" w:hanging="567"/>
      <w:jc w:val="both"/>
    </w:pPr>
    <w:rPr>
      <w:rFonts w:cs="Helvetica"/>
      <w:szCs w:val="24"/>
      <w:lang w:val="en-AU" w:eastAsia="en-AU"/>
    </w:rPr>
  </w:style>
  <w:style w:type="character" w:customStyle="1" w:styleId="SubparaChar">
    <w:name w:val="Subpara Char"/>
    <w:link w:val="Subpara"/>
    <w:locked/>
    <w:rsid w:val="005905B3"/>
    <w:rPr>
      <w:rFonts w:ascii="Helvetica" w:hAnsi="Helvetica" w:cs="Helvetica"/>
      <w:sz w:val="24"/>
      <w:szCs w:val="24"/>
    </w:rPr>
  </w:style>
  <w:style w:type="paragraph" w:customStyle="1" w:styleId="Subpara">
    <w:name w:val="Subpara"/>
    <w:basedOn w:val="Paragraph"/>
    <w:link w:val="SubparaChar"/>
    <w:rsid w:val="005905B3"/>
    <w:pPr>
      <w:ind w:left="2268"/>
    </w:pPr>
  </w:style>
  <w:style w:type="character" w:customStyle="1" w:styleId="SectiontextChar">
    <w:name w:val="Section text Char"/>
    <w:link w:val="Sectiontext"/>
    <w:locked/>
    <w:rsid w:val="003B1BC5"/>
    <w:rPr>
      <w:rFonts w:ascii="Helvetica" w:hAnsi="Helvetica" w:cs="Helvetica"/>
      <w:sz w:val="24"/>
      <w:szCs w:val="24"/>
    </w:rPr>
  </w:style>
  <w:style w:type="paragraph" w:customStyle="1" w:styleId="Sectiontext">
    <w:name w:val="Section text"/>
    <w:basedOn w:val="Normal"/>
    <w:link w:val="SectiontextChar"/>
    <w:rsid w:val="003B1BC5"/>
    <w:pPr>
      <w:widowControl w:val="0"/>
      <w:spacing w:after="240"/>
      <w:ind w:left="1100"/>
      <w:jc w:val="both"/>
    </w:pPr>
    <w:rPr>
      <w:rFonts w:cs="Helvetica"/>
      <w:szCs w:val="24"/>
      <w:lang w:val="en-AU" w:eastAsia="en-AU"/>
    </w:rPr>
  </w:style>
  <w:style w:type="paragraph" w:styleId="BodyText3">
    <w:name w:val="Body Text 3"/>
    <w:basedOn w:val="Normal"/>
    <w:link w:val="BodyText3Char"/>
    <w:uiPriority w:val="99"/>
    <w:unhideWhenUsed/>
    <w:rsid w:val="00566EB8"/>
    <w:pPr>
      <w:spacing w:after="240"/>
      <w:jc w:val="center"/>
    </w:pPr>
    <w:rPr>
      <w:rFonts w:cs="Helvetica"/>
      <w:b/>
      <w:szCs w:val="24"/>
    </w:rPr>
  </w:style>
  <w:style w:type="character" w:customStyle="1" w:styleId="BodyText3Char">
    <w:name w:val="Body Text 3 Char"/>
    <w:basedOn w:val="DefaultParagraphFont"/>
    <w:link w:val="BodyText3"/>
    <w:uiPriority w:val="99"/>
    <w:rsid w:val="00566EB8"/>
    <w:rPr>
      <w:rFonts w:ascii="Helvetica" w:hAnsi="Helvetica" w:cs="Helvetica"/>
      <w:b/>
      <w:sz w:val="24"/>
      <w:szCs w:val="24"/>
      <w:lang w:val="en-US" w:eastAsia="en-US"/>
    </w:rPr>
  </w:style>
  <w:style w:type="paragraph" w:styleId="Caption">
    <w:name w:val="caption"/>
    <w:basedOn w:val="Normal"/>
    <w:next w:val="Normal"/>
    <w:uiPriority w:val="35"/>
    <w:unhideWhenUsed/>
    <w:qFormat/>
    <w:rsid w:val="009A5E58"/>
    <w:pPr>
      <w:spacing w:before="120" w:after="120"/>
      <w:jc w:val="center"/>
    </w:pPr>
    <w:rPr>
      <w:b/>
      <w:sz w:val="28"/>
      <w:szCs w:val="28"/>
    </w:rPr>
  </w:style>
  <w:style w:type="character" w:customStyle="1" w:styleId="Heading3Char1">
    <w:name w:val="Heading 3 Char1"/>
    <w:aliases w:val="h3 Char,Heading 3cris Char,H3 Char,(3) Char,heading 3 Char,heading 3 Char Char Char Char,heading 3 Char Char Char Char Char Char Char"/>
    <w:basedOn w:val="DefaultParagraphFont"/>
    <w:locked/>
    <w:rsid w:val="00452DF8"/>
    <w:rPr>
      <w:rFonts w:ascii="Arial" w:eastAsia="Calibri" w:hAnsi="Arial" w:cs="Arial"/>
      <w:bCs/>
      <w:szCs w:val="24"/>
    </w:rPr>
  </w:style>
  <w:style w:type="character" w:customStyle="1" w:styleId="StyleArial11pt">
    <w:name w:val="Style Arial 11 pt"/>
    <w:basedOn w:val="DefaultParagraphFont"/>
    <w:rsid w:val="00452DF8"/>
    <w:rPr>
      <w:rFonts w:ascii="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100">
      <w:bodyDiv w:val="1"/>
      <w:marLeft w:val="0"/>
      <w:marRight w:val="0"/>
      <w:marTop w:val="0"/>
      <w:marBottom w:val="0"/>
      <w:divBdr>
        <w:top w:val="none" w:sz="0" w:space="0" w:color="auto"/>
        <w:left w:val="none" w:sz="0" w:space="0" w:color="auto"/>
        <w:bottom w:val="none" w:sz="0" w:space="0" w:color="auto"/>
        <w:right w:val="none" w:sz="0" w:space="0" w:color="auto"/>
      </w:divBdr>
    </w:div>
    <w:div w:id="29189215">
      <w:bodyDiv w:val="1"/>
      <w:marLeft w:val="0"/>
      <w:marRight w:val="0"/>
      <w:marTop w:val="0"/>
      <w:marBottom w:val="0"/>
      <w:divBdr>
        <w:top w:val="none" w:sz="0" w:space="0" w:color="auto"/>
        <w:left w:val="none" w:sz="0" w:space="0" w:color="auto"/>
        <w:bottom w:val="none" w:sz="0" w:space="0" w:color="auto"/>
        <w:right w:val="none" w:sz="0" w:space="0" w:color="auto"/>
      </w:divBdr>
    </w:div>
    <w:div w:id="36396650">
      <w:bodyDiv w:val="1"/>
      <w:marLeft w:val="0"/>
      <w:marRight w:val="0"/>
      <w:marTop w:val="0"/>
      <w:marBottom w:val="0"/>
      <w:divBdr>
        <w:top w:val="none" w:sz="0" w:space="0" w:color="auto"/>
        <w:left w:val="none" w:sz="0" w:space="0" w:color="auto"/>
        <w:bottom w:val="none" w:sz="0" w:space="0" w:color="auto"/>
        <w:right w:val="none" w:sz="0" w:space="0" w:color="auto"/>
      </w:divBdr>
    </w:div>
    <w:div w:id="45958228">
      <w:bodyDiv w:val="1"/>
      <w:marLeft w:val="0"/>
      <w:marRight w:val="0"/>
      <w:marTop w:val="0"/>
      <w:marBottom w:val="0"/>
      <w:divBdr>
        <w:top w:val="none" w:sz="0" w:space="0" w:color="auto"/>
        <w:left w:val="none" w:sz="0" w:space="0" w:color="auto"/>
        <w:bottom w:val="none" w:sz="0" w:space="0" w:color="auto"/>
        <w:right w:val="none" w:sz="0" w:space="0" w:color="auto"/>
      </w:divBdr>
    </w:div>
    <w:div w:id="55595431">
      <w:bodyDiv w:val="1"/>
      <w:marLeft w:val="0"/>
      <w:marRight w:val="0"/>
      <w:marTop w:val="0"/>
      <w:marBottom w:val="0"/>
      <w:divBdr>
        <w:top w:val="none" w:sz="0" w:space="0" w:color="auto"/>
        <w:left w:val="none" w:sz="0" w:space="0" w:color="auto"/>
        <w:bottom w:val="none" w:sz="0" w:space="0" w:color="auto"/>
        <w:right w:val="none" w:sz="0" w:space="0" w:color="auto"/>
      </w:divBdr>
    </w:div>
    <w:div w:id="57170786">
      <w:bodyDiv w:val="1"/>
      <w:marLeft w:val="0"/>
      <w:marRight w:val="0"/>
      <w:marTop w:val="0"/>
      <w:marBottom w:val="0"/>
      <w:divBdr>
        <w:top w:val="none" w:sz="0" w:space="0" w:color="auto"/>
        <w:left w:val="none" w:sz="0" w:space="0" w:color="auto"/>
        <w:bottom w:val="none" w:sz="0" w:space="0" w:color="auto"/>
        <w:right w:val="none" w:sz="0" w:space="0" w:color="auto"/>
      </w:divBdr>
    </w:div>
    <w:div w:id="99187475">
      <w:bodyDiv w:val="1"/>
      <w:marLeft w:val="0"/>
      <w:marRight w:val="0"/>
      <w:marTop w:val="0"/>
      <w:marBottom w:val="0"/>
      <w:divBdr>
        <w:top w:val="none" w:sz="0" w:space="0" w:color="auto"/>
        <w:left w:val="none" w:sz="0" w:space="0" w:color="auto"/>
        <w:bottom w:val="none" w:sz="0" w:space="0" w:color="auto"/>
        <w:right w:val="none" w:sz="0" w:space="0" w:color="auto"/>
      </w:divBdr>
    </w:div>
    <w:div w:id="113058759">
      <w:bodyDiv w:val="1"/>
      <w:marLeft w:val="0"/>
      <w:marRight w:val="0"/>
      <w:marTop w:val="0"/>
      <w:marBottom w:val="0"/>
      <w:divBdr>
        <w:top w:val="none" w:sz="0" w:space="0" w:color="auto"/>
        <w:left w:val="none" w:sz="0" w:space="0" w:color="auto"/>
        <w:bottom w:val="none" w:sz="0" w:space="0" w:color="auto"/>
        <w:right w:val="none" w:sz="0" w:space="0" w:color="auto"/>
      </w:divBdr>
    </w:div>
    <w:div w:id="119081185">
      <w:bodyDiv w:val="1"/>
      <w:marLeft w:val="0"/>
      <w:marRight w:val="0"/>
      <w:marTop w:val="0"/>
      <w:marBottom w:val="0"/>
      <w:divBdr>
        <w:top w:val="none" w:sz="0" w:space="0" w:color="auto"/>
        <w:left w:val="none" w:sz="0" w:space="0" w:color="auto"/>
        <w:bottom w:val="none" w:sz="0" w:space="0" w:color="auto"/>
        <w:right w:val="none" w:sz="0" w:space="0" w:color="auto"/>
      </w:divBdr>
    </w:div>
    <w:div w:id="128910338">
      <w:bodyDiv w:val="1"/>
      <w:marLeft w:val="0"/>
      <w:marRight w:val="0"/>
      <w:marTop w:val="0"/>
      <w:marBottom w:val="0"/>
      <w:divBdr>
        <w:top w:val="none" w:sz="0" w:space="0" w:color="auto"/>
        <w:left w:val="none" w:sz="0" w:space="0" w:color="auto"/>
        <w:bottom w:val="none" w:sz="0" w:space="0" w:color="auto"/>
        <w:right w:val="none" w:sz="0" w:space="0" w:color="auto"/>
      </w:divBdr>
    </w:div>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147210243">
      <w:bodyDiv w:val="1"/>
      <w:marLeft w:val="0"/>
      <w:marRight w:val="0"/>
      <w:marTop w:val="0"/>
      <w:marBottom w:val="0"/>
      <w:divBdr>
        <w:top w:val="none" w:sz="0" w:space="0" w:color="auto"/>
        <w:left w:val="none" w:sz="0" w:space="0" w:color="auto"/>
        <w:bottom w:val="none" w:sz="0" w:space="0" w:color="auto"/>
        <w:right w:val="none" w:sz="0" w:space="0" w:color="auto"/>
      </w:divBdr>
    </w:div>
    <w:div w:id="150297900">
      <w:bodyDiv w:val="1"/>
      <w:marLeft w:val="0"/>
      <w:marRight w:val="0"/>
      <w:marTop w:val="0"/>
      <w:marBottom w:val="0"/>
      <w:divBdr>
        <w:top w:val="none" w:sz="0" w:space="0" w:color="auto"/>
        <w:left w:val="none" w:sz="0" w:space="0" w:color="auto"/>
        <w:bottom w:val="none" w:sz="0" w:space="0" w:color="auto"/>
        <w:right w:val="none" w:sz="0" w:space="0" w:color="auto"/>
      </w:divBdr>
    </w:div>
    <w:div w:id="152649504">
      <w:bodyDiv w:val="1"/>
      <w:marLeft w:val="0"/>
      <w:marRight w:val="0"/>
      <w:marTop w:val="0"/>
      <w:marBottom w:val="0"/>
      <w:divBdr>
        <w:top w:val="none" w:sz="0" w:space="0" w:color="auto"/>
        <w:left w:val="none" w:sz="0" w:space="0" w:color="auto"/>
        <w:bottom w:val="none" w:sz="0" w:space="0" w:color="auto"/>
        <w:right w:val="none" w:sz="0" w:space="0" w:color="auto"/>
      </w:divBdr>
    </w:div>
    <w:div w:id="176698339">
      <w:bodyDiv w:val="1"/>
      <w:marLeft w:val="0"/>
      <w:marRight w:val="0"/>
      <w:marTop w:val="0"/>
      <w:marBottom w:val="0"/>
      <w:divBdr>
        <w:top w:val="none" w:sz="0" w:space="0" w:color="auto"/>
        <w:left w:val="none" w:sz="0" w:space="0" w:color="auto"/>
        <w:bottom w:val="none" w:sz="0" w:space="0" w:color="auto"/>
        <w:right w:val="none" w:sz="0" w:space="0" w:color="auto"/>
      </w:divBdr>
    </w:div>
    <w:div w:id="192967256">
      <w:bodyDiv w:val="1"/>
      <w:marLeft w:val="0"/>
      <w:marRight w:val="0"/>
      <w:marTop w:val="0"/>
      <w:marBottom w:val="0"/>
      <w:divBdr>
        <w:top w:val="none" w:sz="0" w:space="0" w:color="auto"/>
        <w:left w:val="none" w:sz="0" w:space="0" w:color="auto"/>
        <w:bottom w:val="none" w:sz="0" w:space="0" w:color="auto"/>
        <w:right w:val="none" w:sz="0" w:space="0" w:color="auto"/>
      </w:divBdr>
    </w:div>
    <w:div w:id="193078073">
      <w:bodyDiv w:val="1"/>
      <w:marLeft w:val="0"/>
      <w:marRight w:val="0"/>
      <w:marTop w:val="0"/>
      <w:marBottom w:val="0"/>
      <w:divBdr>
        <w:top w:val="none" w:sz="0" w:space="0" w:color="auto"/>
        <w:left w:val="none" w:sz="0" w:space="0" w:color="auto"/>
        <w:bottom w:val="none" w:sz="0" w:space="0" w:color="auto"/>
        <w:right w:val="none" w:sz="0" w:space="0" w:color="auto"/>
      </w:divBdr>
    </w:div>
    <w:div w:id="203254990">
      <w:bodyDiv w:val="1"/>
      <w:marLeft w:val="0"/>
      <w:marRight w:val="0"/>
      <w:marTop w:val="0"/>
      <w:marBottom w:val="0"/>
      <w:divBdr>
        <w:top w:val="none" w:sz="0" w:space="0" w:color="auto"/>
        <w:left w:val="none" w:sz="0" w:space="0" w:color="auto"/>
        <w:bottom w:val="none" w:sz="0" w:space="0" w:color="auto"/>
        <w:right w:val="none" w:sz="0" w:space="0" w:color="auto"/>
      </w:divBdr>
    </w:div>
    <w:div w:id="225645885">
      <w:bodyDiv w:val="1"/>
      <w:marLeft w:val="0"/>
      <w:marRight w:val="0"/>
      <w:marTop w:val="0"/>
      <w:marBottom w:val="0"/>
      <w:divBdr>
        <w:top w:val="none" w:sz="0" w:space="0" w:color="auto"/>
        <w:left w:val="none" w:sz="0" w:space="0" w:color="auto"/>
        <w:bottom w:val="none" w:sz="0" w:space="0" w:color="auto"/>
        <w:right w:val="none" w:sz="0" w:space="0" w:color="auto"/>
      </w:divBdr>
    </w:div>
    <w:div w:id="226844923">
      <w:bodyDiv w:val="1"/>
      <w:marLeft w:val="0"/>
      <w:marRight w:val="0"/>
      <w:marTop w:val="0"/>
      <w:marBottom w:val="0"/>
      <w:divBdr>
        <w:top w:val="none" w:sz="0" w:space="0" w:color="auto"/>
        <w:left w:val="none" w:sz="0" w:space="0" w:color="auto"/>
        <w:bottom w:val="none" w:sz="0" w:space="0" w:color="auto"/>
        <w:right w:val="none" w:sz="0" w:space="0" w:color="auto"/>
      </w:divBdr>
    </w:div>
    <w:div w:id="231083520">
      <w:bodyDiv w:val="1"/>
      <w:marLeft w:val="0"/>
      <w:marRight w:val="0"/>
      <w:marTop w:val="0"/>
      <w:marBottom w:val="0"/>
      <w:divBdr>
        <w:top w:val="none" w:sz="0" w:space="0" w:color="auto"/>
        <w:left w:val="none" w:sz="0" w:space="0" w:color="auto"/>
        <w:bottom w:val="none" w:sz="0" w:space="0" w:color="auto"/>
        <w:right w:val="none" w:sz="0" w:space="0" w:color="auto"/>
      </w:divBdr>
    </w:div>
    <w:div w:id="234047110">
      <w:bodyDiv w:val="1"/>
      <w:marLeft w:val="0"/>
      <w:marRight w:val="0"/>
      <w:marTop w:val="0"/>
      <w:marBottom w:val="0"/>
      <w:divBdr>
        <w:top w:val="none" w:sz="0" w:space="0" w:color="auto"/>
        <w:left w:val="none" w:sz="0" w:space="0" w:color="auto"/>
        <w:bottom w:val="none" w:sz="0" w:space="0" w:color="auto"/>
        <w:right w:val="none" w:sz="0" w:space="0" w:color="auto"/>
      </w:divBdr>
    </w:div>
    <w:div w:id="238177424">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323164956">
      <w:bodyDiv w:val="1"/>
      <w:marLeft w:val="0"/>
      <w:marRight w:val="0"/>
      <w:marTop w:val="0"/>
      <w:marBottom w:val="0"/>
      <w:divBdr>
        <w:top w:val="none" w:sz="0" w:space="0" w:color="auto"/>
        <w:left w:val="none" w:sz="0" w:space="0" w:color="auto"/>
        <w:bottom w:val="none" w:sz="0" w:space="0" w:color="auto"/>
        <w:right w:val="none" w:sz="0" w:space="0" w:color="auto"/>
      </w:divBdr>
    </w:div>
    <w:div w:id="328678532">
      <w:bodyDiv w:val="1"/>
      <w:marLeft w:val="0"/>
      <w:marRight w:val="0"/>
      <w:marTop w:val="0"/>
      <w:marBottom w:val="0"/>
      <w:divBdr>
        <w:top w:val="none" w:sz="0" w:space="0" w:color="auto"/>
        <w:left w:val="none" w:sz="0" w:space="0" w:color="auto"/>
        <w:bottom w:val="none" w:sz="0" w:space="0" w:color="auto"/>
        <w:right w:val="none" w:sz="0" w:space="0" w:color="auto"/>
      </w:divBdr>
    </w:div>
    <w:div w:id="342559960">
      <w:bodyDiv w:val="1"/>
      <w:marLeft w:val="0"/>
      <w:marRight w:val="0"/>
      <w:marTop w:val="0"/>
      <w:marBottom w:val="0"/>
      <w:divBdr>
        <w:top w:val="none" w:sz="0" w:space="0" w:color="auto"/>
        <w:left w:val="none" w:sz="0" w:space="0" w:color="auto"/>
        <w:bottom w:val="none" w:sz="0" w:space="0" w:color="auto"/>
        <w:right w:val="none" w:sz="0" w:space="0" w:color="auto"/>
      </w:divBdr>
    </w:div>
    <w:div w:id="342976715">
      <w:bodyDiv w:val="1"/>
      <w:marLeft w:val="0"/>
      <w:marRight w:val="0"/>
      <w:marTop w:val="0"/>
      <w:marBottom w:val="0"/>
      <w:divBdr>
        <w:top w:val="none" w:sz="0" w:space="0" w:color="auto"/>
        <w:left w:val="none" w:sz="0" w:space="0" w:color="auto"/>
        <w:bottom w:val="none" w:sz="0" w:space="0" w:color="auto"/>
        <w:right w:val="none" w:sz="0" w:space="0" w:color="auto"/>
      </w:divBdr>
    </w:div>
    <w:div w:id="347603068">
      <w:bodyDiv w:val="1"/>
      <w:marLeft w:val="0"/>
      <w:marRight w:val="0"/>
      <w:marTop w:val="0"/>
      <w:marBottom w:val="0"/>
      <w:divBdr>
        <w:top w:val="none" w:sz="0" w:space="0" w:color="auto"/>
        <w:left w:val="none" w:sz="0" w:space="0" w:color="auto"/>
        <w:bottom w:val="none" w:sz="0" w:space="0" w:color="auto"/>
        <w:right w:val="none" w:sz="0" w:space="0" w:color="auto"/>
      </w:divBdr>
    </w:div>
    <w:div w:id="359089360">
      <w:bodyDiv w:val="1"/>
      <w:marLeft w:val="0"/>
      <w:marRight w:val="0"/>
      <w:marTop w:val="0"/>
      <w:marBottom w:val="0"/>
      <w:divBdr>
        <w:top w:val="none" w:sz="0" w:space="0" w:color="auto"/>
        <w:left w:val="none" w:sz="0" w:space="0" w:color="auto"/>
        <w:bottom w:val="none" w:sz="0" w:space="0" w:color="auto"/>
        <w:right w:val="none" w:sz="0" w:space="0" w:color="auto"/>
      </w:divBdr>
    </w:div>
    <w:div w:id="367485196">
      <w:bodyDiv w:val="1"/>
      <w:marLeft w:val="0"/>
      <w:marRight w:val="0"/>
      <w:marTop w:val="0"/>
      <w:marBottom w:val="0"/>
      <w:divBdr>
        <w:top w:val="none" w:sz="0" w:space="0" w:color="auto"/>
        <w:left w:val="none" w:sz="0" w:space="0" w:color="auto"/>
        <w:bottom w:val="none" w:sz="0" w:space="0" w:color="auto"/>
        <w:right w:val="none" w:sz="0" w:space="0" w:color="auto"/>
      </w:divBdr>
    </w:div>
    <w:div w:id="418256702">
      <w:bodyDiv w:val="1"/>
      <w:marLeft w:val="0"/>
      <w:marRight w:val="0"/>
      <w:marTop w:val="0"/>
      <w:marBottom w:val="0"/>
      <w:divBdr>
        <w:top w:val="none" w:sz="0" w:space="0" w:color="auto"/>
        <w:left w:val="none" w:sz="0" w:space="0" w:color="auto"/>
        <w:bottom w:val="none" w:sz="0" w:space="0" w:color="auto"/>
        <w:right w:val="none" w:sz="0" w:space="0" w:color="auto"/>
      </w:divBdr>
    </w:div>
    <w:div w:id="435830918">
      <w:bodyDiv w:val="1"/>
      <w:marLeft w:val="0"/>
      <w:marRight w:val="0"/>
      <w:marTop w:val="0"/>
      <w:marBottom w:val="0"/>
      <w:divBdr>
        <w:top w:val="none" w:sz="0" w:space="0" w:color="auto"/>
        <w:left w:val="none" w:sz="0" w:space="0" w:color="auto"/>
        <w:bottom w:val="none" w:sz="0" w:space="0" w:color="auto"/>
        <w:right w:val="none" w:sz="0" w:space="0" w:color="auto"/>
      </w:divBdr>
    </w:div>
    <w:div w:id="451216865">
      <w:bodyDiv w:val="1"/>
      <w:marLeft w:val="0"/>
      <w:marRight w:val="0"/>
      <w:marTop w:val="0"/>
      <w:marBottom w:val="0"/>
      <w:divBdr>
        <w:top w:val="none" w:sz="0" w:space="0" w:color="auto"/>
        <w:left w:val="none" w:sz="0" w:space="0" w:color="auto"/>
        <w:bottom w:val="none" w:sz="0" w:space="0" w:color="auto"/>
        <w:right w:val="none" w:sz="0" w:space="0" w:color="auto"/>
      </w:divBdr>
    </w:div>
    <w:div w:id="462694585">
      <w:bodyDiv w:val="1"/>
      <w:marLeft w:val="0"/>
      <w:marRight w:val="0"/>
      <w:marTop w:val="0"/>
      <w:marBottom w:val="0"/>
      <w:divBdr>
        <w:top w:val="none" w:sz="0" w:space="0" w:color="auto"/>
        <w:left w:val="none" w:sz="0" w:space="0" w:color="auto"/>
        <w:bottom w:val="none" w:sz="0" w:space="0" w:color="auto"/>
        <w:right w:val="none" w:sz="0" w:space="0" w:color="auto"/>
      </w:divBdr>
    </w:div>
    <w:div w:id="463274009">
      <w:bodyDiv w:val="1"/>
      <w:marLeft w:val="0"/>
      <w:marRight w:val="0"/>
      <w:marTop w:val="0"/>
      <w:marBottom w:val="0"/>
      <w:divBdr>
        <w:top w:val="none" w:sz="0" w:space="0" w:color="auto"/>
        <w:left w:val="none" w:sz="0" w:space="0" w:color="auto"/>
        <w:bottom w:val="none" w:sz="0" w:space="0" w:color="auto"/>
        <w:right w:val="none" w:sz="0" w:space="0" w:color="auto"/>
      </w:divBdr>
    </w:div>
    <w:div w:id="479927151">
      <w:bodyDiv w:val="1"/>
      <w:marLeft w:val="0"/>
      <w:marRight w:val="0"/>
      <w:marTop w:val="0"/>
      <w:marBottom w:val="0"/>
      <w:divBdr>
        <w:top w:val="none" w:sz="0" w:space="0" w:color="auto"/>
        <w:left w:val="none" w:sz="0" w:space="0" w:color="auto"/>
        <w:bottom w:val="none" w:sz="0" w:space="0" w:color="auto"/>
        <w:right w:val="none" w:sz="0" w:space="0" w:color="auto"/>
      </w:divBdr>
    </w:div>
    <w:div w:id="486821444">
      <w:bodyDiv w:val="1"/>
      <w:marLeft w:val="0"/>
      <w:marRight w:val="0"/>
      <w:marTop w:val="0"/>
      <w:marBottom w:val="0"/>
      <w:divBdr>
        <w:top w:val="none" w:sz="0" w:space="0" w:color="auto"/>
        <w:left w:val="none" w:sz="0" w:space="0" w:color="auto"/>
        <w:bottom w:val="none" w:sz="0" w:space="0" w:color="auto"/>
        <w:right w:val="none" w:sz="0" w:space="0" w:color="auto"/>
      </w:divBdr>
    </w:div>
    <w:div w:id="511451256">
      <w:bodyDiv w:val="1"/>
      <w:marLeft w:val="0"/>
      <w:marRight w:val="0"/>
      <w:marTop w:val="0"/>
      <w:marBottom w:val="0"/>
      <w:divBdr>
        <w:top w:val="none" w:sz="0" w:space="0" w:color="auto"/>
        <w:left w:val="none" w:sz="0" w:space="0" w:color="auto"/>
        <w:bottom w:val="none" w:sz="0" w:space="0" w:color="auto"/>
        <w:right w:val="none" w:sz="0" w:space="0" w:color="auto"/>
      </w:divBdr>
    </w:div>
    <w:div w:id="512572171">
      <w:bodyDiv w:val="1"/>
      <w:marLeft w:val="0"/>
      <w:marRight w:val="0"/>
      <w:marTop w:val="0"/>
      <w:marBottom w:val="0"/>
      <w:divBdr>
        <w:top w:val="none" w:sz="0" w:space="0" w:color="auto"/>
        <w:left w:val="none" w:sz="0" w:space="0" w:color="auto"/>
        <w:bottom w:val="none" w:sz="0" w:space="0" w:color="auto"/>
        <w:right w:val="none" w:sz="0" w:space="0" w:color="auto"/>
      </w:divBdr>
    </w:div>
    <w:div w:id="520124705">
      <w:bodyDiv w:val="1"/>
      <w:marLeft w:val="0"/>
      <w:marRight w:val="0"/>
      <w:marTop w:val="0"/>
      <w:marBottom w:val="0"/>
      <w:divBdr>
        <w:top w:val="none" w:sz="0" w:space="0" w:color="auto"/>
        <w:left w:val="none" w:sz="0" w:space="0" w:color="auto"/>
        <w:bottom w:val="none" w:sz="0" w:space="0" w:color="auto"/>
        <w:right w:val="none" w:sz="0" w:space="0" w:color="auto"/>
      </w:divBdr>
    </w:div>
    <w:div w:id="544952465">
      <w:bodyDiv w:val="1"/>
      <w:marLeft w:val="0"/>
      <w:marRight w:val="0"/>
      <w:marTop w:val="0"/>
      <w:marBottom w:val="0"/>
      <w:divBdr>
        <w:top w:val="none" w:sz="0" w:space="0" w:color="auto"/>
        <w:left w:val="none" w:sz="0" w:space="0" w:color="auto"/>
        <w:bottom w:val="none" w:sz="0" w:space="0" w:color="auto"/>
        <w:right w:val="none" w:sz="0" w:space="0" w:color="auto"/>
      </w:divBdr>
    </w:div>
    <w:div w:id="549341205">
      <w:bodyDiv w:val="1"/>
      <w:marLeft w:val="0"/>
      <w:marRight w:val="0"/>
      <w:marTop w:val="0"/>
      <w:marBottom w:val="0"/>
      <w:divBdr>
        <w:top w:val="none" w:sz="0" w:space="0" w:color="auto"/>
        <w:left w:val="none" w:sz="0" w:space="0" w:color="auto"/>
        <w:bottom w:val="none" w:sz="0" w:space="0" w:color="auto"/>
        <w:right w:val="none" w:sz="0" w:space="0" w:color="auto"/>
      </w:divBdr>
    </w:div>
    <w:div w:id="550507706">
      <w:bodyDiv w:val="1"/>
      <w:marLeft w:val="0"/>
      <w:marRight w:val="0"/>
      <w:marTop w:val="0"/>
      <w:marBottom w:val="0"/>
      <w:divBdr>
        <w:top w:val="none" w:sz="0" w:space="0" w:color="auto"/>
        <w:left w:val="none" w:sz="0" w:space="0" w:color="auto"/>
        <w:bottom w:val="none" w:sz="0" w:space="0" w:color="auto"/>
        <w:right w:val="none" w:sz="0" w:space="0" w:color="auto"/>
      </w:divBdr>
    </w:div>
    <w:div w:id="554706442">
      <w:bodyDiv w:val="1"/>
      <w:marLeft w:val="0"/>
      <w:marRight w:val="0"/>
      <w:marTop w:val="0"/>
      <w:marBottom w:val="0"/>
      <w:divBdr>
        <w:top w:val="none" w:sz="0" w:space="0" w:color="auto"/>
        <w:left w:val="none" w:sz="0" w:space="0" w:color="auto"/>
        <w:bottom w:val="none" w:sz="0" w:space="0" w:color="auto"/>
        <w:right w:val="none" w:sz="0" w:space="0" w:color="auto"/>
      </w:divBdr>
    </w:div>
    <w:div w:id="571736623">
      <w:bodyDiv w:val="1"/>
      <w:marLeft w:val="0"/>
      <w:marRight w:val="0"/>
      <w:marTop w:val="0"/>
      <w:marBottom w:val="0"/>
      <w:divBdr>
        <w:top w:val="none" w:sz="0" w:space="0" w:color="auto"/>
        <w:left w:val="none" w:sz="0" w:space="0" w:color="auto"/>
        <w:bottom w:val="none" w:sz="0" w:space="0" w:color="auto"/>
        <w:right w:val="none" w:sz="0" w:space="0" w:color="auto"/>
      </w:divBdr>
    </w:div>
    <w:div w:id="584657394">
      <w:bodyDiv w:val="1"/>
      <w:marLeft w:val="0"/>
      <w:marRight w:val="0"/>
      <w:marTop w:val="0"/>
      <w:marBottom w:val="0"/>
      <w:divBdr>
        <w:top w:val="none" w:sz="0" w:space="0" w:color="auto"/>
        <w:left w:val="none" w:sz="0" w:space="0" w:color="auto"/>
        <w:bottom w:val="none" w:sz="0" w:space="0" w:color="auto"/>
        <w:right w:val="none" w:sz="0" w:space="0" w:color="auto"/>
      </w:divBdr>
    </w:div>
    <w:div w:id="588270376">
      <w:bodyDiv w:val="1"/>
      <w:marLeft w:val="0"/>
      <w:marRight w:val="0"/>
      <w:marTop w:val="0"/>
      <w:marBottom w:val="0"/>
      <w:divBdr>
        <w:top w:val="none" w:sz="0" w:space="0" w:color="auto"/>
        <w:left w:val="none" w:sz="0" w:space="0" w:color="auto"/>
        <w:bottom w:val="none" w:sz="0" w:space="0" w:color="auto"/>
        <w:right w:val="none" w:sz="0" w:space="0" w:color="auto"/>
      </w:divBdr>
    </w:div>
    <w:div w:id="601691665">
      <w:bodyDiv w:val="1"/>
      <w:marLeft w:val="0"/>
      <w:marRight w:val="0"/>
      <w:marTop w:val="0"/>
      <w:marBottom w:val="0"/>
      <w:divBdr>
        <w:top w:val="none" w:sz="0" w:space="0" w:color="auto"/>
        <w:left w:val="none" w:sz="0" w:space="0" w:color="auto"/>
        <w:bottom w:val="none" w:sz="0" w:space="0" w:color="auto"/>
        <w:right w:val="none" w:sz="0" w:space="0" w:color="auto"/>
      </w:divBdr>
    </w:div>
    <w:div w:id="617033072">
      <w:bodyDiv w:val="1"/>
      <w:marLeft w:val="0"/>
      <w:marRight w:val="0"/>
      <w:marTop w:val="0"/>
      <w:marBottom w:val="0"/>
      <w:divBdr>
        <w:top w:val="none" w:sz="0" w:space="0" w:color="auto"/>
        <w:left w:val="none" w:sz="0" w:space="0" w:color="auto"/>
        <w:bottom w:val="none" w:sz="0" w:space="0" w:color="auto"/>
        <w:right w:val="none" w:sz="0" w:space="0" w:color="auto"/>
      </w:divBdr>
    </w:div>
    <w:div w:id="620963609">
      <w:bodyDiv w:val="1"/>
      <w:marLeft w:val="0"/>
      <w:marRight w:val="0"/>
      <w:marTop w:val="0"/>
      <w:marBottom w:val="0"/>
      <w:divBdr>
        <w:top w:val="none" w:sz="0" w:space="0" w:color="auto"/>
        <w:left w:val="none" w:sz="0" w:space="0" w:color="auto"/>
        <w:bottom w:val="none" w:sz="0" w:space="0" w:color="auto"/>
        <w:right w:val="none" w:sz="0" w:space="0" w:color="auto"/>
      </w:divBdr>
    </w:div>
    <w:div w:id="636109301">
      <w:bodyDiv w:val="1"/>
      <w:marLeft w:val="0"/>
      <w:marRight w:val="0"/>
      <w:marTop w:val="0"/>
      <w:marBottom w:val="0"/>
      <w:divBdr>
        <w:top w:val="none" w:sz="0" w:space="0" w:color="auto"/>
        <w:left w:val="none" w:sz="0" w:space="0" w:color="auto"/>
        <w:bottom w:val="none" w:sz="0" w:space="0" w:color="auto"/>
        <w:right w:val="none" w:sz="0" w:space="0" w:color="auto"/>
      </w:divBdr>
    </w:div>
    <w:div w:id="652950649">
      <w:bodyDiv w:val="1"/>
      <w:marLeft w:val="0"/>
      <w:marRight w:val="0"/>
      <w:marTop w:val="0"/>
      <w:marBottom w:val="0"/>
      <w:divBdr>
        <w:top w:val="none" w:sz="0" w:space="0" w:color="auto"/>
        <w:left w:val="none" w:sz="0" w:space="0" w:color="auto"/>
        <w:bottom w:val="none" w:sz="0" w:space="0" w:color="auto"/>
        <w:right w:val="none" w:sz="0" w:space="0" w:color="auto"/>
      </w:divBdr>
    </w:div>
    <w:div w:id="667639045">
      <w:bodyDiv w:val="1"/>
      <w:marLeft w:val="0"/>
      <w:marRight w:val="0"/>
      <w:marTop w:val="0"/>
      <w:marBottom w:val="0"/>
      <w:divBdr>
        <w:top w:val="none" w:sz="0" w:space="0" w:color="auto"/>
        <w:left w:val="none" w:sz="0" w:space="0" w:color="auto"/>
        <w:bottom w:val="none" w:sz="0" w:space="0" w:color="auto"/>
        <w:right w:val="none" w:sz="0" w:space="0" w:color="auto"/>
      </w:divBdr>
    </w:div>
    <w:div w:id="671645418">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7481664">
      <w:bodyDiv w:val="1"/>
      <w:marLeft w:val="0"/>
      <w:marRight w:val="0"/>
      <w:marTop w:val="0"/>
      <w:marBottom w:val="0"/>
      <w:divBdr>
        <w:top w:val="none" w:sz="0" w:space="0" w:color="auto"/>
        <w:left w:val="none" w:sz="0" w:space="0" w:color="auto"/>
        <w:bottom w:val="none" w:sz="0" w:space="0" w:color="auto"/>
        <w:right w:val="none" w:sz="0" w:space="0" w:color="auto"/>
      </w:divBdr>
    </w:div>
    <w:div w:id="751320188">
      <w:bodyDiv w:val="1"/>
      <w:marLeft w:val="0"/>
      <w:marRight w:val="0"/>
      <w:marTop w:val="0"/>
      <w:marBottom w:val="0"/>
      <w:divBdr>
        <w:top w:val="none" w:sz="0" w:space="0" w:color="auto"/>
        <w:left w:val="none" w:sz="0" w:space="0" w:color="auto"/>
        <w:bottom w:val="none" w:sz="0" w:space="0" w:color="auto"/>
        <w:right w:val="none" w:sz="0" w:space="0" w:color="auto"/>
      </w:divBdr>
    </w:div>
    <w:div w:id="767241230">
      <w:bodyDiv w:val="1"/>
      <w:marLeft w:val="0"/>
      <w:marRight w:val="0"/>
      <w:marTop w:val="0"/>
      <w:marBottom w:val="0"/>
      <w:divBdr>
        <w:top w:val="none" w:sz="0" w:space="0" w:color="auto"/>
        <w:left w:val="none" w:sz="0" w:space="0" w:color="auto"/>
        <w:bottom w:val="none" w:sz="0" w:space="0" w:color="auto"/>
        <w:right w:val="none" w:sz="0" w:space="0" w:color="auto"/>
      </w:divBdr>
    </w:div>
    <w:div w:id="767966670">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20653522">
      <w:bodyDiv w:val="1"/>
      <w:marLeft w:val="0"/>
      <w:marRight w:val="0"/>
      <w:marTop w:val="0"/>
      <w:marBottom w:val="0"/>
      <w:divBdr>
        <w:top w:val="none" w:sz="0" w:space="0" w:color="auto"/>
        <w:left w:val="none" w:sz="0" w:space="0" w:color="auto"/>
        <w:bottom w:val="none" w:sz="0" w:space="0" w:color="auto"/>
        <w:right w:val="none" w:sz="0" w:space="0" w:color="auto"/>
      </w:divBdr>
    </w:div>
    <w:div w:id="868107490">
      <w:bodyDiv w:val="1"/>
      <w:marLeft w:val="0"/>
      <w:marRight w:val="0"/>
      <w:marTop w:val="0"/>
      <w:marBottom w:val="0"/>
      <w:divBdr>
        <w:top w:val="none" w:sz="0" w:space="0" w:color="auto"/>
        <w:left w:val="none" w:sz="0" w:space="0" w:color="auto"/>
        <w:bottom w:val="none" w:sz="0" w:space="0" w:color="auto"/>
        <w:right w:val="none" w:sz="0" w:space="0" w:color="auto"/>
      </w:divBdr>
    </w:div>
    <w:div w:id="889654272">
      <w:bodyDiv w:val="1"/>
      <w:marLeft w:val="0"/>
      <w:marRight w:val="0"/>
      <w:marTop w:val="0"/>
      <w:marBottom w:val="0"/>
      <w:divBdr>
        <w:top w:val="none" w:sz="0" w:space="0" w:color="auto"/>
        <w:left w:val="none" w:sz="0" w:space="0" w:color="auto"/>
        <w:bottom w:val="none" w:sz="0" w:space="0" w:color="auto"/>
        <w:right w:val="none" w:sz="0" w:space="0" w:color="auto"/>
      </w:divBdr>
    </w:div>
    <w:div w:id="908033082">
      <w:bodyDiv w:val="1"/>
      <w:marLeft w:val="0"/>
      <w:marRight w:val="0"/>
      <w:marTop w:val="0"/>
      <w:marBottom w:val="0"/>
      <w:divBdr>
        <w:top w:val="none" w:sz="0" w:space="0" w:color="auto"/>
        <w:left w:val="none" w:sz="0" w:space="0" w:color="auto"/>
        <w:bottom w:val="none" w:sz="0" w:space="0" w:color="auto"/>
        <w:right w:val="none" w:sz="0" w:space="0" w:color="auto"/>
      </w:divBdr>
    </w:div>
    <w:div w:id="927738109">
      <w:bodyDiv w:val="1"/>
      <w:marLeft w:val="0"/>
      <w:marRight w:val="0"/>
      <w:marTop w:val="0"/>
      <w:marBottom w:val="0"/>
      <w:divBdr>
        <w:top w:val="none" w:sz="0" w:space="0" w:color="auto"/>
        <w:left w:val="none" w:sz="0" w:space="0" w:color="auto"/>
        <w:bottom w:val="none" w:sz="0" w:space="0" w:color="auto"/>
        <w:right w:val="none" w:sz="0" w:space="0" w:color="auto"/>
      </w:divBdr>
    </w:div>
    <w:div w:id="937449851">
      <w:bodyDiv w:val="1"/>
      <w:marLeft w:val="0"/>
      <w:marRight w:val="0"/>
      <w:marTop w:val="0"/>
      <w:marBottom w:val="0"/>
      <w:divBdr>
        <w:top w:val="none" w:sz="0" w:space="0" w:color="auto"/>
        <w:left w:val="none" w:sz="0" w:space="0" w:color="auto"/>
        <w:bottom w:val="none" w:sz="0" w:space="0" w:color="auto"/>
        <w:right w:val="none" w:sz="0" w:space="0" w:color="auto"/>
      </w:divBdr>
    </w:div>
    <w:div w:id="946549118">
      <w:bodyDiv w:val="1"/>
      <w:marLeft w:val="0"/>
      <w:marRight w:val="0"/>
      <w:marTop w:val="0"/>
      <w:marBottom w:val="0"/>
      <w:divBdr>
        <w:top w:val="none" w:sz="0" w:space="0" w:color="auto"/>
        <w:left w:val="none" w:sz="0" w:space="0" w:color="auto"/>
        <w:bottom w:val="none" w:sz="0" w:space="0" w:color="auto"/>
        <w:right w:val="none" w:sz="0" w:space="0" w:color="auto"/>
      </w:divBdr>
    </w:div>
    <w:div w:id="986863426">
      <w:bodyDiv w:val="1"/>
      <w:marLeft w:val="0"/>
      <w:marRight w:val="0"/>
      <w:marTop w:val="0"/>
      <w:marBottom w:val="0"/>
      <w:divBdr>
        <w:top w:val="none" w:sz="0" w:space="0" w:color="auto"/>
        <w:left w:val="none" w:sz="0" w:space="0" w:color="auto"/>
        <w:bottom w:val="none" w:sz="0" w:space="0" w:color="auto"/>
        <w:right w:val="none" w:sz="0" w:space="0" w:color="auto"/>
      </w:divBdr>
    </w:div>
    <w:div w:id="990792205">
      <w:bodyDiv w:val="1"/>
      <w:marLeft w:val="0"/>
      <w:marRight w:val="0"/>
      <w:marTop w:val="0"/>
      <w:marBottom w:val="0"/>
      <w:divBdr>
        <w:top w:val="none" w:sz="0" w:space="0" w:color="auto"/>
        <w:left w:val="none" w:sz="0" w:space="0" w:color="auto"/>
        <w:bottom w:val="none" w:sz="0" w:space="0" w:color="auto"/>
        <w:right w:val="none" w:sz="0" w:space="0" w:color="auto"/>
      </w:divBdr>
    </w:div>
    <w:div w:id="1027214536">
      <w:bodyDiv w:val="1"/>
      <w:marLeft w:val="0"/>
      <w:marRight w:val="0"/>
      <w:marTop w:val="0"/>
      <w:marBottom w:val="0"/>
      <w:divBdr>
        <w:top w:val="none" w:sz="0" w:space="0" w:color="auto"/>
        <w:left w:val="none" w:sz="0" w:space="0" w:color="auto"/>
        <w:bottom w:val="none" w:sz="0" w:space="0" w:color="auto"/>
        <w:right w:val="none" w:sz="0" w:space="0" w:color="auto"/>
      </w:divBdr>
    </w:div>
    <w:div w:id="1037853929">
      <w:bodyDiv w:val="1"/>
      <w:marLeft w:val="0"/>
      <w:marRight w:val="0"/>
      <w:marTop w:val="0"/>
      <w:marBottom w:val="0"/>
      <w:divBdr>
        <w:top w:val="none" w:sz="0" w:space="0" w:color="auto"/>
        <w:left w:val="none" w:sz="0" w:space="0" w:color="auto"/>
        <w:bottom w:val="none" w:sz="0" w:space="0" w:color="auto"/>
        <w:right w:val="none" w:sz="0" w:space="0" w:color="auto"/>
      </w:divBdr>
    </w:div>
    <w:div w:id="1040010553">
      <w:bodyDiv w:val="1"/>
      <w:marLeft w:val="0"/>
      <w:marRight w:val="0"/>
      <w:marTop w:val="0"/>
      <w:marBottom w:val="0"/>
      <w:divBdr>
        <w:top w:val="none" w:sz="0" w:space="0" w:color="auto"/>
        <w:left w:val="none" w:sz="0" w:space="0" w:color="auto"/>
        <w:bottom w:val="none" w:sz="0" w:space="0" w:color="auto"/>
        <w:right w:val="none" w:sz="0" w:space="0" w:color="auto"/>
      </w:divBdr>
    </w:div>
    <w:div w:id="1044795469">
      <w:bodyDiv w:val="1"/>
      <w:marLeft w:val="0"/>
      <w:marRight w:val="0"/>
      <w:marTop w:val="0"/>
      <w:marBottom w:val="0"/>
      <w:divBdr>
        <w:top w:val="none" w:sz="0" w:space="0" w:color="auto"/>
        <w:left w:val="none" w:sz="0" w:space="0" w:color="auto"/>
        <w:bottom w:val="none" w:sz="0" w:space="0" w:color="auto"/>
        <w:right w:val="none" w:sz="0" w:space="0" w:color="auto"/>
      </w:divBdr>
    </w:div>
    <w:div w:id="1052540023">
      <w:bodyDiv w:val="1"/>
      <w:marLeft w:val="0"/>
      <w:marRight w:val="0"/>
      <w:marTop w:val="0"/>
      <w:marBottom w:val="0"/>
      <w:divBdr>
        <w:top w:val="none" w:sz="0" w:space="0" w:color="auto"/>
        <w:left w:val="none" w:sz="0" w:space="0" w:color="auto"/>
        <w:bottom w:val="none" w:sz="0" w:space="0" w:color="auto"/>
        <w:right w:val="none" w:sz="0" w:space="0" w:color="auto"/>
      </w:divBdr>
    </w:div>
    <w:div w:id="1083604537">
      <w:bodyDiv w:val="1"/>
      <w:marLeft w:val="0"/>
      <w:marRight w:val="0"/>
      <w:marTop w:val="0"/>
      <w:marBottom w:val="0"/>
      <w:divBdr>
        <w:top w:val="none" w:sz="0" w:space="0" w:color="auto"/>
        <w:left w:val="none" w:sz="0" w:space="0" w:color="auto"/>
        <w:bottom w:val="none" w:sz="0" w:space="0" w:color="auto"/>
        <w:right w:val="none" w:sz="0" w:space="0" w:color="auto"/>
      </w:divBdr>
    </w:div>
    <w:div w:id="1105538302">
      <w:bodyDiv w:val="1"/>
      <w:marLeft w:val="0"/>
      <w:marRight w:val="0"/>
      <w:marTop w:val="0"/>
      <w:marBottom w:val="0"/>
      <w:divBdr>
        <w:top w:val="none" w:sz="0" w:space="0" w:color="auto"/>
        <w:left w:val="none" w:sz="0" w:space="0" w:color="auto"/>
        <w:bottom w:val="none" w:sz="0" w:space="0" w:color="auto"/>
        <w:right w:val="none" w:sz="0" w:space="0" w:color="auto"/>
      </w:divBdr>
    </w:div>
    <w:div w:id="1117606328">
      <w:bodyDiv w:val="1"/>
      <w:marLeft w:val="0"/>
      <w:marRight w:val="0"/>
      <w:marTop w:val="0"/>
      <w:marBottom w:val="0"/>
      <w:divBdr>
        <w:top w:val="none" w:sz="0" w:space="0" w:color="auto"/>
        <w:left w:val="none" w:sz="0" w:space="0" w:color="auto"/>
        <w:bottom w:val="none" w:sz="0" w:space="0" w:color="auto"/>
        <w:right w:val="none" w:sz="0" w:space="0" w:color="auto"/>
      </w:divBdr>
    </w:div>
    <w:div w:id="1123427454">
      <w:bodyDiv w:val="1"/>
      <w:marLeft w:val="0"/>
      <w:marRight w:val="0"/>
      <w:marTop w:val="0"/>
      <w:marBottom w:val="0"/>
      <w:divBdr>
        <w:top w:val="none" w:sz="0" w:space="0" w:color="auto"/>
        <w:left w:val="none" w:sz="0" w:space="0" w:color="auto"/>
        <w:bottom w:val="none" w:sz="0" w:space="0" w:color="auto"/>
        <w:right w:val="none" w:sz="0" w:space="0" w:color="auto"/>
      </w:divBdr>
    </w:div>
    <w:div w:id="1177773151">
      <w:bodyDiv w:val="1"/>
      <w:marLeft w:val="0"/>
      <w:marRight w:val="0"/>
      <w:marTop w:val="0"/>
      <w:marBottom w:val="0"/>
      <w:divBdr>
        <w:top w:val="none" w:sz="0" w:space="0" w:color="auto"/>
        <w:left w:val="none" w:sz="0" w:space="0" w:color="auto"/>
        <w:bottom w:val="none" w:sz="0" w:space="0" w:color="auto"/>
        <w:right w:val="none" w:sz="0" w:space="0" w:color="auto"/>
      </w:divBdr>
    </w:div>
    <w:div w:id="1178425054">
      <w:bodyDiv w:val="1"/>
      <w:marLeft w:val="0"/>
      <w:marRight w:val="0"/>
      <w:marTop w:val="0"/>
      <w:marBottom w:val="0"/>
      <w:divBdr>
        <w:top w:val="none" w:sz="0" w:space="0" w:color="auto"/>
        <w:left w:val="none" w:sz="0" w:space="0" w:color="auto"/>
        <w:bottom w:val="none" w:sz="0" w:space="0" w:color="auto"/>
        <w:right w:val="none" w:sz="0" w:space="0" w:color="auto"/>
      </w:divBdr>
    </w:div>
    <w:div w:id="1232807229">
      <w:bodyDiv w:val="1"/>
      <w:marLeft w:val="0"/>
      <w:marRight w:val="0"/>
      <w:marTop w:val="0"/>
      <w:marBottom w:val="0"/>
      <w:divBdr>
        <w:top w:val="none" w:sz="0" w:space="0" w:color="auto"/>
        <w:left w:val="none" w:sz="0" w:space="0" w:color="auto"/>
        <w:bottom w:val="none" w:sz="0" w:space="0" w:color="auto"/>
        <w:right w:val="none" w:sz="0" w:space="0" w:color="auto"/>
      </w:divBdr>
    </w:div>
    <w:div w:id="1247571944">
      <w:bodyDiv w:val="1"/>
      <w:marLeft w:val="0"/>
      <w:marRight w:val="0"/>
      <w:marTop w:val="0"/>
      <w:marBottom w:val="0"/>
      <w:divBdr>
        <w:top w:val="none" w:sz="0" w:space="0" w:color="auto"/>
        <w:left w:val="none" w:sz="0" w:space="0" w:color="auto"/>
        <w:bottom w:val="none" w:sz="0" w:space="0" w:color="auto"/>
        <w:right w:val="none" w:sz="0" w:space="0" w:color="auto"/>
      </w:divBdr>
    </w:div>
    <w:div w:id="1255358308">
      <w:bodyDiv w:val="1"/>
      <w:marLeft w:val="0"/>
      <w:marRight w:val="0"/>
      <w:marTop w:val="0"/>
      <w:marBottom w:val="0"/>
      <w:divBdr>
        <w:top w:val="none" w:sz="0" w:space="0" w:color="auto"/>
        <w:left w:val="none" w:sz="0" w:space="0" w:color="auto"/>
        <w:bottom w:val="none" w:sz="0" w:space="0" w:color="auto"/>
        <w:right w:val="none" w:sz="0" w:space="0" w:color="auto"/>
      </w:divBdr>
    </w:div>
    <w:div w:id="1271860867">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287926743">
      <w:bodyDiv w:val="1"/>
      <w:marLeft w:val="0"/>
      <w:marRight w:val="0"/>
      <w:marTop w:val="0"/>
      <w:marBottom w:val="0"/>
      <w:divBdr>
        <w:top w:val="none" w:sz="0" w:space="0" w:color="auto"/>
        <w:left w:val="none" w:sz="0" w:space="0" w:color="auto"/>
        <w:bottom w:val="none" w:sz="0" w:space="0" w:color="auto"/>
        <w:right w:val="none" w:sz="0" w:space="0" w:color="auto"/>
      </w:divBdr>
    </w:div>
    <w:div w:id="1309935832">
      <w:bodyDiv w:val="1"/>
      <w:marLeft w:val="0"/>
      <w:marRight w:val="0"/>
      <w:marTop w:val="0"/>
      <w:marBottom w:val="0"/>
      <w:divBdr>
        <w:top w:val="none" w:sz="0" w:space="0" w:color="auto"/>
        <w:left w:val="none" w:sz="0" w:space="0" w:color="auto"/>
        <w:bottom w:val="none" w:sz="0" w:space="0" w:color="auto"/>
        <w:right w:val="none" w:sz="0" w:space="0" w:color="auto"/>
      </w:divBdr>
    </w:div>
    <w:div w:id="1329360905">
      <w:bodyDiv w:val="1"/>
      <w:marLeft w:val="0"/>
      <w:marRight w:val="0"/>
      <w:marTop w:val="0"/>
      <w:marBottom w:val="0"/>
      <w:divBdr>
        <w:top w:val="none" w:sz="0" w:space="0" w:color="auto"/>
        <w:left w:val="none" w:sz="0" w:space="0" w:color="auto"/>
        <w:bottom w:val="none" w:sz="0" w:space="0" w:color="auto"/>
        <w:right w:val="none" w:sz="0" w:space="0" w:color="auto"/>
      </w:divBdr>
    </w:div>
    <w:div w:id="1335960421">
      <w:bodyDiv w:val="1"/>
      <w:marLeft w:val="0"/>
      <w:marRight w:val="0"/>
      <w:marTop w:val="0"/>
      <w:marBottom w:val="0"/>
      <w:divBdr>
        <w:top w:val="none" w:sz="0" w:space="0" w:color="auto"/>
        <w:left w:val="none" w:sz="0" w:space="0" w:color="auto"/>
        <w:bottom w:val="none" w:sz="0" w:space="0" w:color="auto"/>
        <w:right w:val="none" w:sz="0" w:space="0" w:color="auto"/>
      </w:divBdr>
    </w:div>
    <w:div w:id="1338725420">
      <w:bodyDiv w:val="1"/>
      <w:marLeft w:val="0"/>
      <w:marRight w:val="0"/>
      <w:marTop w:val="0"/>
      <w:marBottom w:val="0"/>
      <w:divBdr>
        <w:top w:val="none" w:sz="0" w:space="0" w:color="auto"/>
        <w:left w:val="none" w:sz="0" w:space="0" w:color="auto"/>
        <w:bottom w:val="none" w:sz="0" w:space="0" w:color="auto"/>
        <w:right w:val="none" w:sz="0" w:space="0" w:color="auto"/>
      </w:divBdr>
    </w:div>
    <w:div w:id="1339577379">
      <w:bodyDiv w:val="1"/>
      <w:marLeft w:val="0"/>
      <w:marRight w:val="0"/>
      <w:marTop w:val="0"/>
      <w:marBottom w:val="0"/>
      <w:divBdr>
        <w:top w:val="none" w:sz="0" w:space="0" w:color="auto"/>
        <w:left w:val="none" w:sz="0" w:space="0" w:color="auto"/>
        <w:bottom w:val="none" w:sz="0" w:space="0" w:color="auto"/>
        <w:right w:val="none" w:sz="0" w:space="0" w:color="auto"/>
      </w:divBdr>
    </w:div>
    <w:div w:id="1352995201">
      <w:bodyDiv w:val="1"/>
      <w:marLeft w:val="0"/>
      <w:marRight w:val="0"/>
      <w:marTop w:val="0"/>
      <w:marBottom w:val="0"/>
      <w:divBdr>
        <w:top w:val="none" w:sz="0" w:space="0" w:color="auto"/>
        <w:left w:val="none" w:sz="0" w:space="0" w:color="auto"/>
        <w:bottom w:val="none" w:sz="0" w:space="0" w:color="auto"/>
        <w:right w:val="none" w:sz="0" w:space="0" w:color="auto"/>
      </w:divBdr>
    </w:div>
    <w:div w:id="1365014681">
      <w:bodyDiv w:val="1"/>
      <w:marLeft w:val="0"/>
      <w:marRight w:val="0"/>
      <w:marTop w:val="0"/>
      <w:marBottom w:val="0"/>
      <w:divBdr>
        <w:top w:val="none" w:sz="0" w:space="0" w:color="auto"/>
        <w:left w:val="none" w:sz="0" w:space="0" w:color="auto"/>
        <w:bottom w:val="none" w:sz="0" w:space="0" w:color="auto"/>
        <w:right w:val="none" w:sz="0" w:space="0" w:color="auto"/>
      </w:divBdr>
    </w:div>
    <w:div w:id="1381323432">
      <w:bodyDiv w:val="1"/>
      <w:marLeft w:val="0"/>
      <w:marRight w:val="0"/>
      <w:marTop w:val="0"/>
      <w:marBottom w:val="0"/>
      <w:divBdr>
        <w:top w:val="none" w:sz="0" w:space="0" w:color="auto"/>
        <w:left w:val="none" w:sz="0" w:space="0" w:color="auto"/>
        <w:bottom w:val="none" w:sz="0" w:space="0" w:color="auto"/>
        <w:right w:val="none" w:sz="0" w:space="0" w:color="auto"/>
      </w:divBdr>
    </w:div>
    <w:div w:id="1395162864">
      <w:bodyDiv w:val="1"/>
      <w:marLeft w:val="0"/>
      <w:marRight w:val="0"/>
      <w:marTop w:val="0"/>
      <w:marBottom w:val="0"/>
      <w:divBdr>
        <w:top w:val="none" w:sz="0" w:space="0" w:color="auto"/>
        <w:left w:val="none" w:sz="0" w:space="0" w:color="auto"/>
        <w:bottom w:val="none" w:sz="0" w:space="0" w:color="auto"/>
        <w:right w:val="none" w:sz="0" w:space="0" w:color="auto"/>
      </w:divBdr>
    </w:div>
    <w:div w:id="1409574392">
      <w:bodyDiv w:val="1"/>
      <w:marLeft w:val="0"/>
      <w:marRight w:val="0"/>
      <w:marTop w:val="0"/>
      <w:marBottom w:val="0"/>
      <w:divBdr>
        <w:top w:val="none" w:sz="0" w:space="0" w:color="auto"/>
        <w:left w:val="none" w:sz="0" w:space="0" w:color="auto"/>
        <w:bottom w:val="none" w:sz="0" w:space="0" w:color="auto"/>
        <w:right w:val="none" w:sz="0" w:space="0" w:color="auto"/>
      </w:divBdr>
    </w:div>
    <w:div w:id="1424063942">
      <w:bodyDiv w:val="1"/>
      <w:marLeft w:val="0"/>
      <w:marRight w:val="0"/>
      <w:marTop w:val="0"/>
      <w:marBottom w:val="0"/>
      <w:divBdr>
        <w:top w:val="none" w:sz="0" w:space="0" w:color="auto"/>
        <w:left w:val="none" w:sz="0" w:space="0" w:color="auto"/>
        <w:bottom w:val="none" w:sz="0" w:space="0" w:color="auto"/>
        <w:right w:val="none" w:sz="0" w:space="0" w:color="auto"/>
      </w:divBdr>
    </w:div>
    <w:div w:id="1444374015">
      <w:bodyDiv w:val="1"/>
      <w:marLeft w:val="0"/>
      <w:marRight w:val="0"/>
      <w:marTop w:val="0"/>
      <w:marBottom w:val="0"/>
      <w:divBdr>
        <w:top w:val="none" w:sz="0" w:space="0" w:color="auto"/>
        <w:left w:val="none" w:sz="0" w:space="0" w:color="auto"/>
        <w:bottom w:val="none" w:sz="0" w:space="0" w:color="auto"/>
        <w:right w:val="none" w:sz="0" w:space="0" w:color="auto"/>
      </w:divBdr>
    </w:div>
    <w:div w:id="1478300256">
      <w:bodyDiv w:val="1"/>
      <w:marLeft w:val="0"/>
      <w:marRight w:val="0"/>
      <w:marTop w:val="0"/>
      <w:marBottom w:val="0"/>
      <w:divBdr>
        <w:top w:val="none" w:sz="0" w:space="0" w:color="auto"/>
        <w:left w:val="none" w:sz="0" w:space="0" w:color="auto"/>
        <w:bottom w:val="none" w:sz="0" w:space="0" w:color="auto"/>
        <w:right w:val="none" w:sz="0" w:space="0" w:color="auto"/>
      </w:divBdr>
    </w:div>
    <w:div w:id="1483497498">
      <w:bodyDiv w:val="1"/>
      <w:marLeft w:val="0"/>
      <w:marRight w:val="0"/>
      <w:marTop w:val="0"/>
      <w:marBottom w:val="0"/>
      <w:divBdr>
        <w:top w:val="none" w:sz="0" w:space="0" w:color="auto"/>
        <w:left w:val="none" w:sz="0" w:space="0" w:color="auto"/>
        <w:bottom w:val="none" w:sz="0" w:space="0" w:color="auto"/>
        <w:right w:val="none" w:sz="0" w:space="0" w:color="auto"/>
      </w:divBdr>
    </w:div>
    <w:div w:id="1508474495">
      <w:bodyDiv w:val="1"/>
      <w:marLeft w:val="0"/>
      <w:marRight w:val="0"/>
      <w:marTop w:val="0"/>
      <w:marBottom w:val="0"/>
      <w:divBdr>
        <w:top w:val="none" w:sz="0" w:space="0" w:color="auto"/>
        <w:left w:val="none" w:sz="0" w:space="0" w:color="auto"/>
        <w:bottom w:val="none" w:sz="0" w:space="0" w:color="auto"/>
        <w:right w:val="none" w:sz="0" w:space="0" w:color="auto"/>
      </w:divBdr>
    </w:div>
    <w:div w:id="1536577047">
      <w:bodyDiv w:val="1"/>
      <w:marLeft w:val="0"/>
      <w:marRight w:val="0"/>
      <w:marTop w:val="0"/>
      <w:marBottom w:val="0"/>
      <w:divBdr>
        <w:top w:val="none" w:sz="0" w:space="0" w:color="auto"/>
        <w:left w:val="none" w:sz="0" w:space="0" w:color="auto"/>
        <w:bottom w:val="none" w:sz="0" w:space="0" w:color="auto"/>
        <w:right w:val="none" w:sz="0" w:space="0" w:color="auto"/>
      </w:divBdr>
    </w:div>
    <w:div w:id="1540360957">
      <w:bodyDiv w:val="1"/>
      <w:marLeft w:val="0"/>
      <w:marRight w:val="0"/>
      <w:marTop w:val="0"/>
      <w:marBottom w:val="0"/>
      <w:divBdr>
        <w:top w:val="none" w:sz="0" w:space="0" w:color="auto"/>
        <w:left w:val="none" w:sz="0" w:space="0" w:color="auto"/>
        <w:bottom w:val="none" w:sz="0" w:space="0" w:color="auto"/>
        <w:right w:val="none" w:sz="0" w:space="0" w:color="auto"/>
      </w:divBdr>
    </w:div>
    <w:div w:id="1556240722">
      <w:bodyDiv w:val="1"/>
      <w:marLeft w:val="0"/>
      <w:marRight w:val="0"/>
      <w:marTop w:val="0"/>
      <w:marBottom w:val="0"/>
      <w:divBdr>
        <w:top w:val="none" w:sz="0" w:space="0" w:color="auto"/>
        <w:left w:val="none" w:sz="0" w:space="0" w:color="auto"/>
        <w:bottom w:val="none" w:sz="0" w:space="0" w:color="auto"/>
        <w:right w:val="none" w:sz="0" w:space="0" w:color="auto"/>
      </w:divBdr>
    </w:div>
    <w:div w:id="1558396684">
      <w:bodyDiv w:val="1"/>
      <w:marLeft w:val="0"/>
      <w:marRight w:val="0"/>
      <w:marTop w:val="0"/>
      <w:marBottom w:val="0"/>
      <w:divBdr>
        <w:top w:val="none" w:sz="0" w:space="0" w:color="auto"/>
        <w:left w:val="none" w:sz="0" w:space="0" w:color="auto"/>
        <w:bottom w:val="none" w:sz="0" w:space="0" w:color="auto"/>
        <w:right w:val="none" w:sz="0" w:space="0" w:color="auto"/>
      </w:divBdr>
    </w:div>
    <w:div w:id="1565526564">
      <w:bodyDiv w:val="1"/>
      <w:marLeft w:val="0"/>
      <w:marRight w:val="0"/>
      <w:marTop w:val="0"/>
      <w:marBottom w:val="0"/>
      <w:divBdr>
        <w:top w:val="none" w:sz="0" w:space="0" w:color="auto"/>
        <w:left w:val="none" w:sz="0" w:space="0" w:color="auto"/>
        <w:bottom w:val="none" w:sz="0" w:space="0" w:color="auto"/>
        <w:right w:val="none" w:sz="0" w:space="0" w:color="auto"/>
      </w:divBdr>
    </w:div>
    <w:div w:id="1578593605">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1590389019">
      <w:bodyDiv w:val="1"/>
      <w:marLeft w:val="0"/>
      <w:marRight w:val="0"/>
      <w:marTop w:val="0"/>
      <w:marBottom w:val="0"/>
      <w:divBdr>
        <w:top w:val="none" w:sz="0" w:space="0" w:color="auto"/>
        <w:left w:val="none" w:sz="0" w:space="0" w:color="auto"/>
        <w:bottom w:val="none" w:sz="0" w:space="0" w:color="auto"/>
        <w:right w:val="none" w:sz="0" w:space="0" w:color="auto"/>
      </w:divBdr>
    </w:div>
    <w:div w:id="1595088067">
      <w:bodyDiv w:val="1"/>
      <w:marLeft w:val="0"/>
      <w:marRight w:val="0"/>
      <w:marTop w:val="0"/>
      <w:marBottom w:val="0"/>
      <w:divBdr>
        <w:top w:val="none" w:sz="0" w:space="0" w:color="auto"/>
        <w:left w:val="none" w:sz="0" w:space="0" w:color="auto"/>
        <w:bottom w:val="none" w:sz="0" w:space="0" w:color="auto"/>
        <w:right w:val="none" w:sz="0" w:space="0" w:color="auto"/>
      </w:divBdr>
    </w:div>
    <w:div w:id="1601720467">
      <w:bodyDiv w:val="1"/>
      <w:marLeft w:val="0"/>
      <w:marRight w:val="0"/>
      <w:marTop w:val="0"/>
      <w:marBottom w:val="0"/>
      <w:divBdr>
        <w:top w:val="none" w:sz="0" w:space="0" w:color="auto"/>
        <w:left w:val="none" w:sz="0" w:space="0" w:color="auto"/>
        <w:bottom w:val="none" w:sz="0" w:space="0" w:color="auto"/>
        <w:right w:val="none" w:sz="0" w:space="0" w:color="auto"/>
      </w:divBdr>
    </w:div>
    <w:div w:id="1626621485">
      <w:bodyDiv w:val="1"/>
      <w:marLeft w:val="0"/>
      <w:marRight w:val="0"/>
      <w:marTop w:val="0"/>
      <w:marBottom w:val="0"/>
      <w:divBdr>
        <w:top w:val="none" w:sz="0" w:space="0" w:color="auto"/>
        <w:left w:val="none" w:sz="0" w:space="0" w:color="auto"/>
        <w:bottom w:val="none" w:sz="0" w:space="0" w:color="auto"/>
        <w:right w:val="none" w:sz="0" w:space="0" w:color="auto"/>
      </w:divBdr>
    </w:div>
    <w:div w:id="1651321528">
      <w:bodyDiv w:val="1"/>
      <w:marLeft w:val="0"/>
      <w:marRight w:val="0"/>
      <w:marTop w:val="0"/>
      <w:marBottom w:val="0"/>
      <w:divBdr>
        <w:top w:val="none" w:sz="0" w:space="0" w:color="auto"/>
        <w:left w:val="none" w:sz="0" w:space="0" w:color="auto"/>
        <w:bottom w:val="none" w:sz="0" w:space="0" w:color="auto"/>
        <w:right w:val="none" w:sz="0" w:space="0" w:color="auto"/>
      </w:divBdr>
    </w:div>
    <w:div w:id="1692102367">
      <w:bodyDiv w:val="1"/>
      <w:marLeft w:val="0"/>
      <w:marRight w:val="0"/>
      <w:marTop w:val="0"/>
      <w:marBottom w:val="0"/>
      <w:divBdr>
        <w:top w:val="none" w:sz="0" w:space="0" w:color="auto"/>
        <w:left w:val="none" w:sz="0" w:space="0" w:color="auto"/>
        <w:bottom w:val="none" w:sz="0" w:space="0" w:color="auto"/>
        <w:right w:val="none" w:sz="0" w:space="0" w:color="auto"/>
      </w:divBdr>
    </w:div>
    <w:div w:id="1706170417">
      <w:bodyDiv w:val="1"/>
      <w:marLeft w:val="0"/>
      <w:marRight w:val="0"/>
      <w:marTop w:val="0"/>
      <w:marBottom w:val="0"/>
      <w:divBdr>
        <w:top w:val="none" w:sz="0" w:space="0" w:color="auto"/>
        <w:left w:val="none" w:sz="0" w:space="0" w:color="auto"/>
        <w:bottom w:val="none" w:sz="0" w:space="0" w:color="auto"/>
        <w:right w:val="none" w:sz="0" w:space="0" w:color="auto"/>
      </w:divBdr>
    </w:div>
    <w:div w:id="1727102942">
      <w:bodyDiv w:val="1"/>
      <w:marLeft w:val="0"/>
      <w:marRight w:val="0"/>
      <w:marTop w:val="0"/>
      <w:marBottom w:val="0"/>
      <w:divBdr>
        <w:top w:val="none" w:sz="0" w:space="0" w:color="auto"/>
        <w:left w:val="none" w:sz="0" w:space="0" w:color="auto"/>
        <w:bottom w:val="none" w:sz="0" w:space="0" w:color="auto"/>
        <w:right w:val="none" w:sz="0" w:space="0" w:color="auto"/>
      </w:divBdr>
    </w:div>
    <w:div w:id="1819609421">
      <w:bodyDiv w:val="1"/>
      <w:marLeft w:val="0"/>
      <w:marRight w:val="0"/>
      <w:marTop w:val="0"/>
      <w:marBottom w:val="0"/>
      <w:divBdr>
        <w:top w:val="none" w:sz="0" w:space="0" w:color="auto"/>
        <w:left w:val="none" w:sz="0" w:space="0" w:color="auto"/>
        <w:bottom w:val="none" w:sz="0" w:space="0" w:color="auto"/>
        <w:right w:val="none" w:sz="0" w:space="0" w:color="auto"/>
      </w:divBdr>
    </w:div>
    <w:div w:id="1824815137">
      <w:bodyDiv w:val="1"/>
      <w:marLeft w:val="0"/>
      <w:marRight w:val="0"/>
      <w:marTop w:val="0"/>
      <w:marBottom w:val="0"/>
      <w:divBdr>
        <w:top w:val="none" w:sz="0" w:space="0" w:color="auto"/>
        <w:left w:val="none" w:sz="0" w:space="0" w:color="auto"/>
        <w:bottom w:val="none" w:sz="0" w:space="0" w:color="auto"/>
        <w:right w:val="none" w:sz="0" w:space="0" w:color="auto"/>
      </w:divBdr>
    </w:div>
    <w:div w:id="1832988001">
      <w:bodyDiv w:val="1"/>
      <w:marLeft w:val="0"/>
      <w:marRight w:val="0"/>
      <w:marTop w:val="0"/>
      <w:marBottom w:val="0"/>
      <w:divBdr>
        <w:top w:val="none" w:sz="0" w:space="0" w:color="auto"/>
        <w:left w:val="none" w:sz="0" w:space="0" w:color="auto"/>
        <w:bottom w:val="none" w:sz="0" w:space="0" w:color="auto"/>
        <w:right w:val="none" w:sz="0" w:space="0" w:color="auto"/>
      </w:divBdr>
    </w:div>
    <w:div w:id="1852258427">
      <w:bodyDiv w:val="1"/>
      <w:marLeft w:val="0"/>
      <w:marRight w:val="0"/>
      <w:marTop w:val="0"/>
      <w:marBottom w:val="0"/>
      <w:divBdr>
        <w:top w:val="none" w:sz="0" w:space="0" w:color="auto"/>
        <w:left w:val="none" w:sz="0" w:space="0" w:color="auto"/>
        <w:bottom w:val="none" w:sz="0" w:space="0" w:color="auto"/>
        <w:right w:val="none" w:sz="0" w:space="0" w:color="auto"/>
      </w:divBdr>
    </w:div>
    <w:div w:id="1871382532">
      <w:bodyDiv w:val="1"/>
      <w:marLeft w:val="0"/>
      <w:marRight w:val="0"/>
      <w:marTop w:val="0"/>
      <w:marBottom w:val="0"/>
      <w:divBdr>
        <w:top w:val="none" w:sz="0" w:space="0" w:color="auto"/>
        <w:left w:val="none" w:sz="0" w:space="0" w:color="auto"/>
        <w:bottom w:val="none" w:sz="0" w:space="0" w:color="auto"/>
        <w:right w:val="none" w:sz="0" w:space="0" w:color="auto"/>
      </w:divBdr>
    </w:div>
    <w:div w:id="1880243217">
      <w:bodyDiv w:val="1"/>
      <w:marLeft w:val="0"/>
      <w:marRight w:val="0"/>
      <w:marTop w:val="0"/>
      <w:marBottom w:val="0"/>
      <w:divBdr>
        <w:top w:val="none" w:sz="0" w:space="0" w:color="auto"/>
        <w:left w:val="none" w:sz="0" w:space="0" w:color="auto"/>
        <w:bottom w:val="none" w:sz="0" w:space="0" w:color="auto"/>
        <w:right w:val="none" w:sz="0" w:space="0" w:color="auto"/>
      </w:divBdr>
    </w:div>
    <w:div w:id="1905294685">
      <w:bodyDiv w:val="1"/>
      <w:marLeft w:val="0"/>
      <w:marRight w:val="0"/>
      <w:marTop w:val="0"/>
      <w:marBottom w:val="0"/>
      <w:divBdr>
        <w:top w:val="none" w:sz="0" w:space="0" w:color="auto"/>
        <w:left w:val="none" w:sz="0" w:space="0" w:color="auto"/>
        <w:bottom w:val="none" w:sz="0" w:space="0" w:color="auto"/>
        <w:right w:val="none" w:sz="0" w:space="0" w:color="auto"/>
      </w:divBdr>
    </w:div>
    <w:div w:id="1941524408">
      <w:bodyDiv w:val="1"/>
      <w:marLeft w:val="0"/>
      <w:marRight w:val="0"/>
      <w:marTop w:val="0"/>
      <w:marBottom w:val="0"/>
      <w:divBdr>
        <w:top w:val="none" w:sz="0" w:space="0" w:color="auto"/>
        <w:left w:val="none" w:sz="0" w:space="0" w:color="auto"/>
        <w:bottom w:val="none" w:sz="0" w:space="0" w:color="auto"/>
        <w:right w:val="none" w:sz="0" w:space="0" w:color="auto"/>
      </w:divBdr>
    </w:div>
    <w:div w:id="1984263832">
      <w:bodyDiv w:val="1"/>
      <w:marLeft w:val="0"/>
      <w:marRight w:val="0"/>
      <w:marTop w:val="0"/>
      <w:marBottom w:val="0"/>
      <w:divBdr>
        <w:top w:val="none" w:sz="0" w:space="0" w:color="auto"/>
        <w:left w:val="none" w:sz="0" w:space="0" w:color="auto"/>
        <w:bottom w:val="none" w:sz="0" w:space="0" w:color="auto"/>
        <w:right w:val="none" w:sz="0" w:space="0" w:color="auto"/>
      </w:divBdr>
    </w:div>
    <w:div w:id="1991982966">
      <w:bodyDiv w:val="1"/>
      <w:marLeft w:val="0"/>
      <w:marRight w:val="0"/>
      <w:marTop w:val="0"/>
      <w:marBottom w:val="0"/>
      <w:divBdr>
        <w:top w:val="none" w:sz="0" w:space="0" w:color="auto"/>
        <w:left w:val="none" w:sz="0" w:space="0" w:color="auto"/>
        <w:bottom w:val="none" w:sz="0" w:space="0" w:color="auto"/>
        <w:right w:val="none" w:sz="0" w:space="0" w:color="auto"/>
      </w:divBdr>
    </w:div>
    <w:div w:id="2005623840">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25128613">
      <w:bodyDiv w:val="1"/>
      <w:marLeft w:val="0"/>
      <w:marRight w:val="0"/>
      <w:marTop w:val="0"/>
      <w:marBottom w:val="0"/>
      <w:divBdr>
        <w:top w:val="none" w:sz="0" w:space="0" w:color="auto"/>
        <w:left w:val="none" w:sz="0" w:space="0" w:color="auto"/>
        <w:bottom w:val="none" w:sz="0" w:space="0" w:color="auto"/>
        <w:right w:val="none" w:sz="0" w:space="0" w:color="auto"/>
      </w:divBdr>
    </w:div>
    <w:div w:id="2058890964">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076584517">
      <w:bodyDiv w:val="1"/>
      <w:marLeft w:val="0"/>
      <w:marRight w:val="0"/>
      <w:marTop w:val="0"/>
      <w:marBottom w:val="0"/>
      <w:divBdr>
        <w:top w:val="none" w:sz="0" w:space="0" w:color="auto"/>
        <w:left w:val="none" w:sz="0" w:space="0" w:color="auto"/>
        <w:bottom w:val="none" w:sz="0" w:space="0" w:color="auto"/>
        <w:right w:val="none" w:sz="0" w:space="0" w:color="auto"/>
      </w:divBdr>
    </w:div>
    <w:div w:id="2086610716">
      <w:bodyDiv w:val="1"/>
      <w:marLeft w:val="0"/>
      <w:marRight w:val="0"/>
      <w:marTop w:val="0"/>
      <w:marBottom w:val="0"/>
      <w:divBdr>
        <w:top w:val="none" w:sz="0" w:space="0" w:color="auto"/>
        <w:left w:val="none" w:sz="0" w:space="0" w:color="auto"/>
        <w:bottom w:val="none" w:sz="0" w:space="0" w:color="auto"/>
        <w:right w:val="none" w:sz="0" w:space="0" w:color="auto"/>
      </w:divBdr>
    </w:div>
    <w:div w:id="2100366026">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3CE86-757B-43A7-A6E6-C59F783A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2984</TotalTime>
  <Pages>17</Pages>
  <Words>4500</Words>
  <Characters>25651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Northern Territory Government 2018 G26</vt:lpstr>
    </vt:vector>
  </TitlesOfParts>
  <Company>NTG</Company>
  <LinksUpToDate>false</LinksUpToDate>
  <CharactersWithSpaces>30091</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2018 G26</dc:title>
  <dc:subject/>
  <dc:creator>Northern Territory Government</dc:creator>
  <cp:keywords/>
  <dc:description/>
  <cp:lastModifiedBy>Catherine Frances Maher</cp:lastModifiedBy>
  <cp:revision>36</cp:revision>
  <cp:lastPrinted>2018-06-25T04:28:00Z</cp:lastPrinted>
  <dcterms:created xsi:type="dcterms:W3CDTF">2018-06-20T01:47:00Z</dcterms:created>
  <dcterms:modified xsi:type="dcterms:W3CDTF">2018-06-26T05:27:00Z</dcterms:modified>
</cp:coreProperties>
</file>