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503A" w:rsidRDefault="00F0503A" w:rsidP="00C27A0A">
      <w:pPr>
        <w:pStyle w:val="HeadingOne"/>
      </w:pPr>
      <w:bookmarkStart w:id="0" w:name="_GoBack"/>
      <w:bookmarkEnd w:id="0"/>
    </w:p>
    <w:p w:rsidR="00F0503A" w:rsidRDefault="00F0503A" w:rsidP="00C27A0A">
      <w:pPr>
        <w:pStyle w:val="HeadingOne"/>
      </w:pPr>
    </w:p>
    <w:p w:rsidR="00F0503A" w:rsidRDefault="00F0503A" w:rsidP="00C27A0A">
      <w:pPr>
        <w:pStyle w:val="HeadingOne"/>
      </w:pPr>
    </w:p>
    <w:p w:rsidR="00F52F1D" w:rsidRDefault="00F0503A" w:rsidP="00C27A0A">
      <w:pPr>
        <w:pStyle w:val="HeadingOne"/>
      </w:pPr>
      <w:r>
        <w:t xml:space="preserve"> </w:t>
      </w:r>
      <w:r w:rsidR="00F52F1D">
        <w:t>TERRITORY REVENUE OFFICE</w:t>
      </w:r>
    </w:p>
    <w:p w:rsidR="002546CB" w:rsidRPr="00C27A0A" w:rsidRDefault="00DE64A9" w:rsidP="00C27A0A">
      <w:pPr>
        <w:pStyle w:val="HeadingOne"/>
      </w:pPr>
      <w:r>
        <w:t>COMMISSIONER’S GUIDELINE</w:t>
      </w:r>
    </w:p>
    <w:p w:rsidR="00C27A0A" w:rsidRPr="00C27A0A" w:rsidRDefault="00513926" w:rsidP="00C27A0A">
      <w:pPr>
        <w:pStyle w:val="HeadingOne"/>
      </w:pPr>
      <w:r>
        <w:t>CG</w:t>
      </w:r>
      <w:r w:rsidR="00C27A0A" w:rsidRPr="00C27A0A">
        <w:t>-</w:t>
      </w:r>
      <w:r w:rsidR="004135B0">
        <w:t>GEN-002: Interest and penalty tax</w:t>
      </w:r>
    </w:p>
    <w:p w:rsidR="00C27A0A" w:rsidRDefault="00C27A0A" w:rsidP="00C27A0A">
      <w:pPr>
        <w:rPr>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1030"/>
        <w:gridCol w:w="1848"/>
        <w:gridCol w:w="1710"/>
        <w:gridCol w:w="1842"/>
      </w:tblGrid>
      <w:tr w:rsidR="00F65356" w:rsidRPr="001F4BE5" w:rsidTr="001F4BE5">
        <w:trPr>
          <w:jc w:val="center"/>
        </w:trPr>
        <w:tc>
          <w:tcPr>
            <w:tcW w:w="1030" w:type="dxa"/>
            <w:vMerge w:val="restart"/>
            <w:shd w:val="clear" w:color="auto" w:fill="auto"/>
          </w:tcPr>
          <w:p w:rsidR="00F65356" w:rsidRPr="001F4BE5" w:rsidRDefault="00F65356" w:rsidP="001F4BE5">
            <w:pPr>
              <w:jc w:val="center"/>
              <w:rPr>
                <w:b/>
                <w:sz w:val="18"/>
                <w:szCs w:val="18"/>
              </w:rPr>
            </w:pPr>
            <w:r w:rsidRPr="001F4BE5">
              <w:rPr>
                <w:b/>
                <w:sz w:val="18"/>
                <w:szCs w:val="18"/>
              </w:rPr>
              <w:t>Version</w:t>
            </w:r>
          </w:p>
        </w:tc>
        <w:tc>
          <w:tcPr>
            <w:tcW w:w="1848" w:type="dxa"/>
            <w:vMerge w:val="restart"/>
            <w:tcBorders>
              <w:right w:val="single" w:sz="4" w:space="0" w:color="auto"/>
            </w:tcBorders>
            <w:shd w:val="clear" w:color="auto" w:fill="auto"/>
          </w:tcPr>
          <w:p w:rsidR="00F65356" w:rsidRPr="001F4BE5" w:rsidRDefault="00F65356" w:rsidP="001F4BE5">
            <w:pPr>
              <w:jc w:val="center"/>
              <w:rPr>
                <w:b/>
                <w:sz w:val="18"/>
                <w:szCs w:val="18"/>
              </w:rPr>
            </w:pPr>
            <w:r w:rsidRPr="001F4BE5">
              <w:rPr>
                <w:b/>
                <w:sz w:val="18"/>
                <w:szCs w:val="18"/>
              </w:rPr>
              <w:t>Issued</w:t>
            </w:r>
          </w:p>
        </w:tc>
        <w:tc>
          <w:tcPr>
            <w:tcW w:w="3552" w:type="dxa"/>
            <w:gridSpan w:val="2"/>
            <w:tcBorders>
              <w:top w:val="single" w:sz="4" w:space="0" w:color="auto"/>
              <w:left w:val="single" w:sz="4" w:space="0" w:color="auto"/>
              <w:bottom w:val="nil"/>
              <w:right w:val="single" w:sz="4" w:space="0" w:color="auto"/>
            </w:tcBorders>
            <w:shd w:val="clear" w:color="auto" w:fill="auto"/>
          </w:tcPr>
          <w:p w:rsidR="00F65356" w:rsidRPr="001F4BE5" w:rsidRDefault="00F65356" w:rsidP="001F4BE5">
            <w:pPr>
              <w:jc w:val="center"/>
              <w:rPr>
                <w:b/>
                <w:sz w:val="18"/>
                <w:szCs w:val="18"/>
              </w:rPr>
            </w:pPr>
            <w:r w:rsidRPr="001F4BE5">
              <w:rPr>
                <w:b/>
                <w:sz w:val="18"/>
                <w:szCs w:val="18"/>
              </w:rPr>
              <w:t>Dates of Effect</w:t>
            </w:r>
          </w:p>
        </w:tc>
      </w:tr>
      <w:tr w:rsidR="00F65356" w:rsidRPr="001F4BE5" w:rsidTr="001F4BE5">
        <w:trPr>
          <w:jc w:val="center"/>
        </w:trPr>
        <w:tc>
          <w:tcPr>
            <w:tcW w:w="1030" w:type="dxa"/>
            <w:vMerge/>
            <w:shd w:val="clear" w:color="auto" w:fill="auto"/>
          </w:tcPr>
          <w:p w:rsidR="00F65356" w:rsidRPr="001F4BE5" w:rsidRDefault="00F65356" w:rsidP="001F4BE5">
            <w:pPr>
              <w:jc w:val="center"/>
              <w:rPr>
                <w:sz w:val="18"/>
                <w:szCs w:val="18"/>
              </w:rPr>
            </w:pPr>
          </w:p>
        </w:tc>
        <w:tc>
          <w:tcPr>
            <w:tcW w:w="1848" w:type="dxa"/>
            <w:vMerge/>
            <w:tcBorders>
              <w:right w:val="single" w:sz="4" w:space="0" w:color="auto"/>
            </w:tcBorders>
            <w:shd w:val="clear" w:color="auto" w:fill="auto"/>
          </w:tcPr>
          <w:p w:rsidR="00F65356" w:rsidRPr="001F4BE5" w:rsidRDefault="00F65356" w:rsidP="001F4BE5">
            <w:pPr>
              <w:jc w:val="center"/>
              <w:rPr>
                <w:sz w:val="18"/>
                <w:szCs w:val="18"/>
              </w:rPr>
            </w:pPr>
          </w:p>
        </w:tc>
        <w:tc>
          <w:tcPr>
            <w:tcW w:w="1710" w:type="dxa"/>
            <w:tcBorders>
              <w:top w:val="nil"/>
              <w:left w:val="single" w:sz="4" w:space="0" w:color="auto"/>
              <w:bottom w:val="single" w:sz="4" w:space="0" w:color="auto"/>
              <w:right w:val="nil"/>
            </w:tcBorders>
            <w:shd w:val="clear" w:color="auto" w:fill="auto"/>
          </w:tcPr>
          <w:p w:rsidR="00F65356" w:rsidRPr="001F4BE5" w:rsidRDefault="00F65356" w:rsidP="00AD2225">
            <w:pPr>
              <w:rPr>
                <w:b/>
                <w:sz w:val="18"/>
                <w:szCs w:val="18"/>
              </w:rPr>
            </w:pPr>
            <w:r w:rsidRPr="001F4BE5">
              <w:rPr>
                <w:b/>
                <w:sz w:val="18"/>
                <w:szCs w:val="18"/>
              </w:rPr>
              <w:t>From:</w:t>
            </w:r>
          </w:p>
        </w:tc>
        <w:tc>
          <w:tcPr>
            <w:tcW w:w="1842" w:type="dxa"/>
            <w:tcBorders>
              <w:top w:val="nil"/>
              <w:left w:val="nil"/>
              <w:bottom w:val="single" w:sz="4" w:space="0" w:color="auto"/>
              <w:right w:val="single" w:sz="4" w:space="0" w:color="auto"/>
            </w:tcBorders>
            <w:shd w:val="clear" w:color="auto" w:fill="auto"/>
          </w:tcPr>
          <w:p w:rsidR="00F65356" w:rsidRPr="001F4BE5" w:rsidRDefault="008F5D06" w:rsidP="00AD2225">
            <w:pPr>
              <w:rPr>
                <w:b/>
                <w:sz w:val="18"/>
                <w:szCs w:val="18"/>
              </w:rPr>
            </w:pPr>
            <w:r w:rsidRPr="001F4BE5">
              <w:rPr>
                <w:b/>
                <w:sz w:val="18"/>
                <w:szCs w:val="18"/>
              </w:rPr>
              <w:t>To:</w:t>
            </w:r>
          </w:p>
        </w:tc>
      </w:tr>
      <w:tr w:rsidR="004135B0" w:rsidRPr="001F4BE5" w:rsidTr="001F4BE5">
        <w:trPr>
          <w:jc w:val="center"/>
        </w:trPr>
        <w:tc>
          <w:tcPr>
            <w:tcW w:w="1030" w:type="dxa"/>
            <w:shd w:val="clear" w:color="auto" w:fill="auto"/>
          </w:tcPr>
          <w:p w:rsidR="004135B0" w:rsidRPr="001F4BE5" w:rsidRDefault="004135B0" w:rsidP="001F4BE5">
            <w:pPr>
              <w:jc w:val="center"/>
              <w:rPr>
                <w:sz w:val="18"/>
                <w:szCs w:val="18"/>
              </w:rPr>
            </w:pPr>
            <w:r w:rsidRPr="001F4BE5">
              <w:rPr>
                <w:sz w:val="18"/>
                <w:szCs w:val="18"/>
              </w:rPr>
              <w:t>1</w:t>
            </w:r>
          </w:p>
        </w:tc>
        <w:tc>
          <w:tcPr>
            <w:tcW w:w="1848" w:type="dxa"/>
            <w:shd w:val="clear" w:color="auto" w:fill="auto"/>
          </w:tcPr>
          <w:p w:rsidR="004135B0" w:rsidRPr="001F4BE5" w:rsidRDefault="004135B0" w:rsidP="008F5D06">
            <w:pPr>
              <w:rPr>
                <w:sz w:val="18"/>
                <w:szCs w:val="18"/>
              </w:rPr>
            </w:pPr>
            <w:r w:rsidRPr="001F4BE5">
              <w:rPr>
                <w:sz w:val="18"/>
                <w:szCs w:val="18"/>
              </w:rPr>
              <w:t>9 May 2005</w:t>
            </w:r>
          </w:p>
        </w:tc>
        <w:tc>
          <w:tcPr>
            <w:tcW w:w="1710" w:type="dxa"/>
            <w:tcBorders>
              <w:top w:val="single" w:sz="4" w:space="0" w:color="auto"/>
              <w:bottom w:val="single" w:sz="4" w:space="0" w:color="auto"/>
            </w:tcBorders>
            <w:shd w:val="clear" w:color="auto" w:fill="auto"/>
          </w:tcPr>
          <w:p w:rsidR="004135B0" w:rsidRPr="001F4BE5" w:rsidRDefault="004135B0" w:rsidP="008F5D06">
            <w:pPr>
              <w:rPr>
                <w:sz w:val="18"/>
                <w:szCs w:val="18"/>
              </w:rPr>
            </w:pPr>
            <w:r w:rsidRPr="001F4BE5">
              <w:rPr>
                <w:sz w:val="18"/>
                <w:szCs w:val="18"/>
              </w:rPr>
              <w:t>9 May 2005</w:t>
            </w:r>
          </w:p>
        </w:tc>
        <w:tc>
          <w:tcPr>
            <w:tcW w:w="1842" w:type="dxa"/>
            <w:tcBorders>
              <w:top w:val="single" w:sz="4" w:space="0" w:color="auto"/>
              <w:bottom w:val="single" w:sz="4" w:space="0" w:color="auto"/>
            </w:tcBorders>
            <w:shd w:val="clear" w:color="auto" w:fill="auto"/>
          </w:tcPr>
          <w:p w:rsidR="004135B0" w:rsidRPr="001F4BE5" w:rsidRDefault="004135B0" w:rsidP="008F5D06">
            <w:pPr>
              <w:rPr>
                <w:sz w:val="18"/>
                <w:szCs w:val="18"/>
              </w:rPr>
            </w:pPr>
            <w:r w:rsidRPr="001F4BE5">
              <w:rPr>
                <w:sz w:val="18"/>
                <w:szCs w:val="18"/>
              </w:rPr>
              <w:t>30 September 2005</w:t>
            </w:r>
          </w:p>
        </w:tc>
      </w:tr>
      <w:tr w:rsidR="004135B0" w:rsidRPr="001F4BE5" w:rsidTr="001F4BE5">
        <w:trPr>
          <w:jc w:val="center"/>
        </w:trPr>
        <w:tc>
          <w:tcPr>
            <w:tcW w:w="1030" w:type="dxa"/>
            <w:shd w:val="clear" w:color="auto" w:fill="auto"/>
          </w:tcPr>
          <w:p w:rsidR="004135B0" w:rsidRPr="001F4BE5" w:rsidRDefault="004135B0" w:rsidP="001F4BE5">
            <w:pPr>
              <w:jc w:val="center"/>
              <w:rPr>
                <w:sz w:val="18"/>
                <w:szCs w:val="18"/>
              </w:rPr>
            </w:pPr>
            <w:r w:rsidRPr="001F4BE5">
              <w:rPr>
                <w:sz w:val="18"/>
                <w:szCs w:val="18"/>
              </w:rPr>
              <w:t>2</w:t>
            </w:r>
          </w:p>
        </w:tc>
        <w:tc>
          <w:tcPr>
            <w:tcW w:w="1848" w:type="dxa"/>
            <w:shd w:val="clear" w:color="auto" w:fill="auto"/>
          </w:tcPr>
          <w:p w:rsidR="004135B0" w:rsidRPr="001F4BE5" w:rsidRDefault="004135B0" w:rsidP="008F5D06">
            <w:pPr>
              <w:rPr>
                <w:sz w:val="18"/>
                <w:szCs w:val="18"/>
              </w:rPr>
            </w:pPr>
            <w:r w:rsidRPr="001F4BE5">
              <w:rPr>
                <w:sz w:val="18"/>
                <w:szCs w:val="18"/>
              </w:rPr>
              <w:t>1 October 2005</w:t>
            </w:r>
          </w:p>
        </w:tc>
        <w:tc>
          <w:tcPr>
            <w:tcW w:w="1710" w:type="dxa"/>
            <w:tcBorders>
              <w:top w:val="single" w:sz="4" w:space="0" w:color="auto"/>
              <w:bottom w:val="single" w:sz="4" w:space="0" w:color="auto"/>
            </w:tcBorders>
            <w:shd w:val="clear" w:color="auto" w:fill="auto"/>
          </w:tcPr>
          <w:p w:rsidR="004135B0" w:rsidRPr="001F4BE5" w:rsidRDefault="004135B0" w:rsidP="008F5D06">
            <w:pPr>
              <w:rPr>
                <w:sz w:val="18"/>
                <w:szCs w:val="18"/>
              </w:rPr>
            </w:pPr>
            <w:r w:rsidRPr="001F4BE5">
              <w:rPr>
                <w:sz w:val="18"/>
                <w:szCs w:val="18"/>
              </w:rPr>
              <w:t>1 October 2005</w:t>
            </w:r>
          </w:p>
        </w:tc>
        <w:tc>
          <w:tcPr>
            <w:tcW w:w="1842" w:type="dxa"/>
            <w:tcBorders>
              <w:top w:val="single" w:sz="4" w:space="0" w:color="auto"/>
              <w:bottom w:val="single" w:sz="4" w:space="0" w:color="auto"/>
            </w:tcBorders>
            <w:shd w:val="clear" w:color="auto" w:fill="auto"/>
          </w:tcPr>
          <w:p w:rsidR="004135B0" w:rsidRPr="001F4BE5" w:rsidRDefault="004135B0" w:rsidP="008F5D06">
            <w:pPr>
              <w:rPr>
                <w:sz w:val="18"/>
                <w:szCs w:val="18"/>
              </w:rPr>
            </w:pPr>
            <w:r w:rsidRPr="001F4BE5">
              <w:rPr>
                <w:sz w:val="18"/>
                <w:szCs w:val="18"/>
              </w:rPr>
              <w:t>19 January 2007</w:t>
            </w:r>
          </w:p>
        </w:tc>
      </w:tr>
      <w:tr w:rsidR="004135B0" w:rsidRPr="001F4BE5" w:rsidTr="001F4BE5">
        <w:trPr>
          <w:jc w:val="center"/>
        </w:trPr>
        <w:tc>
          <w:tcPr>
            <w:tcW w:w="1030" w:type="dxa"/>
            <w:shd w:val="clear" w:color="auto" w:fill="auto"/>
          </w:tcPr>
          <w:p w:rsidR="004135B0" w:rsidRPr="001F4BE5" w:rsidRDefault="004135B0" w:rsidP="001F4BE5">
            <w:pPr>
              <w:jc w:val="center"/>
              <w:rPr>
                <w:sz w:val="18"/>
                <w:szCs w:val="18"/>
              </w:rPr>
            </w:pPr>
            <w:r w:rsidRPr="001F4BE5">
              <w:rPr>
                <w:sz w:val="18"/>
                <w:szCs w:val="18"/>
              </w:rPr>
              <w:t>3</w:t>
            </w:r>
          </w:p>
        </w:tc>
        <w:tc>
          <w:tcPr>
            <w:tcW w:w="1848" w:type="dxa"/>
            <w:shd w:val="clear" w:color="auto" w:fill="auto"/>
          </w:tcPr>
          <w:p w:rsidR="004135B0" w:rsidRPr="001F4BE5" w:rsidRDefault="004135B0" w:rsidP="008F5D06">
            <w:pPr>
              <w:rPr>
                <w:sz w:val="18"/>
                <w:szCs w:val="18"/>
              </w:rPr>
            </w:pPr>
            <w:r w:rsidRPr="001F4BE5">
              <w:rPr>
                <w:sz w:val="18"/>
                <w:szCs w:val="18"/>
              </w:rPr>
              <w:t>22 January 2007</w:t>
            </w:r>
          </w:p>
        </w:tc>
        <w:tc>
          <w:tcPr>
            <w:tcW w:w="1710" w:type="dxa"/>
            <w:tcBorders>
              <w:top w:val="single" w:sz="4" w:space="0" w:color="auto"/>
              <w:bottom w:val="single" w:sz="4" w:space="0" w:color="auto"/>
            </w:tcBorders>
            <w:shd w:val="clear" w:color="auto" w:fill="auto"/>
          </w:tcPr>
          <w:p w:rsidR="004135B0" w:rsidRPr="001F4BE5" w:rsidRDefault="004135B0" w:rsidP="008F5D06">
            <w:pPr>
              <w:rPr>
                <w:sz w:val="18"/>
                <w:szCs w:val="18"/>
              </w:rPr>
            </w:pPr>
            <w:r w:rsidRPr="001F4BE5">
              <w:rPr>
                <w:sz w:val="18"/>
                <w:szCs w:val="18"/>
              </w:rPr>
              <w:t>22 January 2007</w:t>
            </w:r>
          </w:p>
        </w:tc>
        <w:tc>
          <w:tcPr>
            <w:tcW w:w="1842" w:type="dxa"/>
            <w:tcBorders>
              <w:top w:val="single" w:sz="4" w:space="0" w:color="auto"/>
              <w:bottom w:val="single" w:sz="4" w:space="0" w:color="auto"/>
            </w:tcBorders>
            <w:shd w:val="clear" w:color="auto" w:fill="auto"/>
          </w:tcPr>
          <w:p w:rsidR="004135B0" w:rsidRPr="001F4BE5" w:rsidRDefault="004135B0" w:rsidP="008F5D06">
            <w:pPr>
              <w:rPr>
                <w:sz w:val="18"/>
                <w:szCs w:val="18"/>
              </w:rPr>
            </w:pPr>
            <w:r w:rsidRPr="001F4BE5">
              <w:rPr>
                <w:sz w:val="18"/>
                <w:szCs w:val="18"/>
              </w:rPr>
              <w:t>31 December 2007</w:t>
            </w:r>
          </w:p>
        </w:tc>
      </w:tr>
      <w:tr w:rsidR="004135B0" w:rsidRPr="001F4BE5" w:rsidTr="001F4BE5">
        <w:trPr>
          <w:jc w:val="center"/>
        </w:trPr>
        <w:tc>
          <w:tcPr>
            <w:tcW w:w="1030" w:type="dxa"/>
            <w:shd w:val="clear" w:color="auto" w:fill="auto"/>
          </w:tcPr>
          <w:p w:rsidR="004135B0" w:rsidRPr="001F4BE5" w:rsidRDefault="004135B0" w:rsidP="001F4BE5">
            <w:pPr>
              <w:jc w:val="center"/>
              <w:rPr>
                <w:sz w:val="18"/>
                <w:szCs w:val="18"/>
              </w:rPr>
            </w:pPr>
            <w:r w:rsidRPr="001F4BE5">
              <w:rPr>
                <w:sz w:val="18"/>
                <w:szCs w:val="18"/>
              </w:rPr>
              <w:t>4</w:t>
            </w:r>
          </w:p>
        </w:tc>
        <w:tc>
          <w:tcPr>
            <w:tcW w:w="1848" w:type="dxa"/>
            <w:shd w:val="clear" w:color="auto" w:fill="auto"/>
          </w:tcPr>
          <w:p w:rsidR="004135B0" w:rsidRPr="001F4BE5" w:rsidRDefault="004135B0" w:rsidP="008F5D06">
            <w:pPr>
              <w:rPr>
                <w:sz w:val="18"/>
                <w:szCs w:val="18"/>
              </w:rPr>
            </w:pPr>
            <w:r w:rsidRPr="001F4BE5">
              <w:rPr>
                <w:sz w:val="18"/>
                <w:szCs w:val="18"/>
              </w:rPr>
              <w:t>20 February 2008</w:t>
            </w:r>
          </w:p>
        </w:tc>
        <w:tc>
          <w:tcPr>
            <w:tcW w:w="1710" w:type="dxa"/>
            <w:tcBorders>
              <w:top w:val="single" w:sz="4" w:space="0" w:color="auto"/>
              <w:bottom w:val="single" w:sz="4" w:space="0" w:color="auto"/>
            </w:tcBorders>
            <w:shd w:val="clear" w:color="auto" w:fill="auto"/>
          </w:tcPr>
          <w:p w:rsidR="004135B0" w:rsidRPr="001F4BE5" w:rsidRDefault="004135B0" w:rsidP="008F5D06">
            <w:pPr>
              <w:rPr>
                <w:sz w:val="18"/>
                <w:szCs w:val="18"/>
              </w:rPr>
            </w:pPr>
            <w:r w:rsidRPr="001F4BE5">
              <w:rPr>
                <w:sz w:val="18"/>
                <w:szCs w:val="18"/>
              </w:rPr>
              <w:t>1 January 2008</w:t>
            </w:r>
          </w:p>
        </w:tc>
        <w:tc>
          <w:tcPr>
            <w:tcW w:w="1842" w:type="dxa"/>
            <w:tcBorders>
              <w:top w:val="single" w:sz="4" w:space="0" w:color="auto"/>
              <w:bottom w:val="single" w:sz="4" w:space="0" w:color="auto"/>
            </w:tcBorders>
            <w:shd w:val="clear" w:color="auto" w:fill="auto"/>
          </w:tcPr>
          <w:p w:rsidR="004135B0" w:rsidRPr="001F4BE5" w:rsidRDefault="004135B0" w:rsidP="008F5D06">
            <w:pPr>
              <w:rPr>
                <w:sz w:val="18"/>
                <w:szCs w:val="18"/>
              </w:rPr>
            </w:pPr>
            <w:r w:rsidRPr="001F4BE5">
              <w:rPr>
                <w:sz w:val="18"/>
                <w:szCs w:val="18"/>
              </w:rPr>
              <w:t>3 May 2010</w:t>
            </w:r>
          </w:p>
        </w:tc>
      </w:tr>
      <w:tr w:rsidR="004135B0" w:rsidRPr="001F4BE5" w:rsidTr="001F4BE5">
        <w:trPr>
          <w:jc w:val="center"/>
        </w:trPr>
        <w:tc>
          <w:tcPr>
            <w:tcW w:w="1030" w:type="dxa"/>
            <w:shd w:val="clear" w:color="auto" w:fill="auto"/>
          </w:tcPr>
          <w:p w:rsidR="004135B0" w:rsidRPr="001F4BE5" w:rsidRDefault="004135B0" w:rsidP="001F4BE5">
            <w:pPr>
              <w:jc w:val="center"/>
              <w:rPr>
                <w:sz w:val="18"/>
                <w:szCs w:val="18"/>
              </w:rPr>
            </w:pPr>
            <w:r w:rsidRPr="001F4BE5">
              <w:rPr>
                <w:sz w:val="18"/>
                <w:szCs w:val="18"/>
              </w:rPr>
              <w:t>5</w:t>
            </w:r>
          </w:p>
        </w:tc>
        <w:tc>
          <w:tcPr>
            <w:tcW w:w="1848" w:type="dxa"/>
            <w:shd w:val="clear" w:color="auto" w:fill="auto"/>
          </w:tcPr>
          <w:p w:rsidR="004135B0" w:rsidRPr="001F4BE5" w:rsidRDefault="004135B0" w:rsidP="008F5D06">
            <w:pPr>
              <w:rPr>
                <w:sz w:val="18"/>
                <w:szCs w:val="18"/>
              </w:rPr>
            </w:pPr>
            <w:r w:rsidRPr="001F4BE5">
              <w:rPr>
                <w:sz w:val="18"/>
                <w:szCs w:val="18"/>
              </w:rPr>
              <w:t>5 May 2010</w:t>
            </w:r>
          </w:p>
        </w:tc>
        <w:tc>
          <w:tcPr>
            <w:tcW w:w="1710" w:type="dxa"/>
            <w:tcBorders>
              <w:top w:val="single" w:sz="4" w:space="0" w:color="auto"/>
              <w:bottom w:val="single" w:sz="4" w:space="0" w:color="auto"/>
            </w:tcBorders>
            <w:shd w:val="clear" w:color="auto" w:fill="auto"/>
          </w:tcPr>
          <w:p w:rsidR="004135B0" w:rsidRPr="001F4BE5" w:rsidRDefault="004135B0" w:rsidP="008F5D06">
            <w:pPr>
              <w:rPr>
                <w:sz w:val="18"/>
                <w:szCs w:val="18"/>
              </w:rPr>
            </w:pPr>
            <w:r w:rsidRPr="001F4BE5">
              <w:rPr>
                <w:sz w:val="18"/>
                <w:szCs w:val="18"/>
              </w:rPr>
              <w:t>4 May 2010</w:t>
            </w:r>
          </w:p>
        </w:tc>
        <w:tc>
          <w:tcPr>
            <w:tcW w:w="1842" w:type="dxa"/>
            <w:tcBorders>
              <w:top w:val="single" w:sz="4" w:space="0" w:color="auto"/>
              <w:bottom w:val="single" w:sz="4" w:space="0" w:color="auto"/>
            </w:tcBorders>
            <w:shd w:val="clear" w:color="auto" w:fill="auto"/>
          </w:tcPr>
          <w:p w:rsidR="004135B0" w:rsidRPr="001F4BE5" w:rsidRDefault="004135B0" w:rsidP="008F5D06">
            <w:pPr>
              <w:rPr>
                <w:sz w:val="18"/>
                <w:szCs w:val="18"/>
              </w:rPr>
            </w:pPr>
            <w:r w:rsidRPr="001F4BE5">
              <w:rPr>
                <w:sz w:val="18"/>
                <w:szCs w:val="18"/>
              </w:rPr>
              <w:t>30 June 2011</w:t>
            </w:r>
          </w:p>
        </w:tc>
      </w:tr>
      <w:tr w:rsidR="004135B0" w:rsidRPr="001F4BE5" w:rsidTr="001F4BE5">
        <w:trPr>
          <w:jc w:val="center"/>
        </w:trPr>
        <w:tc>
          <w:tcPr>
            <w:tcW w:w="1030" w:type="dxa"/>
            <w:shd w:val="clear" w:color="auto" w:fill="auto"/>
          </w:tcPr>
          <w:p w:rsidR="004135B0" w:rsidRPr="001F4BE5" w:rsidRDefault="00B77130" w:rsidP="001F4BE5">
            <w:pPr>
              <w:jc w:val="center"/>
              <w:rPr>
                <w:sz w:val="18"/>
                <w:szCs w:val="18"/>
              </w:rPr>
            </w:pPr>
            <w:r w:rsidRPr="001F4BE5">
              <w:rPr>
                <w:sz w:val="18"/>
                <w:szCs w:val="18"/>
              </w:rPr>
              <w:t>6</w:t>
            </w:r>
          </w:p>
        </w:tc>
        <w:tc>
          <w:tcPr>
            <w:tcW w:w="1848" w:type="dxa"/>
            <w:shd w:val="clear" w:color="auto" w:fill="auto"/>
          </w:tcPr>
          <w:p w:rsidR="004135B0" w:rsidRPr="001F4BE5" w:rsidRDefault="004135B0" w:rsidP="008F5D06">
            <w:pPr>
              <w:rPr>
                <w:sz w:val="18"/>
                <w:szCs w:val="18"/>
              </w:rPr>
            </w:pPr>
            <w:r w:rsidRPr="001F4BE5">
              <w:rPr>
                <w:sz w:val="18"/>
                <w:szCs w:val="18"/>
              </w:rPr>
              <w:t>1 July 2011</w:t>
            </w:r>
          </w:p>
        </w:tc>
        <w:tc>
          <w:tcPr>
            <w:tcW w:w="1710" w:type="dxa"/>
            <w:tcBorders>
              <w:top w:val="single" w:sz="4" w:space="0" w:color="auto"/>
              <w:bottom w:val="single" w:sz="4" w:space="0" w:color="auto"/>
            </w:tcBorders>
            <w:shd w:val="clear" w:color="auto" w:fill="auto"/>
          </w:tcPr>
          <w:p w:rsidR="004135B0" w:rsidRPr="001F4BE5" w:rsidDel="00CA4035" w:rsidRDefault="004135B0" w:rsidP="008F5D06">
            <w:pPr>
              <w:rPr>
                <w:sz w:val="18"/>
                <w:szCs w:val="18"/>
              </w:rPr>
            </w:pPr>
            <w:r w:rsidRPr="001F4BE5">
              <w:rPr>
                <w:sz w:val="18"/>
                <w:szCs w:val="18"/>
              </w:rPr>
              <w:t>1 July 2011</w:t>
            </w:r>
          </w:p>
        </w:tc>
        <w:tc>
          <w:tcPr>
            <w:tcW w:w="1842" w:type="dxa"/>
            <w:tcBorders>
              <w:top w:val="single" w:sz="4" w:space="0" w:color="auto"/>
              <w:bottom w:val="single" w:sz="4" w:space="0" w:color="auto"/>
            </w:tcBorders>
            <w:shd w:val="clear" w:color="auto" w:fill="auto"/>
          </w:tcPr>
          <w:p w:rsidR="004135B0" w:rsidRPr="001F4BE5" w:rsidRDefault="003156E9" w:rsidP="008F5D06">
            <w:pPr>
              <w:rPr>
                <w:sz w:val="18"/>
                <w:szCs w:val="18"/>
              </w:rPr>
            </w:pPr>
            <w:r>
              <w:rPr>
                <w:sz w:val="18"/>
                <w:szCs w:val="18"/>
              </w:rPr>
              <w:t>3</w:t>
            </w:r>
            <w:r w:rsidR="00D32435" w:rsidRPr="001F4BE5">
              <w:rPr>
                <w:sz w:val="18"/>
                <w:szCs w:val="18"/>
              </w:rPr>
              <w:t xml:space="preserve"> December 2012</w:t>
            </w:r>
          </w:p>
        </w:tc>
      </w:tr>
      <w:tr w:rsidR="00D32435" w:rsidRPr="001F4BE5" w:rsidTr="001F4BE5">
        <w:trPr>
          <w:jc w:val="center"/>
        </w:trPr>
        <w:tc>
          <w:tcPr>
            <w:tcW w:w="1030" w:type="dxa"/>
            <w:shd w:val="clear" w:color="auto" w:fill="auto"/>
          </w:tcPr>
          <w:p w:rsidR="00D32435" w:rsidRPr="001F4BE5" w:rsidRDefault="00D32435" w:rsidP="001F4BE5">
            <w:pPr>
              <w:jc w:val="center"/>
              <w:rPr>
                <w:sz w:val="18"/>
                <w:szCs w:val="18"/>
              </w:rPr>
            </w:pPr>
            <w:r w:rsidRPr="001F4BE5">
              <w:rPr>
                <w:sz w:val="18"/>
                <w:szCs w:val="18"/>
              </w:rPr>
              <w:t>7</w:t>
            </w:r>
          </w:p>
        </w:tc>
        <w:tc>
          <w:tcPr>
            <w:tcW w:w="1848" w:type="dxa"/>
            <w:shd w:val="clear" w:color="auto" w:fill="auto"/>
          </w:tcPr>
          <w:p w:rsidR="00D32435" w:rsidRPr="001F4BE5" w:rsidRDefault="006010CE" w:rsidP="008F5D06">
            <w:pPr>
              <w:rPr>
                <w:sz w:val="18"/>
                <w:szCs w:val="18"/>
              </w:rPr>
            </w:pPr>
            <w:r>
              <w:rPr>
                <w:sz w:val="18"/>
                <w:szCs w:val="18"/>
              </w:rPr>
              <w:t>7</w:t>
            </w:r>
            <w:r w:rsidR="00D32435" w:rsidRPr="001F4BE5">
              <w:rPr>
                <w:sz w:val="18"/>
                <w:szCs w:val="18"/>
              </w:rPr>
              <w:t xml:space="preserve"> December 2012</w:t>
            </w:r>
          </w:p>
        </w:tc>
        <w:tc>
          <w:tcPr>
            <w:tcW w:w="1710" w:type="dxa"/>
            <w:tcBorders>
              <w:top w:val="single" w:sz="4" w:space="0" w:color="auto"/>
              <w:bottom w:val="single" w:sz="4" w:space="0" w:color="auto"/>
            </w:tcBorders>
            <w:shd w:val="clear" w:color="auto" w:fill="auto"/>
          </w:tcPr>
          <w:p w:rsidR="00D32435" w:rsidRPr="001F4BE5" w:rsidRDefault="00180987" w:rsidP="008F5D06">
            <w:pPr>
              <w:rPr>
                <w:sz w:val="18"/>
                <w:szCs w:val="18"/>
              </w:rPr>
            </w:pPr>
            <w:r>
              <w:rPr>
                <w:sz w:val="18"/>
                <w:szCs w:val="18"/>
              </w:rPr>
              <w:t>4</w:t>
            </w:r>
            <w:r w:rsidR="00D32435" w:rsidRPr="001F4BE5">
              <w:rPr>
                <w:sz w:val="18"/>
                <w:szCs w:val="18"/>
              </w:rPr>
              <w:t xml:space="preserve"> December 2012</w:t>
            </w:r>
          </w:p>
        </w:tc>
        <w:tc>
          <w:tcPr>
            <w:tcW w:w="1842" w:type="dxa"/>
            <w:tcBorders>
              <w:top w:val="single" w:sz="4" w:space="0" w:color="auto"/>
              <w:bottom w:val="single" w:sz="4" w:space="0" w:color="auto"/>
            </w:tcBorders>
            <w:shd w:val="clear" w:color="auto" w:fill="auto"/>
          </w:tcPr>
          <w:p w:rsidR="00D32435" w:rsidRPr="001F4BE5" w:rsidRDefault="00F47D34" w:rsidP="008F5D06">
            <w:pPr>
              <w:rPr>
                <w:sz w:val="18"/>
                <w:szCs w:val="18"/>
              </w:rPr>
            </w:pPr>
            <w:r>
              <w:rPr>
                <w:sz w:val="18"/>
                <w:szCs w:val="18"/>
              </w:rPr>
              <w:t>23 May 2016</w:t>
            </w:r>
          </w:p>
        </w:tc>
      </w:tr>
      <w:tr w:rsidR="00393FB4" w:rsidRPr="001F4BE5" w:rsidTr="001F4BE5">
        <w:trPr>
          <w:jc w:val="center"/>
        </w:trPr>
        <w:tc>
          <w:tcPr>
            <w:tcW w:w="1030" w:type="dxa"/>
            <w:shd w:val="clear" w:color="auto" w:fill="auto"/>
          </w:tcPr>
          <w:p w:rsidR="00393FB4" w:rsidRPr="001F4BE5" w:rsidRDefault="00393FB4" w:rsidP="001F4BE5">
            <w:pPr>
              <w:jc w:val="center"/>
              <w:rPr>
                <w:sz w:val="18"/>
                <w:szCs w:val="18"/>
              </w:rPr>
            </w:pPr>
            <w:r>
              <w:rPr>
                <w:sz w:val="18"/>
                <w:szCs w:val="18"/>
              </w:rPr>
              <w:t>8</w:t>
            </w:r>
          </w:p>
        </w:tc>
        <w:tc>
          <w:tcPr>
            <w:tcW w:w="1848" w:type="dxa"/>
            <w:shd w:val="clear" w:color="auto" w:fill="auto"/>
          </w:tcPr>
          <w:p w:rsidR="00393FB4" w:rsidRDefault="00F47D34" w:rsidP="008F5D06">
            <w:pPr>
              <w:rPr>
                <w:sz w:val="18"/>
                <w:szCs w:val="18"/>
              </w:rPr>
            </w:pPr>
            <w:r>
              <w:rPr>
                <w:sz w:val="18"/>
                <w:szCs w:val="18"/>
              </w:rPr>
              <w:t>24 May 2016</w:t>
            </w:r>
          </w:p>
        </w:tc>
        <w:tc>
          <w:tcPr>
            <w:tcW w:w="1710" w:type="dxa"/>
            <w:tcBorders>
              <w:top w:val="single" w:sz="4" w:space="0" w:color="auto"/>
              <w:bottom w:val="single" w:sz="4" w:space="0" w:color="auto"/>
            </w:tcBorders>
            <w:shd w:val="clear" w:color="auto" w:fill="auto"/>
          </w:tcPr>
          <w:p w:rsidR="00393FB4" w:rsidRDefault="00F47D34" w:rsidP="008F5D06">
            <w:pPr>
              <w:rPr>
                <w:sz w:val="18"/>
                <w:szCs w:val="18"/>
              </w:rPr>
            </w:pPr>
            <w:r>
              <w:rPr>
                <w:sz w:val="18"/>
                <w:szCs w:val="18"/>
              </w:rPr>
              <w:t>24 May 2016</w:t>
            </w:r>
          </w:p>
        </w:tc>
        <w:tc>
          <w:tcPr>
            <w:tcW w:w="1842" w:type="dxa"/>
            <w:tcBorders>
              <w:top w:val="single" w:sz="4" w:space="0" w:color="auto"/>
              <w:bottom w:val="single" w:sz="4" w:space="0" w:color="auto"/>
            </w:tcBorders>
            <w:shd w:val="clear" w:color="auto" w:fill="auto"/>
          </w:tcPr>
          <w:p w:rsidR="00393FB4" w:rsidRPr="001F4BE5" w:rsidDel="00393FB4" w:rsidRDefault="00393FB4" w:rsidP="008F5D06">
            <w:pPr>
              <w:rPr>
                <w:sz w:val="18"/>
                <w:szCs w:val="18"/>
              </w:rPr>
            </w:pPr>
            <w:r>
              <w:rPr>
                <w:sz w:val="18"/>
                <w:szCs w:val="18"/>
              </w:rPr>
              <w:t>Current</w:t>
            </w:r>
          </w:p>
        </w:tc>
      </w:tr>
    </w:tbl>
    <w:p w:rsidR="004135B0" w:rsidRPr="00733450" w:rsidRDefault="004135B0" w:rsidP="004135B0">
      <w:pPr>
        <w:pStyle w:val="HeadingTwo"/>
      </w:pPr>
      <w:r w:rsidRPr="00733450">
        <w:t>Purpose</w:t>
      </w:r>
    </w:p>
    <w:p w:rsidR="004135B0" w:rsidRDefault="004135B0" w:rsidP="004135B0">
      <w:pPr>
        <w:pStyle w:val="BlockText"/>
      </w:pPr>
      <w:r>
        <w:t>This Guideline</w:t>
      </w:r>
      <w:r w:rsidRPr="004207CF">
        <w:t xml:space="preserve"> explains </w:t>
      </w:r>
      <w:r>
        <w:t xml:space="preserve">the operation of </w:t>
      </w:r>
      <w:r w:rsidRPr="004207CF">
        <w:t xml:space="preserve">the interest and penalty tax provisions of the </w:t>
      </w:r>
      <w:r w:rsidRPr="00BD644F">
        <w:rPr>
          <w:i/>
        </w:rPr>
        <w:t>Taxation Administration Act</w:t>
      </w:r>
      <w:r w:rsidRPr="004207CF">
        <w:t xml:space="preserve"> (TAA)</w:t>
      </w:r>
      <w:r>
        <w:t xml:space="preserve"> and how the </w:t>
      </w:r>
      <w:r w:rsidRPr="004207CF">
        <w:t xml:space="preserve">Territory Revenue Office (TRO) will </w:t>
      </w:r>
      <w:r>
        <w:t xml:space="preserve">administer those provisions.  </w:t>
      </w:r>
    </w:p>
    <w:p w:rsidR="004135B0" w:rsidRDefault="004135B0" w:rsidP="004135B0">
      <w:pPr>
        <w:pStyle w:val="BlockText"/>
      </w:pPr>
      <w:r>
        <w:t>This Guideline should be read in conjunction with the following Guidelines:</w:t>
      </w:r>
    </w:p>
    <w:p w:rsidR="004135B0" w:rsidRDefault="004135B0" w:rsidP="004135B0">
      <w:pPr>
        <w:pStyle w:val="BlockText"/>
        <w:numPr>
          <w:ilvl w:val="1"/>
          <w:numId w:val="3"/>
        </w:numPr>
      </w:pPr>
      <w:r>
        <w:t xml:space="preserve">for general stamp duty assessments – Commissioner’s Guideline </w:t>
      </w:r>
      <w:hyperlink r:id="rId10" w:tooltip="Web link to CG-SD-001" w:history="1">
        <w:r w:rsidRPr="005B1B0A">
          <w:rPr>
            <w:rStyle w:val="Hyperlink"/>
            <w:sz w:val="24"/>
            <w:szCs w:val="24"/>
          </w:rPr>
          <w:t>CG-SD-001:</w:t>
        </w:r>
      </w:hyperlink>
      <w:r>
        <w:t xml:space="preserve"> </w:t>
      </w:r>
      <w:r>
        <w:rPr>
          <w:i/>
        </w:rPr>
        <w:t>Document lodgement and payment periods</w:t>
      </w:r>
      <w:r>
        <w:t>; and</w:t>
      </w:r>
    </w:p>
    <w:p w:rsidR="004135B0" w:rsidRDefault="004135B0" w:rsidP="004135B0">
      <w:pPr>
        <w:pStyle w:val="BlockText"/>
        <w:numPr>
          <w:ilvl w:val="1"/>
          <w:numId w:val="3"/>
        </w:numPr>
      </w:pPr>
      <w:r>
        <w:t>for the stamp duty senior, pensioner and carer concession;</w:t>
      </w:r>
      <w:r w:rsidR="004C2AD0">
        <w:t xml:space="preserve"> first home owner </w:t>
      </w:r>
      <w:r w:rsidR="00305325">
        <w:t>discount</w:t>
      </w:r>
      <w:r w:rsidR="004C2AD0">
        <w:t xml:space="preserve"> </w:t>
      </w:r>
      <w:r>
        <w:t xml:space="preserve">or the principal place of residence rebate – Commissioner’s Guideline </w:t>
      </w:r>
      <w:hyperlink r:id="rId11" w:tooltip="Web link to CG-HI-002" w:history="1">
        <w:r w:rsidRPr="005B1B0A">
          <w:rPr>
            <w:rStyle w:val="Hyperlink"/>
            <w:sz w:val="24"/>
            <w:szCs w:val="24"/>
          </w:rPr>
          <w:t>CG</w:t>
        </w:r>
        <w:r w:rsidR="001F59A9">
          <w:rPr>
            <w:rStyle w:val="Hyperlink"/>
            <w:sz w:val="24"/>
            <w:szCs w:val="24"/>
          </w:rPr>
          <w:noBreakHyphen/>
        </w:r>
        <w:r w:rsidRPr="005B1B0A">
          <w:rPr>
            <w:rStyle w:val="Hyperlink"/>
            <w:sz w:val="24"/>
            <w:szCs w:val="24"/>
          </w:rPr>
          <w:t>HI-002:</w:t>
        </w:r>
      </w:hyperlink>
      <w:r>
        <w:t xml:space="preserve"> </w:t>
      </w:r>
      <w:r>
        <w:rPr>
          <w:i/>
        </w:rPr>
        <w:t>Home incentive schemes: interest and penalty</w:t>
      </w:r>
      <w:r>
        <w:t>.</w:t>
      </w:r>
    </w:p>
    <w:p w:rsidR="004135B0" w:rsidRPr="004207CF" w:rsidRDefault="004135B0" w:rsidP="004135B0">
      <w:pPr>
        <w:pStyle w:val="HeadingTwo"/>
      </w:pPr>
      <w:r w:rsidRPr="004207CF">
        <w:t>Role of interest and penalty tax</w:t>
      </w:r>
    </w:p>
    <w:p w:rsidR="004135B0" w:rsidRDefault="004135B0" w:rsidP="004135B0">
      <w:pPr>
        <w:pStyle w:val="BlockText"/>
      </w:pPr>
      <w:r w:rsidRPr="004207CF">
        <w:t>Interest and penalty tax play an integral role in tax administration by:</w:t>
      </w:r>
    </w:p>
    <w:p w:rsidR="004135B0" w:rsidRPr="004207CF" w:rsidRDefault="004135B0" w:rsidP="004135B0">
      <w:pPr>
        <w:pStyle w:val="BlockText"/>
        <w:numPr>
          <w:ilvl w:val="1"/>
          <w:numId w:val="3"/>
        </w:numPr>
      </w:pPr>
      <w:r>
        <w:t>d</w:t>
      </w:r>
      <w:r w:rsidRPr="004207CF">
        <w:t>eterring non-compliance by maki</w:t>
      </w:r>
      <w:r>
        <w:t>ng it unprofitable to taxpayers;</w:t>
      </w:r>
    </w:p>
    <w:p w:rsidR="004135B0" w:rsidRPr="004207CF" w:rsidRDefault="004135B0" w:rsidP="004135B0">
      <w:pPr>
        <w:pStyle w:val="BlockText"/>
        <w:numPr>
          <w:ilvl w:val="1"/>
          <w:numId w:val="3"/>
        </w:numPr>
      </w:pPr>
      <w:r>
        <w:t>p</w:t>
      </w:r>
      <w:r w:rsidRPr="004207CF">
        <w:t>romoting equity among taxpayers by ensuring that those who meet their obligations are not disadvantaged in comparison with those who do not</w:t>
      </w:r>
      <w:r>
        <w:t>;</w:t>
      </w:r>
    </w:p>
    <w:p w:rsidR="004135B0" w:rsidRDefault="004135B0" w:rsidP="004135B0">
      <w:pPr>
        <w:pStyle w:val="BlockText"/>
        <w:numPr>
          <w:ilvl w:val="1"/>
          <w:numId w:val="3"/>
        </w:numPr>
      </w:pPr>
      <w:r>
        <w:t>e</w:t>
      </w:r>
      <w:r w:rsidRPr="004207CF">
        <w:t xml:space="preserve">ncouraging taxpayers to make a </w:t>
      </w:r>
      <w:r>
        <w:t>full and immediate</w:t>
      </w:r>
      <w:r w:rsidRPr="004207CF">
        <w:t xml:space="preserve"> disclosure of</w:t>
      </w:r>
      <w:r w:rsidRPr="00BD644F">
        <w:t xml:space="preserve"> </w:t>
      </w:r>
      <w:r>
        <w:t xml:space="preserve">any </w:t>
      </w:r>
      <w:r w:rsidRPr="00BD644F">
        <w:t>tax default</w:t>
      </w:r>
      <w:r>
        <w:t xml:space="preserve"> </w:t>
      </w:r>
      <w:r w:rsidRPr="004207CF">
        <w:t xml:space="preserve">identified </w:t>
      </w:r>
      <w:r>
        <w:t xml:space="preserve">by the taxpayer </w:t>
      </w:r>
      <w:r w:rsidRPr="004207CF">
        <w:t>and to cooperate with investigation</w:t>
      </w:r>
      <w:r>
        <w:t>s</w:t>
      </w:r>
      <w:r w:rsidRPr="004207CF">
        <w:t xml:space="preserve"> by TRO into tax default</w:t>
      </w:r>
      <w:r>
        <w:t>s;</w:t>
      </w:r>
    </w:p>
    <w:p w:rsidR="004135B0" w:rsidRDefault="004135B0" w:rsidP="004135B0">
      <w:pPr>
        <w:pStyle w:val="BlockText"/>
        <w:numPr>
          <w:ilvl w:val="1"/>
          <w:numId w:val="3"/>
        </w:numPr>
      </w:pPr>
      <w:r>
        <w:t>encouraging taxpayers to pay their tax liabilities by the due date; and</w:t>
      </w:r>
    </w:p>
    <w:p w:rsidR="004135B0" w:rsidRPr="004207CF" w:rsidRDefault="004135B0" w:rsidP="004135B0">
      <w:pPr>
        <w:pStyle w:val="BlockText"/>
        <w:numPr>
          <w:ilvl w:val="1"/>
          <w:numId w:val="3"/>
        </w:numPr>
      </w:pPr>
      <w:r>
        <w:t>c</w:t>
      </w:r>
      <w:r w:rsidRPr="004207CF">
        <w:t xml:space="preserve">ompensating the </w:t>
      </w:r>
      <w:r w:rsidR="007227A7">
        <w:t xml:space="preserve">Northern Territory </w:t>
      </w:r>
      <w:r w:rsidRPr="004207CF">
        <w:t xml:space="preserve">Government for </w:t>
      </w:r>
      <w:r>
        <w:t>receiving</w:t>
      </w:r>
      <w:r w:rsidRPr="004207CF">
        <w:t xml:space="preserve"> revenue that it is entitled to</w:t>
      </w:r>
      <w:r>
        <w:t xml:space="preserve"> after it was due.</w:t>
      </w:r>
    </w:p>
    <w:p w:rsidR="004135B0" w:rsidRDefault="004135B0" w:rsidP="004135B0">
      <w:pPr>
        <w:pStyle w:val="BlockText"/>
      </w:pPr>
      <w:r>
        <w:t>Having to pay interest and/or penalty tax does not depend upon or necessarily imply that there has been dishonesty on the part of a taxpayer. However, indifferent, reckless or dishonest conduct will result in higher levels of penalty tax being imposed.</w:t>
      </w:r>
    </w:p>
    <w:p w:rsidR="004135B0" w:rsidRPr="00BD644F" w:rsidRDefault="004135B0" w:rsidP="004135B0">
      <w:pPr>
        <w:pStyle w:val="HeadingThree"/>
      </w:pPr>
      <w:r>
        <w:lastRenderedPageBreak/>
        <w:t>Liability to interest and penalty tax arises from a tax default</w:t>
      </w:r>
    </w:p>
    <w:p w:rsidR="004135B0" w:rsidRDefault="004135B0" w:rsidP="004135B0">
      <w:pPr>
        <w:pStyle w:val="BlockText"/>
      </w:pPr>
      <w:r>
        <w:t xml:space="preserve">When </w:t>
      </w:r>
      <w:r w:rsidRPr="00BD644F">
        <w:t xml:space="preserve">a </w:t>
      </w:r>
      <w:r w:rsidRPr="007860DD">
        <w:rPr>
          <w:b/>
        </w:rPr>
        <w:t>tax default</w:t>
      </w:r>
      <w:r w:rsidRPr="00BD644F">
        <w:t xml:space="preserve"> occurs, the taxpayer </w:t>
      </w:r>
      <w:r>
        <w:t xml:space="preserve">who has failed to pay the tax </w:t>
      </w:r>
      <w:r w:rsidRPr="00BD644F">
        <w:t xml:space="preserve">is liable to pay interest </w:t>
      </w:r>
      <w:r>
        <w:t>and</w:t>
      </w:r>
      <w:r w:rsidRPr="00BD644F">
        <w:t xml:space="preserve"> penalty tax.</w:t>
      </w:r>
      <w:r>
        <w:rPr>
          <w:rStyle w:val="FootnoteReference"/>
          <w:sz w:val="24"/>
          <w:szCs w:val="24"/>
        </w:rPr>
        <w:footnoteReference w:id="1"/>
      </w:r>
      <w:r>
        <w:t xml:space="preserve"> A </w:t>
      </w:r>
      <w:r w:rsidRPr="007860DD">
        <w:t>tax default</w:t>
      </w:r>
      <w:r>
        <w:t xml:space="preserve"> is</w:t>
      </w:r>
      <w:r w:rsidRPr="001902B0">
        <w:t xml:space="preserve"> a failure by a taxpayer to pay</w:t>
      </w:r>
      <w:r w:rsidRPr="00182B7C">
        <w:t xml:space="preserve"> </w:t>
      </w:r>
      <w:r w:rsidRPr="00F575EF">
        <w:t>t</w:t>
      </w:r>
      <w:r w:rsidRPr="001902B0">
        <w:t xml:space="preserve">he whole or part of the </w:t>
      </w:r>
      <w:r w:rsidRPr="00335A19">
        <w:rPr>
          <w:b/>
        </w:rPr>
        <w:t>tax</w:t>
      </w:r>
      <w:r w:rsidRPr="001902B0">
        <w:rPr>
          <w:b/>
        </w:rPr>
        <w:t xml:space="preserve"> </w:t>
      </w:r>
      <w:r w:rsidRPr="001902B0">
        <w:t>that the taxpayer is liable</w:t>
      </w:r>
      <w:r>
        <w:t xml:space="preserve"> </w:t>
      </w:r>
      <w:r w:rsidRPr="001902B0">
        <w:t>to pay</w:t>
      </w:r>
      <w:r>
        <w:t xml:space="preserve"> under</w:t>
      </w:r>
      <w:r w:rsidRPr="001902B0">
        <w:t xml:space="preserve"> a</w:t>
      </w:r>
      <w:r>
        <w:t xml:space="preserve"> </w:t>
      </w:r>
      <w:r w:rsidRPr="00335A19">
        <w:rPr>
          <w:b/>
        </w:rPr>
        <w:t>taxation law</w:t>
      </w:r>
      <w:r w:rsidRPr="003045E2">
        <w:t xml:space="preserve"> </w:t>
      </w:r>
      <w:r>
        <w:t xml:space="preserve">(for example, </w:t>
      </w:r>
      <w:r w:rsidRPr="003045E2">
        <w:t xml:space="preserve">the TAA, </w:t>
      </w:r>
      <w:r w:rsidRPr="003045E2">
        <w:rPr>
          <w:i/>
        </w:rPr>
        <w:t>Stamp Duty Act</w:t>
      </w:r>
      <w:r w:rsidRPr="003045E2">
        <w:t xml:space="preserve"> (SDA), </w:t>
      </w:r>
      <w:r w:rsidRPr="003045E2">
        <w:rPr>
          <w:i/>
        </w:rPr>
        <w:t>Payroll Tax Act</w:t>
      </w:r>
      <w:r w:rsidRPr="003045E2">
        <w:t xml:space="preserve"> (PTA) and regulations under those Acts</w:t>
      </w:r>
      <w:r>
        <w:t>).</w:t>
      </w:r>
      <w:r w:rsidRPr="00F575EF">
        <w:rPr>
          <w:rStyle w:val="FootnoteReference"/>
          <w:sz w:val="24"/>
          <w:szCs w:val="24"/>
        </w:rPr>
        <w:footnoteReference w:id="2"/>
      </w:r>
      <w:r>
        <w:t xml:space="preserve">  That is, a tax default may be the late payment of tax or an underpayment of tax (or both).</w:t>
      </w:r>
    </w:p>
    <w:p w:rsidR="004135B0" w:rsidRPr="001902B0" w:rsidRDefault="004135B0" w:rsidP="004135B0">
      <w:pPr>
        <w:pStyle w:val="BlockText"/>
      </w:pPr>
      <w:r>
        <w:t>‘T</w:t>
      </w:r>
      <w:r w:rsidRPr="00B7405C">
        <w:t>ax</w:t>
      </w:r>
      <w:r>
        <w:t>’</w:t>
      </w:r>
      <w:r>
        <w:rPr>
          <w:b/>
        </w:rPr>
        <w:t xml:space="preserve"> </w:t>
      </w:r>
      <w:r>
        <w:t>means any</w:t>
      </w:r>
      <w:r w:rsidRPr="001902B0">
        <w:t xml:space="preserve"> tax, duty or levy </w:t>
      </w:r>
      <w:r>
        <w:t xml:space="preserve">payable </w:t>
      </w:r>
      <w:r w:rsidRPr="001902B0">
        <w:t xml:space="preserve">under a taxation law, </w:t>
      </w:r>
      <w:r>
        <w:t xml:space="preserve">and also includes any other amount </w:t>
      </w:r>
      <w:r w:rsidRPr="001902B0">
        <w:t>payable by a taxpayer to the Commissioner or</w:t>
      </w:r>
      <w:r>
        <w:t xml:space="preserve"> </w:t>
      </w:r>
      <w:r w:rsidRPr="001902B0">
        <w:t>the Te</w:t>
      </w:r>
      <w:r>
        <w:t>rritory under a taxation law.</w:t>
      </w:r>
      <w:r>
        <w:rPr>
          <w:rStyle w:val="FootnoteReference"/>
          <w:sz w:val="24"/>
          <w:szCs w:val="24"/>
        </w:rPr>
        <w:footnoteReference w:id="3"/>
      </w:r>
      <w:r>
        <w:t xml:space="preserve"> Examples of other amounts payable under a taxation law include the costs of valuations recoverable from a taxpayer under section 25 of the TAA,</w:t>
      </w:r>
      <w:r>
        <w:rPr>
          <w:rStyle w:val="FootnoteReference"/>
          <w:sz w:val="24"/>
          <w:szCs w:val="24"/>
        </w:rPr>
        <w:footnoteReference w:id="4"/>
      </w:r>
      <w:r>
        <w:t xml:space="preserve"> the TRO’s costs of recovering</w:t>
      </w:r>
      <w:r w:rsidRPr="001902B0">
        <w:t xml:space="preserve"> tax</w:t>
      </w:r>
      <w:r>
        <w:t xml:space="preserve"> and f</w:t>
      </w:r>
      <w:r w:rsidRPr="001902B0">
        <w:t xml:space="preserve">ines </w:t>
      </w:r>
      <w:r>
        <w:t xml:space="preserve">and/or </w:t>
      </w:r>
      <w:r w:rsidRPr="001902B0">
        <w:t>costs awarded against a taxpayer in a prosecution</w:t>
      </w:r>
      <w:r>
        <w:t xml:space="preserve"> under a taxation law</w:t>
      </w:r>
      <w:r w:rsidRPr="001902B0">
        <w:t>.</w:t>
      </w:r>
    </w:p>
    <w:p w:rsidR="004135B0" w:rsidRPr="004207CF" w:rsidRDefault="004135B0" w:rsidP="004135B0">
      <w:pPr>
        <w:pStyle w:val="HeadingTwo"/>
      </w:pPr>
      <w:r>
        <w:t>Interest</w:t>
      </w:r>
    </w:p>
    <w:p w:rsidR="004135B0" w:rsidRPr="004135B0" w:rsidRDefault="004135B0" w:rsidP="004135B0">
      <w:pPr>
        <w:pStyle w:val="BlockText"/>
        <w:rPr>
          <w:szCs w:val="22"/>
        </w:rPr>
      </w:pPr>
      <w:r w:rsidRPr="004135B0">
        <w:rPr>
          <w:szCs w:val="22"/>
        </w:rPr>
        <w:t xml:space="preserve">Where a tax default occurs, the taxpayer </w:t>
      </w:r>
      <w:r w:rsidR="007227A7">
        <w:rPr>
          <w:szCs w:val="22"/>
        </w:rPr>
        <w:t>is</w:t>
      </w:r>
      <w:r w:rsidRPr="004135B0">
        <w:rPr>
          <w:szCs w:val="22"/>
        </w:rPr>
        <w:t xml:space="preserve"> liable to pay interest on the unpaid primary and penalty tax at the </w:t>
      </w:r>
      <w:r w:rsidRPr="004135B0">
        <w:rPr>
          <w:b/>
          <w:szCs w:val="22"/>
        </w:rPr>
        <w:t>statutory interest rate</w:t>
      </w:r>
      <w:r w:rsidRPr="004135B0">
        <w:rPr>
          <w:szCs w:val="22"/>
        </w:rPr>
        <w:t xml:space="preserve"> in force during the relevant financial year.</w:t>
      </w:r>
      <w:r w:rsidRPr="004135B0">
        <w:rPr>
          <w:rStyle w:val="FootnoteReference"/>
          <w:szCs w:val="22"/>
        </w:rPr>
        <w:footnoteReference w:id="5"/>
      </w:r>
      <w:r w:rsidRPr="004135B0">
        <w:rPr>
          <w:szCs w:val="22"/>
        </w:rPr>
        <w:t xml:space="preserve"> The statutory interest rate is the sum of:</w:t>
      </w:r>
    </w:p>
    <w:p w:rsidR="004135B0" w:rsidRPr="0085019A" w:rsidRDefault="004135B0" w:rsidP="0085019A">
      <w:pPr>
        <w:pStyle w:val="BlockText"/>
        <w:numPr>
          <w:ilvl w:val="1"/>
          <w:numId w:val="3"/>
        </w:numPr>
      </w:pPr>
      <w:r w:rsidRPr="0085019A">
        <w:t xml:space="preserve">the </w:t>
      </w:r>
      <w:r w:rsidRPr="0085019A">
        <w:rPr>
          <w:b/>
        </w:rPr>
        <w:t>market interest rate</w:t>
      </w:r>
      <w:r w:rsidRPr="0085019A">
        <w:t>, which is the rate prescribed by regulation for the relevant financial year or if no rate is prescribed by regulation, the average yield (expressed as an annual rate) of the 90-day bank accepted bill published by the Reserve Bank of Australia for the month of May in the financial year preceding the relevant year; and</w:t>
      </w:r>
    </w:p>
    <w:p w:rsidR="004135B0" w:rsidRPr="0085019A" w:rsidRDefault="004135B0" w:rsidP="0085019A">
      <w:pPr>
        <w:pStyle w:val="BlockText"/>
        <w:numPr>
          <w:ilvl w:val="1"/>
          <w:numId w:val="3"/>
        </w:numPr>
      </w:pPr>
      <w:r w:rsidRPr="0085019A">
        <w:t xml:space="preserve">the </w:t>
      </w:r>
      <w:r w:rsidRPr="0085019A">
        <w:rPr>
          <w:b/>
        </w:rPr>
        <w:t>premium interest rate</w:t>
      </w:r>
      <w:r w:rsidRPr="0085019A">
        <w:t>, which is 8 per cent per annum.</w:t>
      </w:r>
      <w:r w:rsidRPr="000A02BD">
        <w:rPr>
          <w:rStyle w:val="FootnoteReference"/>
          <w:sz w:val="24"/>
          <w:szCs w:val="24"/>
        </w:rPr>
        <w:footnoteReference w:id="6"/>
      </w:r>
      <w:r w:rsidRPr="000A02BD">
        <w:rPr>
          <w:rStyle w:val="FootnoteReference"/>
          <w:sz w:val="24"/>
          <w:szCs w:val="24"/>
        </w:rPr>
        <w:t xml:space="preserve"> </w:t>
      </w:r>
    </w:p>
    <w:p w:rsidR="004135B0" w:rsidRPr="009A509C" w:rsidRDefault="004135B0" w:rsidP="009A509C">
      <w:pPr>
        <w:pStyle w:val="BlockText"/>
        <w:tabs>
          <w:tab w:val="num" w:pos="567"/>
        </w:tabs>
        <w:rPr>
          <w:szCs w:val="22"/>
        </w:rPr>
      </w:pPr>
      <w:r w:rsidRPr="009A509C">
        <w:rPr>
          <w:szCs w:val="22"/>
        </w:rPr>
        <w:t xml:space="preserve">The interest rate for current and past years is available from </w:t>
      </w:r>
      <w:hyperlink r:id="rId12" w:history="1">
        <w:r w:rsidR="00F52F1D" w:rsidRPr="00B0260E">
          <w:rPr>
            <w:rStyle w:val="Hyperlink"/>
            <w:szCs w:val="22"/>
          </w:rPr>
          <w:t>www.revenue.nt.gov.au</w:t>
        </w:r>
      </w:hyperlink>
      <w:r w:rsidRPr="009A509C">
        <w:rPr>
          <w:szCs w:val="22"/>
        </w:rPr>
        <w:t>.</w:t>
      </w:r>
      <w:r w:rsidR="00F52F1D">
        <w:rPr>
          <w:szCs w:val="22"/>
        </w:rPr>
        <w:t xml:space="preserve"> </w:t>
      </w:r>
    </w:p>
    <w:p w:rsidR="004135B0" w:rsidRPr="004207CF" w:rsidRDefault="004135B0" w:rsidP="004135B0">
      <w:pPr>
        <w:pStyle w:val="HeadingThree"/>
      </w:pPr>
      <w:r w:rsidRPr="004207CF">
        <w:t xml:space="preserve">Calculating interest </w:t>
      </w:r>
      <w:r>
        <w:t>generally</w:t>
      </w:r>
    </w:p>
    <w:p w:rsidR="004135B0" w:rsidRPr="004207CF" w:rsidRDefault="004135B0" w:rsidP="004135B0">
      <w:pPr>
        <w:pStyle w:val="BlockText"/>
      </w:pPr>
      <w:r>
        <w:t>I</w:t>
      </w:r>
      <w:r w:rsidRPr="004207CF">
        <w:t>nterest is calculated on a daily basis from the date the person was required to pay the tax until the date of payment</w:t>
      </w:r>
      <w:r>
        <w:t>,</w:t>
      </w:r>
      <w:r>
        <w:rPr>
          <w:rStyle w:val="FootnoteReference"/>
          <w:sz w:val="24"/>
          <w:szCs w:val="24"/>
        </w:rPr>
        <w:footnoteReference w:id="7"/>
      </w:r>
      <w:r w:rsidRPr="004207CF">
        <w:t xml:space="preserve"> </w:t>
      </w:r>
      <w:r>
        <w:t>although i</w:t>
      </w:r>
      <w:r w:rsidRPr="004207CF">
        <w:t xml:space="preserve">nterest </w:t>
      </w:r>
      <w:r>
        <w:t>is</w:t>
      </w:r>
      <w:r w:rsidRPr="004207CF">
        <w:t xml:space="preserve"> not imposed if it </w:t>
      </w:r>
      <w:r>
        <w:t>totals</w:t>
      </w:r>
      <w:r w:rsidRPr="004207CF">
        <w:t xml:space="preserve"> less than $20.</w:t>
      </w:r>
      <w:r>
        <w:rPr>
          <w:rStyle w:val="FootnoteReference"/>
          <w:sz w:val="24"/>
          <w:szCs w:val="24"/>
        </w:rPr>
        <w:footnoteReference w:id="8"/>
      </w:r>
      <w:r w:rsidRPr="004207CF">
        <w:t xml:space="preserve"> </w:t>
      </w:r>
    </w:p>
    <w:p w:rsidR="004135B0" w:rsidRPr="004207CF" w:rsidRDefault="004135B0" w:rsidP="004135B0">
      <w:pPr>
        <w:pStyle w:val="HeadingThree"/>
      </w:pPr>
      <w:r w:rsidRPr="004207CF">
        <w:t xml:space="preserve">Calculating interest </w:t>
      </w:r>
      <w:r>
        <w:t>on tax paid on a periodic basis (returns-based taxes)</w:t>
      </w:r>
    </w:p>
    <w:p w:rsidR="004135B0" w:rsidRDefault="004135B0" w:rsidP="004135B0">
      <w:pPr>
        <w:pStyle w:val="BlockText"/>
      </w:pPr>
      <w:r>
        <w:t>Interest is normally calculated from the date of a tax default until the date of payment of the outstanding tax. For returns-based taxes such as payroll tax, this means that interest is payable on a late periodic payment, such as a monthly return. However, where TRO conducts an audit of a taxpayer who pays tax on a periodic basis, these audits are generally conducted on the basis of financial years (rather than return periods). Accordingly, the following special processes for calculating interest apply when assessments are issued following such audits.</w:t>
      </w:r>
    </w:p>
    <w:p w:rsidR="004135B0" w:rsidRPr="004135B0" w:rsidRDefault="004135B0" w:rsidP="004135B0">
      <w:pPr>
        <w:pStyle w:val="HeadingThree"/>
        <w:rPr>
          <w:rStyle w:val="BlockTextChar"/>
        </w:rPr>
      </w:pPr>
      <w:r>
        <w:t>Interest calculated from mid-point of financial year</w:t>
      </w:r>
    </w:p>
    <w:p w:rsidR="004135B0" w:rsidRDefault="004135B0" w:rsidP="004135B0">
      <w:pPr>
        <w:pStyle w:val="BlockText"/>
      </w:pPr>
      <w:r>
        <w:t>Wh</w:t>
      </w:r>
      <w:r w:rsidRPr="004207CF">
        <w:t xml:space="preserve">ere a taxpayer </w:t>
      </w:r>
      <w:r>
        <w:t xml:space="preserve">has a tax default where tax is payable on a periodic basis </w:t>
      </w:r>
      <w:r w:rsidRPr="004207CF">
        <w:t xml:space="preserve">(such as payroll tax or stamp duty on insurance policies) and </w:t>
      </w:r>
      <w:r>
        <w:t>TRO assesses</w:t>
      </w:r>
      <w:r w:rsidRPr="004207CF">
        <w:t xml:space="preserve"> the tax </w:t>
      </w:r>
      <w:r>
        <w:t>payable on one or more prior financial years</w:t>
      </w:r>
      <w:r w:rsidRPr="004207CF">
        <w:t xml:space="preserve">, interest is calculated for each separate </w:t>
      </w:r>
      <w:r>
        <w:t xml:space="preserve">financial </w:t>
      </w:r>
      <w:r w:rsidRPr="004207CF">
        <w:t>year’s liability</w:t>
      </w:r>
      <w:r>
        <w:t>.</w:t>
      </w:r>
      <w:r w:rsidRPr="004207CF">
        <w:t xml:space="preserve"> </w:t>
      </w:r>
    </w:p>
    <w:p w:rsidR="004135B0" w:rsidRPr="004207CF" w:rsidRDefault="004135B0" w:rsidP="004135B0">
      <w:pPr>
        <w:pStyle w:val="BlockText"/>
      </w:pPr>
      <w:r>
        <w:lastRenderedPageBreak/>
        <w:t>I</w:t>
      </w:r>
      <w:r w:rsidRPr="004207CF">
        <w:t xml:space="preserve">nterest is </w:t>
      </w:r>
      <w:r>
        <w:t xml:space="preserve">based on </w:t>
      </w:r>
      <w:r w:rsidRPr="004207CF">
        <w:t xml:space="preserve">the number of days in the period commencing from the mid-point </w:t>
      </w:r>
      <w:r>
        <w:t>of that financial year or part of that financial year in which the tax default occurs</w:t>
      </w:r>
      <w:r w:rsidRPr="004207CF">
        <w:t xml:space="preserve">. The interest </w:t>
      </w:r>
      <w:r>
        <w:t xml:space="preserve">on that tax default </w:t>
      </w:r>
      <w:r w:rsidRPr="004207CF">
        <w:t>in subsequent financial years</w:t>
      </w:r>
      <w:r>
        <w:t xml:space="preserve"> </w:t>
      </w:r>
      <w:r w:rsidRPr="004207CF">
        <w:t>is based on a full year until the financial year in which the assessment is raised; in which case it is calculated on the numb</w:t>
      </w:r>
      <w:r>
        <w:t>er of days from the start of that</w:t>
      </w:r>
      <w:r w:rsidRPr="004207CF">
        <w:t xml:space="preserve"> financial year to the date the assessment is issued.</w:t>
      </w:r>
      <w:r>
        <w:t xml:space="preserve">  </w:t>
      </w:r>
    </w:p>
    <w:p w:rsidR="004135B0" w:rsidRDefault="004135B0" w:rsidP="009D7CE3">
      <w:pPr>
        <w:pStyle w:val="ExampleBox"/>
        <w:spacing w:before="240"/>
      </w:pPr>
      <w:r>
        <w:t xml:space="preserve">For example, where an audit determines a tax default in the first financial year of a three year audit period and the assessment is issued on 1 April of the third year, interest will be calculated using the number of days in: </w:t>
      </w:r>
    </w:p>
    <w:p w:rsidR="004135B0" w:rsidRDefault="004135B0" w:rsidP="004135B0">
      <w:pPr>
        <w:pStyle w:val="ExampleBox"/>
      </w:pPr>
      <w:r>
        <w:t xml:space="preserve">- the period commencing 1 January (being the mid point) to 30 June in the first year; </w:t>
      </w:r>
    </w:p>
    <w:p w:rsidR="004135B0" w:rsidRDefault="004135B0" w:rsidP="004135B0">
      <w:pPr>
        <w:pStyle w:val="ExampleBox"/>
      </w:pPr>
      <w:r>
        <w:t xml:space="preserve">- the full year of the second year (1 July to 30 June); and </w:t>
      </w:r>
    </w:p>
    <w:p w:rsidR="004135B0" w:rsidRDefault="004135B0" w:rsidP="004135B0">
      <w:pPr>
        <w:pStyle w:val="ExampleBox"/>
      </w:pPr>
      <w:r>
        <w:t xml:space="preserve">- the period 1 July to 1 April in the third year. </w:t>
      </w:r>
    </w:p>
    <w:p w:rsidR="004135B0" w:rsidRDefault="004135B0" w:rsidP="004135B0">
      <w:pPr>
        <w:pStyle w:val="BlockText"/>
        <w:spacing w:before="240"/>
      </w:pPr>
      <w:r>
        <w:t>If in the second year a further tax default is determined, the mid point rule will apply to that default amount in that year.</w:t>
      </w:r>
    </w:p>
    <w:p w:rsidR="004135B0" w:rsidRPr="00F736AB" w:rsidRDefault="004135B0" w:rsidP="004135B0">
      <w:pPr>
        <w:pStyle w:val="BlockText"/>
      </w:pPr>
      <w:r>
        <w:t>If the taxpayer becomes liable for periodic tax within a financial year and has a tax default in that year, the mid point for the purposes of the interest calculation, will be calculated as the date halfway between the date the taxpayer became liable and the end of that financial year (i.e. 30 June).</w:t>
      </w:r>
    </w:p>
    <w:p w:rsidR="004135B0" w:rsidRPr="00182B7C" w:rsidRDefault="004135B0" w:rsidP="004135B0">
      <w:pPr>
        <w:pStyle w:val="HeadingThree"/>
      </w:pPr>
      <w:r w:rsidRPr="00182B7C">
        <w:t>Crediting refunds before calculating interest</w:t>
      </w:r>
    </w:p>
    <w:p w:rsidR="004135B0" w:rsidRDefault="004135B0" w:rsidP="004135B0">
      <w:pPr>
        <w:pStyle w:val="BlockText"/>
      </w:pPr>
      <w:r w:rsidRPr="004207CF">
        <w:t>In some circumstances,</w:t>
      </w:r>
      <w:r>
        <w:t xml:space="preserve"> an</w:t>
      </w:r>
      <w:r w:rsidRPr="004207CF">
        <w:t xml:space="preserve"> investigation into a taxpayer’s liability for payroll tax or </w:t>
      </w:r>
      <w:r>
        <w:t xml:space="preserve">other tax paid on a periodic basis </w:t>
      </w:r>
      <w:r w:rsidRPr="004207CF">
        <w:t xml:space="preserve">may reveal that </w:t>
      </w:r>
      <w:r>
        <w:t xml:space="preserve">there is a tax default </w:t>
      </w:r>
      <w:r w:rsidRPr="004207CF">
        <w:t>in some financial years and a</w:t>
      </w:r>
      <w:r>
        <w:t xml:space="preserve">n overpayment </w:t>
      </w:r>
      <w:r w:rsidRPr="004207CF">
        <w:t>i</w:t>
      </w:r>
      <w:r>
        <w:t xml:space="preserve">n </w:t>
      </w:r>
      <w:r w:rsidRPr="004207CF">
        <w:t>other financial year</w:t>
      </w:r>
      <w:r>
        <w:t>(s).</w:t>
      </w:r>
      <w:r w:rsidRPr="004207CF">
        <w:t xml:space="preserve">  </w:t>
      </w:r>
    </w:p>
    <w:p w:rsidR="004135B0" w:rsidRDefault="004135B0" w:rsidP="004135B0">
      <w:pPr>
        <w:pStyle w:val="BlockText"/>
      </w:pPr>
      <w:r w:rsidRPr="00F736AB">
        <w:t xml:space="preserve">Where </w:t>
      </w:r>
      <w:r>
        <w:t xml:space="preserve">an overpayment arises </w:t>
      </w:r>
      <w:r w:rsidRPr="00F736AB">
        <w:t xml:space="preserve">in respect of financial years subsequent to a </w:t>
      </w:r>
      <w:r>
        <w:t xml:space="preserve">financial year in which a </w:t>
      </w:r>
      <w:r w:rsidRPr="00F736AB">
        <w:t xml:space="preserve">tax </w:t>
      </w:r>
      <w:r>
        <w:t>default occurs</w:t>
      </w:r>
      <w:r w:rsidRPr="00F736AB">
        <w:t>, the interest payable in the</w:t>
      </w:r>
      <w:r>
        <w:t>se</w:t>
      </w:r>
      <w:r w:rsidRPr="00F736AB">
        <w:t xml:space="preserve"> </w:t>
      </w:r>
      <w:r>
        <w:t xml:space="preserve">subsequent </w:t>
      </w:r>
      <w:r w:rsidRPr="00F736AB">
        <w:t xml:space="preserve">financial year(s) is reduced. This reduction is determined by calculating the interest based on the ‘net’ underpaid tax for each </w:t>
      </w:r>
      <w:r>
        <w:t xml:space="preserve">subsequent </w:t>
      </w:r>
      <w:r w:rsidRPr="00F736AB">
        <w:t xml:space="preserve">financial year. </w:t>
      </w:r>
    </w:p>
    <w:p w:rsidR="004135B0" w:rsidRDefault="004135B0" w:rsidP="009D7CE3">
      <w:pPr>
        <w:pStyle w:val="ExampleBox"/>
        <w:spacing w:before="240"/>
      </w:pPr>
      <w:r>
        <w:t xml:space="preserve">For </w:t>
      </w:r>
      <w:r w:rsidRPr="00F736AB">
        <w:t xml:space="preserve">example, where a taxpayer has been audited and the audit determines that </w:t>
      </w:r>
      <w:r>
        <w:t>tax has been underpaid by $3</w:t>
      </w:r>
      <w:r w:rsidRPr="00F736AB">
        <w:t>000 in the first financial year</w:t>
      </w:r>
      <w:r>
        <w:t xml:space="preserve"> of an audit period</w:t>
      </w:r>
      <w:r w:rsidRPr="00F736AB">
        <w:t>, interest will be charged on the underpaid amount in that year. If in a subsequent year the taxpayer is found to have overpaid tax</w:t>
      </w:r>
      <w:r>
        <w:t xml:space="preserve"> by $1000</w:t>
      </w:r>
      <w:r w:rsidRPr="00F736AB">
        <w:t xml:space="preserve">, the interest for the subsequent financial year is calculated on the </w:t>
      </w:r>
      <w:r>
        <w:t xml:space="preserve">net </w:t>
      </w:r>
      <w:r w:rsidRPr="00F736AB">
        <w:t>underpayment</w:t>
      </w:r>
      <w:r>
        <w:t>,</w:t>
      </w:r>
      <w:r w:rsidRPr="00F736AB">
        <w:t xml:space="preserve"> </w:t>
      </w:r>
      <w:r>
        <w:t xml:space="preserve">that being $2000 </w:t>
      </w:r>
      <w:r w:rsidRPr="00F736AB">
        <w:t xml:space="preserve">after </w:t>
      </w:r>
      <w:r>
        <w:t>offsetting</w:t>
      </w:r>
      <w:r w:rsidRPr="00F736AB">
        <w:t xml:space="preserve"> the overp</w:t>
      </w:r>
      <w:r>
        <w:t>aid amount.</w:t>
      </w:r>
      <w:r w:rsidRPr="004207CF">
        <w:t xml:space="preserve">  </w:t>
      </w:r>
    </w:p>
    <w:p w:rsidR="004135B0" w:rsidRDefault="004135B0" w:rsidP="004135B0">
      <w:pPr>
        <w:pStyle w:val="BlockText"/>
        <w:spacing w:before="240"/>
      </w:pPr>
      <w:r w:rsidRPr="004207CF">
        <w:t xml:space="preserve">Where the overpayment of tax in a financial year is </w:t>
      </w:r>
      <w:r>
        <w:t>greater</w:t>
      </w:r>
      <w:r w:rsidRPr="004207CF">
        <w:t xml:space="preserve"> than </w:t>
      </w:r>
      <w:r>
        <w:t>the total underpayment of tax in prior year</w:t>
      </w:r>
      <w:r w:rsidRPr="004207CF">
        <w:t>s, no interest is calculated</w:t>
      </w:r>
      <w:r>
        <w:t xml:space="preserve"> on the amount of the underpayment</w:t>
      </w:r>
      <w:r w:rsidRPr="004207CF">
        <w:t xml:space="preserve"> in respect of the year in which the </w:t>
      </w:r>
      <w:r>
        <w:t xml:space="preserve">net </w:t>
      </w:r>
      <w:r w:rsidRPr="004207CF">
        <w:t>overpayment occurred</w:t>
      </w:r>
      <w:r>
        <w:t xml:space="preserve">. Where an overpayment is greater than prior year underpayments, the net overpayment will be offset against any underpayments </w:t>
      </w:r>
      <w:r w:rsidRPr="004207CF">
        <w:t xml:space="preserve">identified in subsequent </w:t>
      </w:r>
      <w:r>
        <w:t xml:space="preserve">financial </w:t>
      </w:r>
      <w:r w:rsidRPr="004207CF">
        <w:t>years</w:t>
      </w:r>
      <w:r>
        <w:t xml:space="preserve"> when calculating the interest payable on those underpayments.</w:t>
      </w:r>
    </w:p>
    <w:p w:rsidR="004135B0" w:rsidRPr="004207CF" w:rsidRDefault="004135B0" w:rsidP="004135B0">
      <w:pPr>
        <w:pStyle w:val="HeadingThree"/>
      </w:pPr>
      <w:r w:rsidRPr="004207CF">
        <w:t xml:space="preserve">Remission of interest </w:t>
      </w:r>
    </w:p>
    <w:p w:rsidR="004135B0" w:rsidRDefault="004135B0" w:rsidP="004135B0">
      <w:pPr>
        <w:pStyle w:val="BlockText"/>
      </w:pPr>
      <w:r>
        <w:t>TRO may</w:t>
      </w:r>
      <w:r w:rsidRPr="004207CF">
        <w:t xml:space="preserve"> remit all or part of the interest payable where </w:t>
      </w:r>
      <w:r w:rsidRPr="004A1B47">
        <w:t>satisfied that it is appropriate to do so</w:t>
      </w:r>
      <w:r>
        <w:t>.</w:t>
      </w:r>
      <w:r>
        <w:rPr>
          <w:rStyle w:val="FootnoteReference"/>
          <w:sz w:val="24"/>
          <w:szCs w:val="24"/>
        </w:rPr>
        <w:footnoteReference w:id="9"/>
      </w:r>
      <w:r>
        <w:t xml:space="preserve">  However, interest may </w:t>
      </w:r>
      <w:r w:rsidRPr="004207CF">
        <w:t xml:space="preserve">only be reduced </w:t>
      </w:r>
      <w:r>
        <w:t>below the market interest rate</w:t>
      </w:r>
      <w:r w:rsidRPr="004207CF">
        <w:t xml:space="preserve"> in </w:t>
      </w:r>
      <w:r w:rsidRPr="00F575EF">
        <w:t>exceptional circumstances</w:t>
      </w:r>
      <w:r w:rsidRPr="004207CF">
        <w:t>, having regard to the role that interest plays in deterrence, equity and compensation (as set out above).</w:t>
      </w:r>
      <w:r>
        <w:rPr>
          <w:rStyle w:val="FootnoteReference"/>
          <w:sz w:val="24"/>
          <w:szCs w:val="24"/>
        </w:rPr>
        <w:footnoteReference w:id="10"/>
      </w:r>
      <w:r w:rsidRPr="004207CF">
        <w:t xml:space="preserve">  </w:t>
      </w:r>
    </w:p>
    <w:p w:rsidR="004135B0" w:rsidRDefault="004135B0" w:rsidP="004135B0">
      <w:pPr>
        <w:pStyle w:val="BlockText"/>
      </w:pPr>
      <w:r w:rsidRPr="004207CF">
        <w:t xml:space="preserve">The </w:t>
      </w:r>
      <w:r>
        <w:t>interest</w:t>
      </w:r>
      <w:r w:rsidRPr="004207CF">
        <w:t xml:space="preserve"> rate will </w:t>
      </w:r>
      <w:r>
        <w:t xml:space="preserve">generally </w:t>
      </w:r>
      <w:r w:rsidRPr="004207CF">
        <w:t xml:space="preserve">be reduced to the market </w:t>
      </w:r>
      <w:r>
        <w:t xml:space="preserve">interest </w:t>
      </w:r>
      <w:r w:rsidRPr="004207CF">
        <w:t xml:space="preserve">rate where TRO is satisfied that </w:t>
      </w:r>
      <w:r>
        <w:t>t</w:t>
      </w:r>
      <w:r w:rsidRPr="004207CF">
        <w:t>he tax default is due to circumstances beyond the control of the taxpayer (other than the taxpayer</w:t>
      </w:r>
      <w:r>
        <w:t>’</w:t>
      </w:r>
      <w:r w:rsidRPr="004207CF">
        <w:t>s financial incapacity to meet the tax liability) and the taxpayer</w:t>
      </w:r>
      <w:r>
        <w:t>,</w:t>
      </w:r>
      <w:r w:rsidRPr="004207CF">
        <w:t xml:space="preserve"> having discovered the tax default</w:t>
      </w:r>
      <w:r>
        <w:t>,</w:t>
      </w:r>
      <w:r w:rsidRPr="004207CF">
        <w:t xml:space="preserve"> took all</w:t>
      </w:r>
      <w:r>
        <w:t xml:space="preserve"> reasonable steps to rectify it. </w:t>
      </w:r>
    </w:p>
    <w:p w:rsidR="004135B0" w:rsidRDefault="004135B0" w:rsidP="004135B0">
      <w:pPr>
        <w:pStyle w:val="BlockText"/>
      </w:pPr>
      <w:r>
        <w:lastRenderedPageBreak/>
        <w:t xml:space="preserve">The interest rate will be reduced to nil where the </w:t>
      </w:r>
      <w:r w:rsidRPr="004207CF">
        <w:t xml:space="preserve">taxpayer can demonstrate that </w:t>
      </w:r>
      <w:r>
        <w:t xml:space="preserve">the </w:t>
      </w:r>
      <w:r w:rsidRPr="004207CF">
        <w:t xml:space="preserve">tax </w:t>
      </w:r>
      <w:r>
        <w:t xml:space="preserve">due to the Territory </w:t>
      </w:r>
      <w:r w:rsidRPr="004207CF">
        <w:t xml:space="preserve">has been paid in error to the </w:t>
      </w:r>
      <w:r>
        <w:t>r</w:t>
      </w:r>
      <w:r w:rsidRPr="004207CF">
        <w:t xml:space="preserve">evenue </w:t>
      </w:r>
      <w:r>
        <w:t>authority of another state or territory</w:t>
      </w:r>
      <w:r w:rsidRPr="004207CF">
        <w:t xml:space="preserve"> </w:t>
      </w:r>
      <w:r>
        <w:t xml:space="preserve">and it was paid </w:t>
      </w:r>
      <w:r w:rsidRPr="004207CF">
        <w:t>on or before its due date</w:t>
      </w:r>
      <w:r>
        <w:t xml:space="preserve"> for payment in the Territory.</w:t>
      </w:r>
    </w:p>
    <w:p w:rsidR="004135B0" w:rsidRDefault="004135B0" w:rsidP="004135B0">
      <w:pPr>
        <w:pStyle w:val="BlockText"/>
      </w:pPr>
      <w:r w:rsidRPr="004207CF">
        <w:t xml:space="preserve">Furthermore, where there is an unreasonably lengthy delay in TRO making an assessment after the taxpayer has provided all information required to issue the assessment in a timely manner, the </w:t>
      </w:r>
      <w:r>
        <w:t xml:space="preserve">period over which interest is charged </w:t>
      </w:r>
      <w:r w:rsidRPr="004207CF">
        <w:t>will be redu</w:t>
      </w:r>
      <w:r>
        <w:t>ced such that interest will not be imposed for the period of TRO’s delay.</w:t>
      </w:r>
    </w:p>
    <w:p w:rsidR="004135B0" w:rsidRDefault="004135B0" w:rsidP="004135B0">
      <w:pPr>
        <w:pStyle w:val="HeadingThree"/>
      </w:pPr>
      <w:r>
        <w:t>Statutory interest rate is payable on judgment debts</w:t>
      </w:r>
    </w:p>
    <w:p w:rsidR="004135B0" w:rsidRDefault="004135B0" w:rsidP="004135B0">
      <w:pPr>
        <w:pStyle w:val="BlockText"/>
      </w:pPr>
      <w:r w:rsidRPr="004A1B47">
        <w:t xml:space="preserve">If judgment is given by or entered in a court </w:t>
      </w:r>
      <w:r>
        <w:t xml:space="preserve">in relation to </w:t>
      </w:r>
      <w:r w:rsidRPr="004A1B47">
        <w:t>unpaid tax, interest continues to accrue</w:t>
      </w:r>
      <w:r>
        <w:t xml:space="preserve"> </w:t>
      </w:r>
      <w:r w:rsidRPr="004A1B47">
        <w:t>at the statutory interest rate</w:t>
      </w:r>
      <w:r w:rsidRPr="004C09B7">
        <w:t xml:space="preserve"> </w:t>
      </w:r>
      <w:r w:rsidRPr="004A1B47">
        <w:t>until the</w:t>
      </w:r>
      <w:r>
        <w:t xml:space="preserve"> </w:t>
      </w:r>
      <w:r w:rsidRPr="004A1B47">
        <w:t xml:space="preserve">tax is paid, </w:t>
      </w:r>
      <w:r>
        <w:t xml:space="preserve">rather than any </w:t>
      </w:r>
      <w:r w:rsidRPr="004A1B47">
        <w:t>other interest rate</w:t>
      </w:r>
      <w:r>
        <w:t xml:space="preserve"> (such as that set out under the Supreme Court Rules)</w:t>
      </w:r>
      <w:r w:rsidRPr="004A1B47">
        <w:t>.</w:t>
      </w:r>
      <w:r>
        <w:rPr>
          <w:rStyle w:val="FootnoteReference"/>
          <w:sz w:val="24"/>
          <w:szCs w:val="24"/>
        </w:rPr>
        <w:footnoteReference w:id="11"/>
      </w:r>
    </w:p>
    <w:p w:rsidR="004135B0" w:rsidRPr="00E74C1B" w:rsidRDefault="004135B0" w:rsidP="004135B0">
      <w:pPr>
        <w:pStyle w:val="HeadingTwo"/>
      </w:pPr>
      <w:r w:rsidRPr="00E74C1B">
        <w:t xml:space="preserve">Penalty </w:t>
      </w:r>
      <w:r>
        <w:t>t</w:t>
      </w:r>
      <w:r w:rsidRPr="00E74C1B">
        <w:t>ax</w:t>
      </w:r>
    </w:p>
    <w:p w:rsidR="004135B0" w:rsidRDefault="004135B0" w:rsidP="004135B0">
      <w:pPr>
        <w:pStyle w:val="BlockText"/>
      </w:pPr>
      <w:r w:rsidRPr="004207CF">
        <w:t>When a tax default occurs, a taxpayer is liable to pay penalty tax.</w:t>
      </w:r>
      <w:r>
        <w:rPr>
          <w:rStyle w:val="FootnoteReference"/>
          <w:sz w:val="24"/>
          <w:szCs w:val="24"/>
        </w:rPr>
        <w:footnoteReference w:id="12"/>
      </w:r>
      <w:r w:rsidRPr="004207CF">
        <w:t xml:space="preserve"> Penalty tax is in addition to primary tax and interest. Penalty tax is not payable for a tax default that consists </w:t>
      </w:r>
      <w:r>
        <w:t>only of a</w:t>
      </w:r>
      <w:r w:rsidRPr="004207CF">
        <w:t xml:space="preserve"> failure to pay interest or penalty tax previously imposed.  </w:t>
      </w:r>
    </w:p>
    <w:p w:rsidR="007777A7" w:rsidRDefault="007777A7" w:rsidP="00455938">
      <w:pPr>
        <w:pStyle w:val="BlockText"/>
      </w:pPr>
      <w:r>
        <w:t xml:space="preserve">The TAA </w:t>
      </w:r>
      <w:r w:rsidR="001A6521">
        <w:t xml:space="preserve">provides for a graduated scheme of penalty tax and </w:t>
      </w:r>
      <w:r>
        <w:t>imposes penalty tax at a higher rate where a taxpayer is more culpable. Where a person’s conduct goes beyond a simple lack of care or inadverte</w:t>
      </w:r>
      <w:r w:rsidR="001A6521">
        <w:t xml:space="preserve">nce, </w:t>
      </w:r>
      <w:r w:rsidR="00455938">
        <w:t>higher penalty tax may apply – severe sanctions of up to 95 per cent apply for the most serious matters.</w:t>
      </w:r>
    </w:p>
    <w:p w:rsidR="004135B0" w:rsidRDefault="004135B0" w:rsidP="004135B0">
      <w:pPr>
        <w:pStyle w:val="BlockText"/>
      </w:pPr>
      <w:r w:rsidRPr="004207CF">
        <w:t>As a general rule</w:t>
      </w:r>
      <w:r>
        <w:t>,</w:t>
      </w:r>
      <w:r w:rsidRPr="004207CF">
        <w:t xml:space="preserve"> the amount of</w:t>
      </w:r>
      <w:r>
        <w:t xml:space="preserve"> penalty tax imposed will be 25 per cent </w:t>
      </w:r>
      <w:r w:rsidRPr="004207CF">
        <w:t>of the amount of</w:t>
      </w:r>
      <w:r>
        <w:t xml:space="preserve"> the</w:t>
      </w:r>
      <w:r w:rsidRPr="004207CF">
        <w:t xml:space="preserve"> tax default</w:t>
      </w:r>
      <w:r>
        <w:t xml:space="preserve">, although it </w:t>
      </w:r>
      <w:r w:rsidRPr="00BD644F">
        <w:t>will not be imposed i</w:t>
      </w:r>
      <w:r>
        <w:t xml:space="preserve">f it amounts to less than $20. </w:t>
      </w:r>
    </w:p>
    <w:p w:rsidR="004135B0" w:rsidRDefault="004135B0" w:rsidP="004135B0">
      <w:pPr>
        <w:pStyle w:val="BlockText"/>
      </w:pPr>
      <w:r>
        <w:t>The penalty tax will be changed from 25 per cent of the amount of the tax default to:</w:t>
      </w:r>
    </w:p>
    <w:p w:rsidR="004135B0" w:rsidRPr="004135B0" w:rsidRDefault="004135B0" w:rsidP="004135B0">
      <w:pPr>
        <w:pStyle w:val="BlockText"/>
        <w:numPr>
          <w:ilvl w:val="1"/>
          <w:numId w:val="3"/>
        </w:numPr>
        <w:rPr>
          <w:szCs w:val="22"/>
        </w:rPr>
      </w:pPr>
      <w:r w:rsidRPr="004135B0">
        <w:rPr>
          <w:b/>
          <w:szCs w:val="22"/>
        </w:rPr>
        <w:t>nil</w:t>
      </w:r>
      <w:r w:rsidRPr="004135B0">
        <w:rPr>
          <w:rStyle w:val="BlockTextChar"/>
          <w:szCs w:val="22"/>
        </w:rPr>
        <w:t xml:space="preserve">, where TRO is satisfied that the tax default arose from </w:t>
      </w:r>
      <w:r w:rsidRPr="004135B0">
        <w:rPr>
          <w:b/>
          <w:szCs w:val="22"/>
        </w:rPr>
        <w:t>circumstances beyond the control of the taxpayer</w:t>
      </w:r>
      <w:r w:rsidRPr="004135B0">
        <w:rPr>
          <w:szCs w:val="22"/>
        </w:rPr>
        <w:t xml:space="preserve"> other than the taxpayer’s financial incapacity to meet the tax liability and the taxpayer, having discovered the tax default, took all reasonable steps to rectify it;</w:t>
      </w:r>
      <w:r w:rsidRPr="004135B0">
        <w:rPr>
          <w:rStyle w:val="FootnoteReference"/>
          <w:szCs w:val="22"/>
        </w:rPr>
        <w:footnoteReference w:id="13"/>
      </w:r>
      <w:r w:rsidRPr="004135B0">
        <w:rPr>
          <w:szCs w:val="22"/>
        </w:rPr>
        <w:t xml:space="preserve">  </w:t>
      </w:r>
    </w:p>
    <w:p w:rsidR="004135B0" w:rsidRPr="004135B0" w:rsidRDefault="004135B0" w:rsidP="004135B0">
      <w:pPr>
        <w:pStyle w:val="BlockText"/>
        <w:numPr>
          <w:ilvl w:val="1"/>
          <w:numId w:val="3"/>
        </w:numPr>
        <w:rPr>
          <w:szCs w:val="22"/>
        </w:rPr>
      </w:pPr>
      <w:r w:rsidRPr="004135B0">
        <w:rPr>
          <w:b/>
          <w:szCs w:val="22"/>
        </w:rPr>
        <w:t>10 per cent</w:t>
      </w:r>
      <w:r w:rsidRPr="004135B0">
        <w:rPr>
          <w:szCs w:val="22"/>
        </w:rPr>
        <w:t xml:space="preserve"> of the amount of the tax default, where TRO is satisfied that the taxpayer took </w:t>
      </w:r>
      <w:r w:rsidRPr="004135B0">
        <w:rPr>
          <w:b/>
          <w:szCs w:val="22"/>
        </w:rPr>
        <w:t>reasonable care to comply with the taxation laws</w:t>
      </w:r>
      <w:r w:rsidRPr="004135B0">
        <w:rPr>
          <w:szCs w:val="22"/>
        </w:rPr>
        <w:t xml:space="preserve">; </w:t>
      </w:r>
      <w:r w:rsidRPr="004135B0">
        <w:rPr>
          <w:rStyle w:val="FootnoteReference"/>
          <w:szCs w:val="22"/>
        </w:rPr>
        <w:footnoteReference w:id="14"/>
      </w:r>
      <w:r w:rsidRPr="004135B0">
        <w:rPr>
          <w:szCs w:val="22"/>
        </w:rPr>
        <w:t xml:space="preserve">  </w:t>
      </w:r>
    </w:p>
    <w:p w:rsidR="004135B0" w:rsidRPr="004207CF" w:rsidRDefault="004135B0" w:rsidP="004135B0">
      <w:pPr>
        <w:pStyle w:val="BlockText"/>
        <w:numPr>
          <w:ilvl w:val="1"/>
          <w:numId w:val="3"/>
        </w:numPr>
      </w:pPr>
      <w:r w:rsidRPr="00DD125C">
        <w:rPr>
          <w:b/>
        </w:rPr>
        <w:t>75 per cent</w:t>
      </w:r>
      <w:r w:rsidRPr="004135B0">
        <w:t xml:space="preserve"> of the amount of the tax default, where TRO is satisfied that </w:t>
      </w:r>
      <w:r>
        <w:rPr>
          <w:u w:val="single"/>
        </w:rPr>
        <w:t>either</w:t>
      </w:r>
      <w:r w:rsidRPr="004207CF">
        <w:t>:</w:t>
      </w:r>
    </w:p>
    <w:p w:rsidR="004135B0" w:rsidRPr="004207CF" w:rsidRDefault="004135B0" w:rsidP="003D6356">
      <w:pPr>
        <w:pStyle w:val="BlockText"/>
        <w:numPr>
          <w:ilvl w:val="2"/>
          <w:numId w:val="3"/>
        </w:numPr>
      </w:pPr>
      <w:r w:rsidRPr="004207CF">
        <w:t xml:space="preserve">the tax default arose wholly or partly from the </w:t>
      </w:r>
      <w:r w:rsidRPr="002504FD">
        <w:rPr>
          <w:b/>
        </w:rPr>
        <w:t>intentional disregard of a taxation law</w:t>
      </w:r>
      <w:r w:rsidRPr="004207CF">
        <w:t xml:space="preserve"> </w:t>
      </w:r>
      <w:r>
        <w:t xml:space="preserve">by the taxpayer </w:t>
      </w:r>
      <w:r w:rsidRPr="004207CF">
        <w:t xml:space="preserve">or a person </w:t>
      </w:r>
      <w:r>
        <w:t>acting on behalf of a taxpayer; or</w:t>
      </w:r>
    </w:p>
    <w:p w:rsidR="004135B0" w:rsidRPr="004135B0" w:rsidRDefault="004135B0" w:rsidP="003D6356">
      <w:pPr>
        <w:pStyle w:val="BlockText"/>
        <w:numPr>
          <w:ilvl w:val="2"/>
          <w:numId w:val="3"/>
        </w:numPr>
        <w:rPr>
          <w:rStyle w:val="BlockTextChar"/>
        </w:rPr>
      </w:pPr>
      <w:r>
        <w:t xml:space="preserve">the taxpayer </w:t>
      </w:r>
      <w:r w:rsidRPr="004207CF">
        <w:t>or a person</w:t>
      </w:r>
      <w:r>
        <w:t xml:space="preserve"> acting on behalf of a taxpayer</w:t>
      </w:r>
      <w:r w:rsidRPr="004207CF">
        <w:t xml:space="preserve"> deliberately </w:t>
      </w:r>
      <w:r w:rsidRPr="002504FD">
        <w:rPr>
          <w:b/>
        </w:rPr>
        <w:t>concealed or suppressed information</w:t>
      </w:r>
      <w:r w:rsidRPr="004135B0">
        <w:rPr>
          <w:rStyle w:val="BlockTextChar"/>
        </w:rPr>
        <w:t xml:space="preserve"> from the Commissioner relevant to the assessment of the tax liability or the investigation of the tax default or </w:t>
      </w:r>
      <w:r w:rsidRPr="002504FD">
        <w:rPr>
          <w:b/>
        </w:rPr>
        <w:t>hindered the assessment of the tax liability or the investigation of the tax default</w:t>
      </w:r>
      <w:r w:rsidRPr="004135B0">
        <w:rPr>
          <w:rStyle w:val="BlockTextChar"/>
        </w:rPr>
        <w:t xml:space="preserve"> in any other way; or</w:t>
      </w:r>
      <w:r>
        <w:rPr>
          <w:rStyle w:val="FootnoteReference"/>
          <w:sz w:val="24"/>
          <w:szCs w:val="24"/>
        </w:rPr>
        <w:footnoteReference w:id="15"/>
      </w:r>
    </w:p>
    <w:p w:rsidR="004135B0" w:rsidRPr="003D6356" w:rsidRDefault="004135B0" w:rsidP="003D6356">
      <w:pPr>
        <w:pStyle w:val="BlockText"/>
        <w:numPr>
          <w:ilvl w:val="1"/>
          <w:numId w:val="3"/>
        </w:numPr>
        <w:rPr>
          <w:szCs w:val="22"/>
        </w:rPr>
      </w:pPr>
      <w:r w:rsidRPr="003D6356">
        <w:rPr>
          <w:b/>
          <w:szCs w:val="22"/>
        </w:rPr>
        <w:t>95 per cent</w:t>
      </w:r>
      <w:r w:rsidRPr="003D6356">
        <w:rPr>
          <w:szCs w:val="22"/>
        </w:rPr>
        <w:t xml:space="preserve"> of the amount of the tax default where the Commissioner is satisfied that </w:t>
      </w:r>
      <w:r w:rsidRPr="003D6356">
        <w:rPr>
          <w:szCs w:val="22"/>
          <w:u w:val="single"/>
        </w:rPr>
        <w:t>both</w:t>
      </w:r>
      <w:r w:rsidRPr="003D6356">
        <w:rPr>
          <w:szCs w:val="22"/>
        </w:rPr>
        <w:t xml:space="preserve"> of the circumstances set out in </w:t>
      </w:r>
      <w:r w:rsidR="009D7CE3">
        <w:rPr>
          <w:szCs w:val="22"/>
        </w:rPr>
        <w:t>(</w:t>
      </w:r>
      <w:r w:rsidRPr="003D6356">
        <w:rPr>
          <w:szCs w:val="22"/>
        </w:rPr>
        <w:t>3) above exists.</w:t>
      </w:r>
      <w:r w:rsidRPr="003D6356">
        <w:rPr>
          <w:rStyle w:val="FootnoteReference"/>
          <w:szCs w:val="22"/>
        </w:rPr>
        <w:footnoteReference w:id="16"/>
      </w:r>
    </w:p>
    <w:p w:rsidR="004135B0" w:rsidRPr="004207CF" w:rsidRDefault="004135B0" w:rsidP="004135B0">
      <w:pPr>
        <w:pStyle w:val="BlockText"/>
      </w:pPr>
      <w:r>
        <w:t>In addition, where satisfied that it is appropri</w:t>
      </w:r>
      <w:r w:rsidR="009D7CE3">
        <w:t>ate to do so, the Commissioner</w:t>
      </w:r>
      <w:r>
        <w:t xml:space="preserve"> has the ability to remit penalty tax (wholly or in part).</w:t>
      </w:r>
      <w:r>
        <w:rPr>
          <w:rStyle w:val="FootnoteReference"/>
          <w:sz w:val="24"/>
          <w:szCs w:val="24"/>
        </w:rPr>
        <w:footnoteReference w:id="17"/>
      </w:r>
      <w:r w:rsidR="005F1116">
        <w:t xml:space="preserve"> </w:t>
      </w:r>
      <w:r>
        <w:t xml:space="preserve">In accordance with this discretion, penalty tax will be reduced to nil where the </w:t>
      </w:r>
      <w:r w:rsidRPr="004207CF">
        <w:t xml:space="preserve">taxpayer can demonstrate that </w:t>
      </w:r>
      <w:r>
        <w:t xml:space="preserve">the </w:t>
      </w:r>
      <w:r w:rsidRPr="004207CF">
        <w:t xml:space="preserve">tax </w:t>
      </w:r>
      <w:r>
        <w:t xml:space="preserve">due to the Territory </w:t>
      </w:r>
      <w:r w:rsidRPr="004207CF">
        <w:t xml:space="preserve">has been paid in error to the </w:t>
      </w:r>
      <w:r>
        <w:t>r</w:t>
      </w:r>
      <w:r w:rsidRPr="004207CF">
        <w:t xml:space="preserve">evenue </w:t>
      </w:r>
      <w:r>
        <w:t>authority of another state or territory</w:t>
      </w:r>
      <w:r w:rsidRPr="004207CF">
        <w:t xml:space="preserve"> </w:t>
      </w:r>
      <w:r>
        <w:t xml:space="preserve">and it was paid </w:t>
      </w:r>
      <w:r w:rsidRPr="004207CF">
        <w:t>on or before its due date</w:t>
      </w:r>
      <w:r>
        <w:t xml:space="preserve"> for payment in the Territory.</w:t>
      </w:r>
    </w:p>
    <w:p w:rsidR="004135B0" w:rsidRDefault="004135B0" w:rsidP="004135B0">
      <w:pPr>
        <w:pStyle w:val="BlockText"/>
      </w:pPr>
      <w:r>
        <w:lastRenderedPageBreak/>
        <w:t>A matrix of the different levels of penalty tax payable based on the culpability of the taxpayer is provided at the end of this Guideline.</w:t>
      </w:r>
    </w:p>
    <w:p w:rsidR="004135B0" w:rsidRPr="00A02252" w:rsidRDefault="004135B0" w:rsidP="003D6356">
      <w:pPr>
        <w:pStyle w:val="HeadingThree"/>
      </w:pPr>
      <w:r w:rsidRPr="00A02252">
        <w:t>Determining the level of penalty tax</w:t>
      </w:r>
    </w:p>
    <w:p w:rsidR="004135B0" w:rsidRPr="002504FD" w:rsidRDefault="004135B0" w:rsidP="0085019A">
      <w:pPr>
        <w:pStyle w:val="HeadingFour"/>
        <w:spacing w:before="200"/>
      </w:pPr>
      <w:r w:rsidRPr="002504FD">
        <w:t>Circumstances beyond the control of a taxpayer</w:t>
      </w:r>
    </w:p>
    <w:p w:rsidR="004135B0" w:rsidRDefault="004135B0" w:rsidP="004135B0">
      <w:pPr>
        <w:pStyle w:val="BlockText"/>
      </w:pPr>
      <w:r w:rsidRPr="004207CF">
        <w:t xml:space="preserve">Circumstances beyond the control of the taxpayer that may warrant </w:t>
      </w:r>
      <w:r>
        <w:t>no penalty tax being imposed include</w:t>
      </w:r>
      <w:r w:rsidRPr="004207CF">
        <w:t>:</w:t>
      </w:r>
    </w:p>
    <w:p w:rsidR="004135B0" w:rsidRPr="004207CF" w:rsidRDefault="004135B0" w:rsidP="003D6356">
      <w:pPr>
        <w:pStyle w:val="BlockText"/>
        <w:numPr>
          <w:ilvl w:val="1"/>
          <w:numId w:val="3"/>
        </w:numPr>
      </w:pPr>
      <w:r w:rsidRPr="004207CF">
        <w:t>fires, floods</w:t>
      </w:r>
      <w:r>
        <w:t>, cyclones</w:t>
      </w:r>
      <w:r w:rsidRPr="004207CF">
        <w:t xml:space="preserve"> or other natural disasters;</w:t>
      </w:r>
    </w:p>
    <w:p w:rsidR="004135B0" w:rsidRPr="004207CF" w:rsidRDefault="004135B0" w:rsidP="003D6356">
      <w:pPr>
        <w:pStyle w:val="BlockText"/>
        <w:numPr>
          <w:ilvl w:val="1"/>
          <w:numId w:val="3"/>
        </w:numPr>
      </w:pPr>
      <w:r w:rsidRPr="004207CF">
        <w:t>key personnel not being available because of sudden resignation, ill health or death; and</w:t>
      </w:r>
    </w:p>
    <w:p w:rsidR="004135B0" w:rsidRPr="004207CF" w:rsidRDefault="004135B0" w:rsidP="003D6356">
      <w:pPr>
        <w:pStyle w:val="BlockText"/>
        <w:numPr>
          <w:ilvl w:val="1"/>
          <w:numId w:val="3"/>
        </w:numPr>
      </w:pPr>
      <w:r w:rsidRPr="004207CF">
        <w:t>computer system breakdowns, including third party systems such as electronic funds transfer systems.</w:t>
      </w:r>
    </w:p>
    <w:p w:rsidR="004135B0" w:rsidRDefault="004135B0" w:rsidP="004135B0">
      <w:pPr>
        <w:pStyle w:val="BlockText"/>
      </w:pPr>
      <w:r>
        <w:t xml:space="preserve">However, </w:t>
      </w:r>
      <w:r w:rsidRPr="004207CF">
        <w:t xml:space="preserve">the taxpayer </w:t>
      </w:r>
      <w:r>
        <w:t>must make</w:t>
      </w:r>
      <w:r w:rsidRPr="004207CF">
        <w:t xml:space="preserve"> a reasonable effort to </w:t>
      </w:r>
      <w:r>
        <w:t xml:space="preserve">rectify or mitigate the </w:t>
      </w:r>
      <w:r w:rsidRPr="004207CF">
        <w:t>tax default arising from those circumstances.</w:t>
      </w:r>
    </w:p>
    <w:p w:rsidR="004135B0" w:rsidRPr="00B072FD" w:rsidRDefault="004135B0" w:rsidP="003D6356">
      <w:pPr>
        <w:pStyle w:val="HeadingFour"/>
      </w:pPr>
      <w:r w:rsidRPr="00B072FD">
        <w:t>Reasonable care to comply with the taxation laws</w:t>
      </w:r>
    </w:p>
    <w:p w:rsidR="004135B0" w:rsidRDefault="004135B0" w:rsidP="004135B0">
      <w:pPr>
        <w:pStyle w:val="BlockText"/>
      </w:pPr>
      <w:r w:rsidRPr="004207CF">
        <w:t xml:space="preserve">The reasonable care standard is essentially the ordinary requirements of good commercial governance. A taxpayer is required to: </w:t>
      </w:r>
    </w:p>
    <w:p w:rsidR="004135B0" w:rsidRDefault="004135B0" w:rsidP="003D6356">
      <w:pPr>
        <w:pStyle w:val="BlockText"/>
        <w:numPr>
          <w:ilvl w:val="1"/>
          <w:numId w:val="3"/>
        </w:numPr>
      </w:pPr>
      <w:r w:rsidRPr="004207CF">
        <w:t>be honest and cooperative in their dealings with TRO</w:t>
      </w:r>
      <w:r>
        <w:t>;</w:t>
      </w:r>
      <w:r w:rsidRPr="004207CF">
        <w:t xml:space="preserve"> </w:t>
      </w:r>
    </w:p>
    <w:p w:rsidR="004135B0" w:rsidRPr="004207CF" w:rsidRDefault="004135B0" w:rsidP="003D6356">
      <w:pPr>
        <w:pStyle w:val="BlockText"/>
        <w:numPr>
          <w:ilvl w:val="1"/>
          <w:numId w:val="3"/>
        </w:numPr>
      </w:pPr>
      <w:r w:rsidRPr="004207CF">
        <w:t>keep complete and accurate records;</w:t>
      </w:r>
    </w:p>
    <w:p w:rsidR="004135B0" w:rsidRPr="004207CF" w:rsidRDefault="004135B0" w:rsidP="003D6356">
      <w:pPr>
        <w:pStyle w:val="BlockText"/>
        <w:numPr>
          <w:ilvl w:val="1"/>
          <w:numId w:val="3"/>
        </w:numPr>
      </w:pPr>
      <w:r w:rsidRPr="004207CF">
        <w:t>make diligent efforts to understand and comply with the</w:t>
      </w:r>
      <w:r>
        <w:t xml:space="preserve"> taxation</w:t>
      </w:r>
      <w:r w:rsidRPr="004207CF">
        <w:t xml:space="preserve"> law</w:t>
      </w:r>
      <w:r>
        <w:t>s</w:t>
      </w:r>
      <w:r w:rsidRPr="004207CF">
        <w:t>;</w:t>
      </w:r>
      <w:r>
        <w:t xml:space="preserve"> and</w:t>
      </w:r>
    </w:p>
    <w:p w:rsidR="004135B0" w:rsidRDefault="004135B0" w:rsidP="003D6356">
      <w:pPr>
        <w:pStyle w:val="BlockText"/>
        <w:numPr>
          <w:ilvl w:val="1"/>
          <w:numId w:val="3"/>
        </w:numPr>
      </w:pPr>
      <w:r w:rsidRPr="004207CF">
        <w:t>seek expert advice on uncertain or complex matters</w:t>
      </w:r>
      <w:r>
        <w:t>.</w:t>
      </w:r>
    </w:p>
    <w:p w:rsidR="004135B0" w:rsidRDefault="004135B0" w:rsidP="004135B0">
      <w:pPr>
        <w:pStyle w:val="BlockText"/>
      </w:pPr>
      <w:r>
        <w:t>In relation to stamp duty lodgements, taking reasonable care to comply with the SDA means that a taxpayer should, as far as possible:</w:t>
      </w:r>
    </w:p>
    <w:p w:rsidR="004135B0" w:rsidRPr="003D6356" w:rsidRDefault="004135B0" w:rsidP="005F1116">
      <w:pPr>
        <w:pStyle w:val="BlockText"/>
        <w:numPr>
          <w:ilvl w:val="1"/>
          <w:numId w:val="3"/>
        </w:numPr>
        <w:rPr>
          <w:szCs w:val="22"/>
        </w:rPr>
      </w:pPr>
      <w:r w:rsidRPr="003D6356">
        <w:rPr>
          <w:szCs w:val="22"/>
        </w:rPr>
        <w:t xml:space="preserve">lodge the instruments for assessment as early as possible within the requisite 60-day lodgement period (see Commissioner’s Guideline </w:t>
      </w:r>
      <w:hyperlink r:id="rId13" w:tooltip="Web link to CG-SD-001" w:history="1">
        <w:r w:rsidRPr="003D6356">
          <w:rPr>
            <w:rStyle w:val="Hyperlink"/>
            <w:szCs w:val="22"/>
          </w:rPr>
          <w:t>CG</w:t>
        </w:r>
        <w:r w:rsidRPr="003D6356">
          <w:rPr>
            <w:rStyle w:val="Hyperlink"/>
            <w:szCs w:val="22"/>
          </w:rPr>
          <w:noBreakHyphen/>
          <w:t>SD</w:t>
        </w:r>
        <w:r w:rsidRPr="003D6356">
          <w:rPr>
            <w:rStyle w:val="Hyperlink"/>
            <w:szCs w:val="22"/>
          </w:rPr>
          <w:noBreakHyphen/>
          <w:t>001:</w:t>
        </w:r>
      </w:hyperlink>
      <w:r w:rsidRPr="003D6356">
        <w:rPr>
          <w:szCs w:val="22"/>
        </w:rPr>
        <w:t xml:space="preserve"> </w:t>
      </w:r>
      <w:r w:rsidRPr="003D6356">
        <w:rPr>
          <w:i/>
          <w:szCs w:val="22"/>
        </w:rPr>
        <w:t>Document lodgement and payment periods</w:t>
      </w:r>
      <w:r w:rsidRPr="003D6356">
        <w:rPr>
          <w:szCs w:val="22"/>
        </w:rPr>
        <w:t xml:space="preserve"> for further information on the lodgement and payment period and practices that will assist taxpayers with complying with that timeframe);</w:t>
      </w:r>
    </w:p>
    <w:p w:rsidR="004135B0" w:rsidRPr="003D6356" w:rsidRDefault="004135B0" w:rsidP="005F1116">
      <w:pPr>
        <w:pStyle w:val="BlockText"/>
        <w:numPr>
          <w:ilvl w:val="1"/>
          <w:numId w:val="3"/>
        </w:numPr>
        <w:rPr>
          <w:szCs w:val="22"/>
        </w:rPr>
      </w:pPr>
      <w:r w:rsidRPr="003D6356">
        <w:rPr>
          <w:szCs w:val="22"/>
        </w:rPr>
        <w:t xml:space="preserve">provide all information relevant to the assessment of stamp duty on the instrument up-front when lodging the document for assessment (in accordance with the requirement to make full and true disclosure – see Commissioner’s Guideline </w:t>
      </w:r>
      <w:hyperlink r:id="rId14" w:tooltip="Web link to CG-GEN-005" w:history="1">
        <w:r w:rsidRPr="003D6356">
          <w:rPr>
            <w:rStyle w:val="Hyperlink"/>
            <w:szCs w:val="22"/>
          </w:rPr>
          <w:t>CG-GEN-005:</w:t>
        </w:r>
      </w:hyperlink>
      <w:r w:rsidRPr="003D6356">
        <w:rPr>
          <w:szCs w:val="22"/>
        </w:rPr>
        <w:t xml:space="preserve"> </w:t>
      </w:r>
      <w:r w:rsidRPr="003D6356">
        <w:rPr>
          <w:i/>
          <w:szCs w:val="22"/>
        </w:rPr>
        <w:t>Requirement for full and true disclosure</w:t>
      </w:r>
      <w:r w:rsidRPr="003D6356">
        <w:rPr>
          <w:szCs w:val="22"/>
        </w:rPr>
        <w:t>); and</w:t>
      </w:r>
    </w:p>
    <w:p w:rsidR="004135B0" w:rsidRPr="003D6356" w:rsidRDefault="004135B0" w:rsidP="005F1116">
      <w:pPr>
        <w:pStyle w:val="BlockText"/>
        <w:numPr>
          <w:ilvl w:val="1"/>
          <w:numId w:val="3"/>
        </w:numPr>
        <w:rPr>
          <w:rStyle w:val="BlockTextChar"/>
          <w:szCs w:val="22"/>
        </w:rPr>
      </w:pPr>
      <w:r w:rsidRPr="003D6356">
        <w:rPr>
          <w:szCs w:val="22"/>
        </w:rPr>
        <w:t xml:space="preserve">cooperate fully and promptly with any requests by TRO for further information or documents relevant to the assessment, such as a request for a valuation (see Commissioner’s Guideline </w:t>
      </w:r>
      <w:hyperlink r:id="rId15" w:tooltip="Web link to CG-SD-010" w:history="1">
        <w:r w:rsidRPr="003D6356">
          <w:rPr>
            <w:rStyle w:val="Hyperlink"/>
            <w:szCs w:val="22"/>
          </w:rPr>
          <w:t>CG-SD-010:</w:t>
        </w:r>
      </w:hyperlink>
      <w:r w:rsidRPr="003D6356">
        <w:rPr>
          <w:rStyle w:val="BlockTextChar"/>
          <w:szCs w:val="22"/>
        </w:rPr>
        <w:t xml:space="preserve"> </w:t>
      </w:r>
      <w:r w:rsidRPr="003D6356">
        <w:rPr>
          <w:i/>
          <w:szCs w:val="22"/>
        </w:rPr>
        <w:t>Tax assessments requiring evidence of value</w:t>
      </w:r>
      <w:r w:rsidRPr="003D6356">
        <w:rPr>
          <w:rStyle w:val="BlockTextChar"/>
          <w:szCs w:val="22"/>
        </w:rPr>
        <w:t>).</w:t>
      </w:r>
    </w:p>
    <w:p w:rsidR="004135B0" w:rsidRPr="004207CF" w:rsidRDefault="004135B0" w:rsidP="004135B0">
      <w:pPr>
        <w:pStyle w:val="BlockText"/>
      </w:pPr>
      <w:r w:rsidRPr="004207CF">
        <w:t xml:space="preserve">In determining whether or not a taxpayer has taken reasonable care to comply with the taxation laws, TRO will consider the taxpayer's knowledge of </w:t>
      </w:r>
      <w:r>
        <w:t xml:space="preserve">the relevant </w:t>
      </w:r>
      <w:r w:rsidRPr="004207CF">
        <w:t>legislation, commercial experience, access to expert advice and familiarity with the English language.</w:t>
      </w:r>
    </w:p>
    <w:p w:rsidR="004135B0" w:rsidRDefault="004135B0" w:rsidP="004135B0">
      <w:pPr>
        <w:pStyle w:val="BlockText"/>
      </w:pPr>
      <w:r w:rsidRPr="004207CF">
        <w:t>TRO will also consider a range of factors including whether or not, in relation to the particular taxation law under which the tax default has occurred, the taxpayer has</w:t>
      </w:r>
      <w:r>
        <w:t>, where appropriate</w:t>
      </w:r>
      <w:r w:rsidRPr="004207CF">
        <w:t>:</w:t>
      </w:r>
    </w:p>
    <w:p w:rsidR="004135B0" w:rsidRPr="004207CF" w:rsidRDefault="004135B0" w:rsidP="003D6356">
      <w:pPr>
        <w:pStyle w:val="BlockText"/>
        <w:numPr>
          <w:ilvl w:val="1"/>
          <w:numId w:val="3"/>
        </w:numPr>
      </w:pPr>
      <w:r w:rsidRPr="004207CF">
        <w:t>maintained appropriate and proper recording systems – that is, systems that minimise the risk of tax default, allow reconciliation of the tax paid or payable with returns required to be lodged and fulfil the taxpayer’s obligation under the taxation laws to maintain records for the purposes of TRO investigations or audits;</w:t>
      </w:r>
    </w:p>
    <w:p w:rsidR="004135B0" w:rsidRPr="004207CF" w:rsidRDefault="004135B0" w:rsidP="003D6356">
      <w:pPr>
        <w:pStyle w:val="BlockText"/>
        <w:numPr>
          <w:ilvl w:val="1"/>
          <w:numId w:val="3"/>
        </w:numPr>
      </w:pPr>
      <w:r w:rsidRPr="004207CF">
        <w:t>taken reasonable steps to be aware of and comply with their taxation obligations and to be familiar with the relevant legislative requirements;</w:t>
      </w:r>
    </w:p>
    <w:p w:rsidR="004135B0" w:rsidRPr="004207CF" w:rsidRDefault="004135B0" w:rsidP="003D6356">
      <w:pPr>
        <w:pStyle w:val="BlockText"/>
        <w:numPr>
          <w:ilvl w:val="1"/>
          <w:numId w:val="3"/>
        </w:numPr>
      </w:pPr>
      <w:r w:rsidRPr="004207CF">
        <w:t>applied in good faith any relevant Guidelines or other publications issued by the Commissioner;</w:t>
      </w:r>
    </w:p>
    <w:p w:rsidR="004135B0" w:rsidRPr="004207CF" w:rsidRDefault="004135B0" w:rsidP="003D6356">
      <w:pPr>
        <w:pStyle w:val="BlockText"/>
        <w:numPr>
          <w:ilvl w:val="1"/>
          <w:numId w:val="3"/>
        </w:numPr>
      </w:pPr>
      <w:r w:rsidRPr="004207CF">
        <w:lastRenderedPageBreak/>
        <w:t>sought professional advice in relation to the taxation laws for uncertain or complex matters where no Guideline applies or the taxpayer’s circumstances differ from those described in a Guideline;</w:t>
      </w:r>
    </w:p>
    <w:p w:rsidR="004135B0" w:rsidRPr="004207CF" w:rsidRDefault="004135B0" w:rsidP="003D6356">
      <w:pPr>
        <w:pStyle w:val="BlockText"/>
        <w:numPr>
          <w:ilvl w:val="1"/>
          <w:numId w:val="3"/>
        </w:numPr>
      </w:pPr>
      <w:r w:rsidRPr="004207CF">
        <w:t>acted in good faith in applying any independent tax advice received;</w:t>
      </w:r>
    </w:p>
    <w:p w:rsidR="004135B0" w:rsidRPr="004207CF" w:rsidRDefault="004135B0" w:rsidP="003D6356">
      <w:pPr>
        <w:pStyle w:val="BlockText"/>
        <w:numPr>
          <w:ilvl w:val="1"/>
          <w:numId w:val="3"/>
        </w:numPr>
      </w:pPr>
      <w:r w:rsidRPr="004207CF">
        <w:t>observed any corporate reconstructi</w:t>
      </w:r>
      <w:r>
        <w:t>on ruling received and notified</w:t>
      </w:r>
      <w:r w:rsidRPr="004207CF">
        <w:t xml:space="preserve"> TRO if there have been any changes in the information on which the ruling was formed;</w:t>
      </w:r>
    </w:p>
    <w:p w:rsidR="004135B0" w:rsidRPr="004207CF" w:rsidRDefault="004135B0" w:rsidP="003D6356">
      <w:pPr>
        <w:pStyle w:val="BlockText"/>
        <w:numPr>
          <w:ilvl w:val="1"/>
          <w:numId w:val="3"/>
        </w:numPr>
      </w:pPr>
      <w:r w:rsidRPr="004207CF">
        <w:t>acted promptly to seek advice or provide information once made aware, from any source, that the taxpayer might have a tax liability; or</w:t>
      </w:r>
    </w:p>
    <w:p w:rsidR="004135B0" w:rsidRDefault="004135B0" w:rsidP="003D6356">
      <w:pPr>
        <w:pStyle w:val="BlockText"/>
        <w:numPr>
          <w:ilvl w:val="1"/>
          <w:numId w:val="3"/>
        </w:numPr>
      </w:pPr>
      <w:r w:rsidRPr="004207CF">
        <w:t>actively cooperated with TRO, such as responding to inquiries by TRO</w:t>
      </w:r>
      <w:r>
        <w:t>,</w:t>
      </w:r>
      <w:r w:rsidRPr="004207CF">
        <w:t xml:space="preserve"> providing all information requested in a timely manner and registering </w:t>
      </w:r>
      <w:r>
        <w:t xml:space="preserve">to pay payroll tax </w:t>
      </w:r>
      <w:r w:rsidRPr="004207CF">
        <w:t>as soon as a tax liability has been discovered.</w:t>
      </w:r>
    </w:p>
    <w:p w:rsidR="004135B0" w:rsidRPr="004207CF" w:rsidRDefault="004135B0" w:rsidP="004135B0">
      <w:pPr>
        <w:pStyle w:val="BlockText"/>
      </w:pPr>
      <w:r>
        <w:t>S</w:t>
      </w:r>
      <w:r w:rsidRPr="004207CF">
        <w:t>imple mistakes such as transpositi</w:t>
      </w:r>
      <w:r>
        <w:t>on errors or calculation errors</w:t>
      </w:r>
      <w:r w:rsidRPr="004207CF">
        <w:t xml:space="preserve"> </w:t>
      </w:r>
      <w:r>
        <w:t>that</w:t>
      </w:r>
      <w:r w:rsidRPr="004207CF">
        <w:t xml:space="preserve"> result in a tax default</w:t>
      </w:r>
      <w:r>
        <w:t xml:space="preserve"> can arise where a </w:t>
      </w:r>
      <w:r w:rsidRPr="004207CF">
        <w:t>person is taking reasonable care t</w:t>
      </w:r>
      <w:r>
        <w:t xml:space="preserve">o comply with the taxation laws. In this circumstance, </w:t>
      </w:r>
      <w:r w:rsidRPr="004207CF">
        <w:t>the</w:t>
      </w:r>
      <w:r>
        <w:t>se</w:t>
      </w:r>
      <w:r w:rsidRPr="004207CF">
        <w:t xml:space="preserve"> mistake</w:t>
      </w:r>
      <w:r>
        <w:t>s</w:t>
      </w:r>
      <w:r w:rsidRPr="004207CF">
        <w:t xml:space="preserve"> alone </w:t>
      </w:r>
      <w:r>
        <w:t>will not be taken as indicating t</w:t>
      </w:r>
      <w:r w:rsidRPr="004207CF">
        <w:t xml:space="preserve">hat the taxpayer has not taken reasonable care, provided that the mistake does not arise from other factors that </w:t>
      </w:r>
      <w:r>
        <w:t>show</w:t>
      </w:r>
      <w:r w:rsidRPr="004207CF">
        <w:t xml:space="preserve"> that the taxpayer has not taken reasonable care.</w:t>
      </w:r>
    </w:p>
    <w:p w:rsidR="004135B0" w:rsidRPr="00E041E0" w:rsidRDefault="004135B0" w:rsidP="004135B0">
      <w:pPr>
        <w:pStyle w:val="BlockText"/>
        <w:rPr>
          <w:szCs w:val="22"/>
        </w:rPr>
      </w:pPr>
      <w:r>
        <w:t>F</w:t>
      </w:r>
      <w:r w:rsidRPr="004207CF">
        <w:t xml:space="preserve">or example, making a calculation error on a payroll tax annual reconciliation does not of itself mean that the taxpayer was not taking reasonable care. However, other factors may mean that the error actually arises from circumstances of the taxpayer not taking reasonable care, </w:t>
      </w:r>
      <w:r w:rsidRPr="00E041E0">
        <w:rPr>
          <w:szCs w:val="22"/>
        </w:rPr>
        <w:t>such as:</w:t>
      </w:r>
    </w:p>
    <w:p w:rsidR="004135B0" w:rsidRPr="00E041E0" w:rsidRDefault="004135B0" w:rsidP="009D7CE3">
      <w:pPr>
        <w:pStyle w:val="BlockText"/>
        <w:numPr>
          <w:ilvl w:val="1"/>
          <w:numId w:val="3"/>
        </w:numPr>
      </w:pPr>
      <w:r w:rsidRPr="00E041E0">
        <w:t>the taxpayer not maintaining appropriate and proper recording systems (for example, the taxpayer’s wages information does not properly indicate whether total wage figures are inclusive of superannuation or fringe benefits so an error is made in the annual reconciliation); or</w:t>
      </w:r>
    </w:p>
    <w:p w:rsidR="004135B0" w:rsidRPr="009D7CE3" w:rsidRDefault="004135B0" w:rsidP="009D7CE3">
      <w:pPr>
        <w:pStyle w:val="BlockText"/>
        <w:numPr>
          <w:ilvl w:val="1"/>
          <w:numId w:val="3"/>
        </w:numPr>
      </w:pPr>
      <w:r w:rsidRPr="009D7CE3">
        <w:t xml:space="preserve">a failure of the taxpayer to be aware of the proper application of the PTA (for example, by not getting an accountant’s advice or closely reading and applying the </w:t>
      </w:r>
      <w:r w:rsidRPr="003D6356">
        <w:rPr>
          <w:i/>
        </w:rPr>
        <w:t>Employers’ Guide to Payroll Tax in the Northern Territory</w:t>
      </w:r>
      <w:r w:rsidRPr="009D7CE3">
        <w:t xml:space="preserve"> (</w:t>
      </w:r>
      <w:hyperlink r:id="rId16" w:tooltip="Web link to I-PRT-001" w:history="1">
        <w:r w:rsidRPr="003D6356">
          <w:rPr>
            <w:rStyle w:val="Hyperlink"/>
            <w:szCs w:val="22"/>
          </w:rPr>
          <w:t>I-PRT-001</w:t>
        </w:r>
      </w:hyperlink>
      <w:r w:rsidRPr="009D7CE3">
        <w:t>) and so failing to ‘gross-up’ fringe benefits).</w:t>
      </w:r>
    </w:p>
    <w:p w:rsidR="004135B0" w:rsidRDefault="004135B0" w:rsidP="004135B0">
      <w:pPr>
        <w:pStyle w:val="BlockText"/>
      </w:pPr>
      <w:r w:rsidRPr="004207CF">
        <w:t xml:space="preserve">Furthermore, a taxpayer will not be regarded to have taken reasonable care where: </w:t>
      </w:r>
    </w:p>
    <w:p w:rsidR="004135B0" w:rsidRPr="004207CF" w:rsidRDefault="004135B0" w:rsidP="003D6356">
      <w:pPr>
        <w:pStyle w:val="BlockText"/>
        <w:numPr>
          <w:ilvl w:val="1"/>
          <w:numId w:val="3"/>
        </w:numPr>
      </w:pPr>
      <w:r w:rsidRPr="004207CF">
        <w:t>a reasonable person, having regard to the particular circumstances of the taxpayer, would have or ought to have been able to foresee the likelihood of a tax default; or</w:t>
      </w:r>
    </w:p>
    <w:p w:rsidR="004135B0" w:rsidRPr="004207CF" w:rsidRDefault="004135B0" w:rsidP="003D6356">
      <w:pPr>
        <w:pStyle w:val="BlockText"/>
        <w:numPr>
          <w:ilvl w:val="1"/>
          <w:numId w:val="3"/>
        </w:numPr>
      </w:pPr>
      <w:r w:rsidRPr="004207CF">
        <w:t>the taxpayer was indifferent to the possibility of the tax default occurring or recognised the risk of the tax default occurring and accepted the consequences of that risk.</w:t>
      </w:r>
    </w:p>
    <w:p w:rsidR="004135B0" w:rsidRPr="003045E2" w:rsidRDefault="004135B0" w:rsidP="003D6356">
      <w:pPr>
        <w:pStyle w:val="HeadingFour"/>
      </w:pPr>
      <w:r w:rsidRPr="003045E2">
        <w:t xml:space="preserve">Intentional disregard </w:t>
      </w:r>
      <w:r>
        <w:t>of</w:t>
      </w:r>
      <w:r w:rsidRPr="003045E2">
        <w:t xml:space="preserve"> a taxation law</w:t>
      </w:r>
    </w:p>
    <w:p w:rsidR="006D79D0" w:rsidRDefault="004135B0" w:rsidP="004135B0">
      <w:pPr>
        <w:pStyle w:val="BlockText"/>
      </w:pPr>
      <w:r w:rsidRPr="004207CF">
        <w:t xml:space="preserve">Intentional disregard </w:t>
      </w:r>
      <w:r>
        <w:t>of</w:t>
      </w:r>
      <w:r w:rsidRPr="004207CF">
        <w:t xml:space="preserve"> a taxation law </w:t>
      </w:r>
      <w:r w:rsidR="0072031F">
        <w:t>arises in situations where a taxpayer, or a</w:t>
      </w:r>
      <w:r w:rsidR="00C47415">
        <w:t xml:space="preserve"> person</w:t>
      </w:r>
      <w:r w:rsidR="0072031F">
        <w:t xml:space="preserve"> acting on their behalf, </w:t>
      </w:r>
      <w:r w:rsidR="00C52A02">
        <w:t xml:space="preserve">knows </w:t>
      </w:r>
      <w:r w:rsidR="0072031F">
        <w:t>the requirements of a taxation law but ch</w:t>
      </w:r>
      <w:r w:rsidR="00C52A02">
        <w:t>ooses</w:t>
      </w:r>
      <w:r w:rsidR="0072031F">
        <w:t xml:space="preserve"> to</w:t>
      </w:r>
      <w:r w:rsidR="0091081B">
        <w:t xml:space="preserve"> act in a manner that</w:t>
      </w:r>
      <w:r w:rsidR="0072031F">
        <w:t xml:space="preserve"> </w:t>
      </w:r>
      <w:r w:rsidR="0091081B">
        <w:t>flouts</w:t>
      </w:r>
      <w:r w:rsidR="0072031F">
        <w:t xml:space="preserve"> those requirements.</w:t>
      </w:r>
      <w:r w:rsidR="00C52A02">
        <w:t xml:space="preserve"> The rate of penalty tax associated with intentional disregard reflects the heightened culpability of a taxpayer </w:t>
      </w:r>
      <w:r w:rsidR="00C47415">
        <w:t>who</w:t>
      </w:r>
      <w:r w:rsidR="00C52A02">
        <w:t xml:space="preserve"> </w:t>
      </w:r>
      <w:r w:rsidR="004A18ED">
        <w:t xml:space="preserve">understands how a taxation law operates in respect of its affairs yet </w:t>
      </w:r>
      <w:r w:rsidR="00C52A02">
        <w:t>knowingly and will</w:t>
      </w:r>
      <w:r w:rsidR="004A18ED">
        <w:t>ingly</w:t>
      </w:r>
      <w:r w:rsidR="00C52A02">
        <w:t xml:space="preserve"> disregards the requirements of </w:t>
      </w:r>
      <w:r w:rsidR="004A18ED">
        <w:t xml:space="preserve">the </w:t>
      </w:r>
      <w:r w:rsidR="00FA226B">
        <w:t xml:space="preserve">taxation law. </w:t>
      </w:r>
    </w:p>
    <w:p w:rsidR="000841DD" w:rsidRDefault="0072031F" w:rsidP="004135B0">
      <w:pPr>
        <w:pStyle w:val="BlockText"/>
      </w:pPr>
      <w:r>
        <w:t>The</w:t>
      </w:r>
      <w:r w:rsidR="00C52A02">
        <w:t xml:space="preserve"> </w:t>
      </w:r>
      <w:r>
        <w:t>intent of the taxpayer</w:t>
      </w:r>
      <w:r w:rsidR="00C52A02">
        <w:t xml:space="preserve">, or their agent, to disregard the law </w:t>
      </w:r>
      <w:r>
        <w:t>may be determined through direct evidence</w:t>
      </w:r>
      <w:r w:rsidR="00C47415">
        <w:t xml:space="preserve"> (e.g. statements that the taxpayer would know to be false)</w:t>
      </w:r>
      <w:r w:rsidR="000841DD">
        <w:t>.  Intent</w:t>
      </w:r>
      <w:r>
        <w:t xml:space="preserve"> may </w:t>
      </w:r>
      <w:r w:rsidR="000841DD">
        <w:t xml:space="preserve">also </w:t>
      </w:r>
      <w:r>
        <w:t xml:space="preserve">be inferred from the surrounding circumstances, including the conduct of the taxpayer </w:t>
      </w:r>
      <w:r w:rsidR="000841DD">
        <w:t xml:space="preserve">or </w:t>
      </w:r>
      <w:r>
        <w:t>their agent.</w:t>
      </w:r>
      <w:r w:rsidR="004A18ED">
        <w:t xml:space="preserve"> </w:t>
      </w:r>
    </w:p>
    <w:p w:rsidR="004135B0" w:rsidRDefault="00A04E6A" w:rsidP="004135B0">
      <w:pPr>
        <w:pStyle w:val="BlockText"/>
      </w:pPr>
      <w:r>
        <w:t>The</w:t>
      </w:r>
      <w:r w:rsidR="00D57AD5">
        <w:t xml:space="preserve"> f</w:t>
      </w:r>
      <w:r w:rsidR="004F0D3D">
        <w:t>actors which indicate</w:t>
      </w:r>
      <w:r w:rsidR="004135B0" w:rsidRPr="004207CF">
        <w:t xml:space="preserve"> an intentional disregard </w:t>
      </w:r>
      <w:r w:rsidR="004135B0">
        <w:t>of</w:t>
      </w:r>
      <w:r w:rsidR="004135B0" w:rsidRPr="004207CF">
        <w:t xml:space="preserve"> a taxation law </w:t>
      </w:r>
      <w:r>
        <w:t xml:space="preserve">are necessarily dependent on the circumstances </w:t>
      </w:r>
      <w:r w:rsidR="000841DD">
        <w:t>of each</w:t>
      </w:r>
      <w:r>
        <w:t xml:space="preserve"> </w:t>
      </w:r>
      <w:r w:rsidR="00BA0487">
        <w:t>matter</w:t>
      </w:r>
      <w:r>
        <w:t xml:space="preserve">, but may </w:t>
      </w:r>
      <w:r w:rsidR="004135B0">
        <w:t>include</w:t>
      </w:r>
      <w:r w:rsidR="000841DD">
        <w:t xml:space="preserve"> one or more of the following</w:t>
      </w:r>
      <w:r w:rsidR="004135B0" w:rsidRPr="004207CF">
        <w:t>:</w:t>
      </w:r>
    </w:p>
    <w:p w:rsidR="004135B0" w:rsidRPr="004207CF" w:rsidRDefault="004135B0" w:rsidP="000841DD">
      <w:pPr>
        <w:pStyle w:val="BlockText"/>
        <w:numPr>
          <w:ilvl w:val="1"/>
          <w:numId w:val="3"/>
        </w:numPr>
      </w:pPr>
      <w:r w:rsidRPr="004207CF">
        <w:t>tax evasion</w:t>
      </w:r>
      <w:r w:rsidR="000841DD">
        <w:t>,</w:t>
      </w:r>
      <w:r w:rsidRPr="004207CF">
        <w:t xml:space="preserve"> fraud</w:t>
      </w:r>
      <w:r w:rsidR="000841DD">
        <w:t xml:space="preserve"> or </w:t>
      </w:r>
      <w:r w:rsidR="000841DD" w:rsidRPr="004207CF">
        <w:t xml:space="preserve">the use of contrived or artificial </w:t>
      </w:r>
      <w:r w:rsidR="000841DD">
        <w:t xml:space="preserve">tax </w:t>
      </w:r>
      <w:r w:rsidR="000841DD" w:rsidRPr="004207CF">
        <w:t>avoidance schemes</w:t>
      </w:r>
      <w:r w:rsidRPr="004207CF">
        <w:t>;</w:t>
      </w:r>
    </w:p>
    <w:p w:rsidR="00697AA9" w:rsidRPr="004207CF" w:rsidRDefault="004135B0" w:rsidP="00697AA9">
      <w:pPr>
        <w:pStyle w:val="BlockText"/>
        <w:numPr>
          <w:ilvl w:val="1"/>
          <w:numId w:val="3"/>
        </w:numPr>
      </w:pPr>
      <w:r w:rsidRPr="004207CF">
        <w:t>making false or misleading records or statements</w:t>
      </w:r>
      <w:r w:rsidR="00697AA9">
        <w:t xml:space="preserve">, </w:t>
      </w:r>
      <w:r w:rsidRPr="004207CF">
        <w:t xml:space="preserve">concealing relevant facts </w:t>
      </w:r>
      <w:r>
        <w:t>regarding</w:t>
      </w:r>
      <w:r w:rsidRPr="004207CF">
        <w:t xml:space="preserve"> a tax liability</w:t>
      </w:r>
      <w:r w:rsidR="00697AA9">
        <w:t xml:space="preserve"> or other dishonest behaviour;</w:t>
      </w:r>
    </w:p>
    <w:p w:rsidR="004135B0" w:rsidRDefault="000841DD" w:rsidP="003D6356">
      <w:pPr>
        <w:pStyle w:val="BlockText"/>
        <w:numPr>
          <w:ilvl w:val="1"/>
          <w:numId w:val="3"/>
        </w:numPr>
      </w:pPr>
      <w:r>
        <w:lastRenderedPageBreak/>
        <w:t xml:space="preserve">choosing to </w:t>
      </w:r>
      <w:r w:rsidR="004135B0" w:rsidRPr="004207CF">
        <w:t>ignor</w:t>
      </w:r>
      <w:r>
        <w:t>e</w:t>
      </w:r>
      <w:r w:rsidR="004135B0" w:rsidRPr="004207CF">
        <w:t xml:space="preserve"> a </w:t>
      </w:r>
      <w:r>
        <w:t>g</w:t>
      </w:r>
      <w:r w:rsidR="004135B0" w:rsidRPr="004207CF">
        <w:t>uideline or ruling</w:t>
      </w:r>
      <w:r>
        <w:t xml:space="preserve"> by the Commissioner</w:t>
      </w:r>
      <w:r w:rsidR="004F0D3D">
        <w:t xml:space="preserve"> </w:t>
      </w:r>
      <w:r w:rsidR="004135B0" w:rsidRPr="004207CF">
        <w:t>(such as a corporate reconstruction ruling)</w:t>
      </w:r>
      <w:r>
        <w:t xml:space="preserve"> because it is unfavourable to the taxpayer, </w:t>
      </w:r>
      <w:r w:rsidR="00BA0487">
        <w:t>particularly on matters where the law is clearly established</w:t>
      </w:r>
      <w:r w:rsidR="004135B0" w:rsidRPr="004207CF">
        <w:t>;</w:t>
      </w:r>
    </w:p>
    <w:p w:rsidR="00A04E6A" w:rsidRPr="004207CF" w:rsidRDefault="00A04E6A" w:rsidP="003D6356">
      <w:pPr>
        <w:pStyle w:val="BlockText"/>
        <w:numPr>
          <w:ilvl w:val="1"/>
          <w:numId w:val="3"/>
        </w:numPr>
      </w:pPr>
      <w:r>
        <w:t>ignoring advice</w:t>
      </w:r>
      <w:r w:rsidR="00BA0487">
        <w:t xml:space="preserve"> from TRO or </w:t>
      </w:r>
      <w:r w:rsidR="004A18ED">
        <w:t xml:space="preserve">professional advice from </w:t>
      </w:r>
      <w:r w:rsidR="00BA0487">
        <w:t>another person</w:t>
      </w:r>
      <w:r>
        <w:t xml:space="preserve"> despite knowing that the advice was </w:t>
      </w:r>
      <w:r w:rsidR="004A18ED">
        <w:t>sound</w:t>
      </w:r>
      <w:r>
        <w:t>;</w:t>
      </w:r>
    </w:p>
    <w:p w:rsidR="004135B0" w:rsidRPr="004207CF" w:rsidRDefault="00956DD4" w:rsidP="003D6356">
      <w:pPr>
        <w:pStyle w:val="BlockText"/>
        <w:numPr>
          <w:ilvl w:val="1"/>
          <w:numId w:val="3"/>
        </w:numPr>
      </w:pPr>
      <w:r>
        <w:t>refusing</w:t>
      </w:r>
      <w:r w:rsidR="00A04E6A">
        <w:t xml:space="preserve"> to meet </w:t>
      </w:r>
      <w:r>
        <w:t>a tax liability</w:t>
      </w:r>
      <w:r w:rsidR="00A04E6A">
        <w:t xml:space="preserve"> despite having </w:t>
      </w:r>
      <w:r w:rsidR="007215AE">
        <w:t xml:space="preserve">the </w:t>
      </w:r>
      <w:r w:rsidR="00A04E6A">
        <w:t>ability to do so.</w:t>
      </w:r>
    </w:p>
    <w:p w:rsidR="004135B0" w:rsidRDefault="004135B0" w:rsidP="003D6356">
      <w:pPr>
        <w:pStyle w:val="HeadingFour"/>
      </w:pPr>
      <w:r>
        <w:t>D</w:t>
      </w:r>
      <w:r w:rsidRPr="003045E2">
        <w:t>eliberately conceal</w:t>
      </w:r>
      <w:r>
        <w:t>ing</w:t>
      </w:r>
      <w:r w:rsidRPr="003045E2">
        <w:t xml:space="preserve"> or suppress</w:t>
      </w:r>
      <w:r>
        <w:t>ing relevant</w:t>
      </w:r>
      <w:r w:rsidRPr="003045E2">
        <w:t xml:space="preserve"> information</w:t>
      </w:r>
      <w:r>
        <w:t xml:space="preserve"> or </w:t>
      </w:r>
      <w:r w:rsidRPr="003045E2">
        <w:t>hinder</w:t>
      </w:r>
      <w:r>
        <w:t xml:space="preserve">ing </w:t>
      </w:r>
      <w:r w:rsidRPr="003045E2">
        <w:t xml:space="preserve">the assessment </w:t>
      </w:r>
      <w:r>
        <w:t>of tax</w:t>
      </w:r>
    </w:p>
    <w:p w:rsidR="004135B0" w:rsidRPr="003D6356" w:rsidRDefault="004135B0" w:rsidP="003D6356">
      <w:pPr>
        <w:pStyle w:val="BlockText"/>
        <w:rPr>
          <w:szCs w:val="22"/>
        </w:rPr>
      </w:pPr>
      <w:r w:rsidRPr="003D6356">
        <w:rPr>
          <w:szCs w:val="22"/>
        </w:rPr>
        <w:t>This includes circumstances where the person conceals or suppresses information from TRO that the person knows is relevant to the assessment of the tax liability. Such concealment will also generally constitute an offence under the TAA for a failure to make a full and true disclosure on a relevant occasion.</w:t>
      </w:r>
      <w:r w:rsidRPr="003D6356">
        <w:rPr>
          <w:rStyle w:val="FootnoteReference"/>
          <w:szCs w:val="22"/>
        </w:rPr>
        <w:footnoteReference w:id="18"/>
      </w:r>
      <w:r w:rsidRPr="003D6356">
        <w:rPr>
          <w:szCs w:val="22"/>
        </w:rPr>
        <w:t xml:space="preserve"> For further information on this obligation, refer to Commissioner’s Guideline </w:t>
      </w:r>
      <w:hyperlink r:id="rId17" w:tooltip="Web link to CG-GEN-005" w:history="1">
        <w:r w:rsidRPr="003D6356">
          <w:rPr>
            <w:rStyle w:val="Hyperlink"/>
            <w:szCs w:val="22"/>
          </w:rPr>
          <w:t>CG-GEN-005:</w:t>
        </w:r>
      </w:hyperlink>
      <w:r w:rsidRPr="003D6356">
        <w:rPr>
          <w:szCs w:val="22"/>
        </w:rPr>
        <w:t xml:space="preserve"> </w:t>
      </w:r>
      <w:r w:rsidRPr="003D6356">
        <w:rPr>
          <w:i/>
          <w:szCs w:val="22"/>
        </w:rPr>
        <w:t>Requirement for full and true disclosure</w:t>
      </w:r>
      <w:r w:rsidRPr="003D6356">
        <w:rPr>
          <w:szCs w:val="22"/>
        </w:rPr>
        <w:t>.</w:t>
      </w:r>
    </w:p>
    <w:p w:rsidR="004135B0" w:rsidRDefault="004135B0" w:rsidP="004135B0">
      <w:pPr>
        <w:pStyle w:val="BlockText"/>
      </w:pPr>
      <w:r>
        <w:t>H</w:t>
      </w:r>
      <w:r w:rsidRPr="00ED23A0">
        <w:t>inder</w:t>
      </w:r>
      <w:r>
        <w:t xml:space="preserve">ing </w:t>
      </w:r>
      <w:r w:rsidRPr="00ED23A0">
        <w:t xml:space="preserve">the assessment of </w:t>
      </w:r>
      <w:r>
        <w:t>a</w:t>
      </w:r>
      <w:r w:rsidRPr="00ED23A0">
        <w:t xml:space="preserve"> tax liability </w:t>
      </w:r>
      <w:r>
        <w:t xml:space="preserve">includes refusing to provide relevant information or material when requested or deliberately and unreasonably delaying the provision of such information or other material. </w:t>
      </w:r>
    </w:p>
    <w:p w:rsidR="004135B0" w:rsidRDefault="004135B0" w:rsidP="003D6356">
      <w:pPr>
        <w:pStyle w:val="HeadingFour"/>
      </w:pPr>
      <w:r>
        <w:t>D</w:t>
      </w:r>
      <w:r w:rsidRPr="003045E2">
        <w:t>eliberately hinder</w:t>
      </w:r>
      <w:r>
        <w:t>ing investigation of a tax default</w:t>
      </w:r>
    </w:p>
    <w:p w:rsidR="004135B0" w:rsidRDefault="004135B0" w:rsidP="004135B0">
      <w:pPr>
        <w:pStyle w:val="BlockText"/>
      </w:pPr>
      <w:r>
        <w:t>The TAA provides that a</w:t>
      </w:r>
      <w:r w:rsidRPr="004207CF">
        <w:t xml:space="preserve"> person hinders the investigation of a tax default </w:t>
      </w:r>
      <w:r>
        <w:t>in the following circumstances.</w:t>
      </w:r>
      <w:r>
        <w:rPr>
          <w:rStyle w:val="FootnoteReference"/>
          <w:sz w:val="24"/>
          <w:szCs w:val="24"/>
        </w:rPr>
        <w:footnoteReference w:id="19"/>
      </w:r>
    </w:p>
    <w:p w:rsidR="004135B0" w:rsidRPr="004207CF" w:rsidRDefault="004135B0" w:rsidP="003D6356">
      <w:pPr>
        <w:pStyle w:val="BlockText"/>
        <w:numPr>
          <w:ilvl w:val="1"/>
          <w:numId w:val="3"/>
        </w:numPr>
      </w:pPr>
      <w:r>
        <w:t>The person d</w:t>
      </w:r>
      <w:r w:rsidRPr="004207CF">
        <w:t>eliberately falsifies, damages, conceals or destroys tax</w:t>
      </w:r>
      <w:r>
        <w:t xml:space="preserve"> records</w:t>
      </w:r>
      <w:r w:rsidRPr="004207CF">
        <w:t xml:space="preserve"> to which the investigation relate</w:t>
      </w:r>
      <w:r>
        <w:t>s. These actions may also constitute offences under the TAA.</w:t>
      </w:r>
      <w:r>
        <w:rPr>
          <w:rStyle w:val="FootnoteReference"/>
          <w:sz w:val="24"/>
          <w:szCs w:val="24"/>
        </w:rPr>
        <w:footnoteReference w:id="20"/>
      </w:r>
    </w:p>
    <w:p w:rsidR="004135B0" w:rsidRDefault="004135B0" w:rsidP="003D6356">
      <w:pPr>
        <w:pStyle w:val="BlockText"/>
        <w:numPr>
          <w:ilvl w:val="1"/>
          <w:numId w:val="3"/>
        </w:numPr>
      </w:pPr>
      <w:r>
        <w:t>The person r</w:t>
      </w:r>
      <w:r w:rsidRPr="004207CF">
        <w:t>efuses or fails (without reasonable excuse) to comply with a requirement lawfully made in connection with an investigation</w:t>
      </w:r>
      <w:r>
        <w:t>.</w:t>
      </w:r>
      <w:r w:rsidRPr="004207CF">
        <w:t xml:space="preserve"> </w:t>
      </w:r>
      <w:r>
        <w:t>Examples include:</w:t>
      </w:r>
    </w:p>
    <w:p w:rsidR="004135B0" w:rsidRDefault="004135B0" w:rsidP="003D6356">
      <w:pPr>
        <w:pStyle w:val="BlockText"/>
        <w:numPr>
          <w:ilvl w:val="2"/>
          <w:numId w:val="3"/>
        </w:numPr>
      </w:pPr>
      <w:r>
        <w:t>refusing to comply with a request</w:t>
      </w:r>
      <w:r w:rsidRPr="0003303D">
        <w:t xml:space="preserve"> to answer specified questions or provide information in the person's possession or control</w:t>
      </w:r>
      <w:r>
        <w:t>; or</w:t>
      </w:r>
    </w:p>
    <w:p w:rsidR="004135B0" w:rsidRPr="004207CF" w:rsidRDefault="004135B0" w:rsidP="003D6356">
      <w:pPr>
        <w:pStyle w:val="BlockText"/>
        <w:numPr>
          <w:ilvl w:val="2"/>
          <w:numId w:val="3"/>
        </w:numPr>
      </w:pPr>
      <w:r>
        <w:t xml:space="preserve">refusing to comply with a </w:t>
      </w:r>
      <w:r w:rsidRPr="0003303D">
        <w:t>require</w:t>
      </w:r>
      <w:r>
        <w:t>ment</w:t>
      </w:r>
      <w:r w:rsidRPr="0003303D">
        <w:t xml:space="preserve"> </w:t>
      </w:r>
      <w:r>
        <w:t xml:space="preserve">that </w:t>
      </w:r>
      <w:r w:rsidRPr="0003303D">
        <w:t xml:space="preserve">a person attend for </w:t>
      </w:r>
      <w:r>
        <w:t xml:space="preserve">interview </w:t>
      </w:r>
      <w:r w:rsidRPr="0003303D">
        <w:t>before an authorised</w:t>
      </w:r>
      <w:r>
        <w:t xml:space="preserve"> </w:t>
      </w:r>
      <w:r w:rsidRPr="0003303D">
        <w:t>officer.</w:t>
      </w:r>
    </w:p>
    <w:p w:rsidR="007A552C" w:rsidRDefault="004135B0" w:rsidP="003D6356">
      <w:pPr>
        <w:pStyle w:val="BlockText"/>
        <w:numPr>
          <w:ilvl w:val="1"/>
          <w:numId w:val="3"/>
        </w:numPr>
      </w:pPr>
      <w:r>
        <w:t>The person hinders</w:t>
      </w:r>
      <w:r w:rsidRPr="004207CF">
        <w:t xml:space="preserve"> or obstructs an authorised officer exercising functions in the course of, or in connection with </w:t>
      </w:r>
      <w:r>
        <w:t>the</w:t>
      </w:r>
      <w:r w:rsidRPr="004207CF">
        <w:t xml:space="preserve"> investigation</w:t>
      </w:r>
      <w:r>
        <w:t xml:space="preserve">. </w:t>
      </w:r>
    </w:p>
    <w:p w:rsidR="004135B0" w:rsidRDefault="004135B0" w:rsidP="007A552C">
      <w:pPr>
        <w:pStyle w:val="BlockText"/>
        <w:numPr>
          <w:ilvl w:val="0"/>
          <w:numId w:val="0"/>
        </w:numPr>
        <w:ind w:left="414" w:firstLine="720"/>
      </w:pPr>
      <w:r>
        <w:t>Examples include:</w:t>
      </w:r>
    </w:p>
    <w:p w:rsidR="004135B0" w:rsidRDefault="004135B0" w:rsidP="003D6356">
      <w:pPr>
        <w:pStyle w:val="BlockText"/>
        <w:numPr>
          <w:ilvl w:val="2"/>
          <w:numId w:val="3"/>
        </w:numPr>
      </w:pPr>
      <w:r>
        <w:t>hindering the authorised officer from exercising the power to enter or remain on premises where lawfully permitted to do so by either obstructing such entry or attempting to force the officer to leave;</w:t>
      </w:r>
    </w:p>
    <w:p w:rsidR="004135B0" w:rsidRPr="0003303D" w:rsidRDefault="004135B0" w:rsidP="003D6356">
      <w:pPr>
        <w:pStyle w:val="BlockText"/>
        <w:numPr>
          <w:ilvl w:val="2"/>
          <w:numId w:val="3"/>
        </w:numPr>
      </w:pPr>
      <w:r>
        <w:t>obstructing the authorised officer from</w:t>
      </w:r>
      <w:r w:rsidRPr="0003303D">
        <w:t xml:space="preserve"> search</w:t>
      </w:r>
      <w:r>
        <w:t>ing</w:t>
      </w:r>
      <w:r w:rsidRPr="0003303D">
        <w:t xml:space="preserve"> the premises </w:t>
      </w:r>
      <w:r>
        <w:t xml:space="preserve">or </w:t>
      </w:r>
      <w:r w:rsidRPr="0003303D">
        <w:t>photographing or film</w:t>
      </w:r>
      <w:r>
        <w:t>ing</w:t>
      </w:r>
      <w:r w:rsidRPr="0003303D">
        <w:t xml:space="preserve"> anything on the premi</w:t>
      </w:r>
      <w:r>
        <w:t>ses; or</w:t>
      </w:r>
    </w:p>
    <w:p w:rsidR="004135B0" w:rsidRDefault="004135B0" w:rsidP="003D6356">
      <w:pPr>
        <w:pStyle w:val="BlockText"/>
        <w:numPr>
          <w:ilvl w:val="2"/>
          <w:numId w:val="3"/>
        </w:numPr>
      </w:pPr>
      <w:r>
        <w:t xml:space="preserve">refusing to comply with a request for the person to </w:t>
      </w:r>
      <w:r w:rsidRPr="0003303D">
        <w:t>operate equipment or facilities on the pr</w:t>
      </w:r>
      <w:r>
        <w:t xml:space="preserve">emises or </w:t>
      </w:r>
      <w:r w:rsidRPr="0003303D">
        <w:t>to give the officer any translation, code, password or other</w:t>
      </w:r>
      <w:r>
        <w:t xml:space="preserve"> </w:t>
      </w:r>
      <w:r w:rsidRPr="0003303D">
        <w:t>information necessary to gain access to or to interpret and</w:t>
      </w:r>
      <w:r>
        <w:t xml:space="preserve"> </w:t>
      </w:r>
      <w:r w:rsidRPr="0003303D">
        <w:t>understand any relevant material located or obtained by the</w:t>
      </w:r>
      <w:r>
        <w:t xml:space="preserve"> </w:t>
      </w:r>
      <w:r w:rsidRPr="0003303D">
        <w:t xml:space="preserve">officer in the course of </w:t>
      </w:r>
      <w:r>
        <w:t>the investigation.</w:t>
      </w:r>
    </w:p>
    <w:p w:rsidR="00313135" w:rsidRDefault="00313135" w:rsidP="00313135">
      <w:pPr>
        <w:pStyle w:val="BlockText"/>
        <w:numPr>
          <w:ilvl w:val="0"/>
          <w:numId w:val="0"/>
        </w:numPr>
        <w:ind w:left="567" w:hanging="567"/>
      </w:pPr>
    </w:p>
    <w:p w:rsidR="00313135" w:rsidRPr="004207CF" w:rsidRDefault="00313135" w:rsidP="00313135">
      <w:pPr>
        <w:pStyle w:val="BlockText"/>
        <w:numPr>
          <w:ilvl w:val="0"/>
          <w:numId w:val="0"/>
        </w:numPr>
        <w:ind w:left="567" w:hanging="567"/>
      </w:pPr>
    </w:p>
    <w:p w:rsidR="004135B0" w:rsidRDefault="004135B0" w:rsidP="003D6356">
      <w:pPr>
        <w:pStyle w:val="BlockText"/>
      </w:pPr>
      <w:r>
        <w:t xml:space="preserve">The person </w:t>
      </w:r>
      <w:r w:rsidRPr="004207CF">
        <w:t>does anything else to hinder or obstruct an investigation.</w:t>
      </w:r>
    </w:p>
    <w:p w:rsidR="004135B0" w:rsidRPr="00C14BAA" w:rsidRDefault="004135B0" w:rsidP="00DF4A65">
      <w:pPr>
        <w:pStyle w:val="HeadingTwo"/>
      </w:pPr>
      <w:r>
        <w:lastRenderedPageBreak/>
        <w:t>D</w:t>
      </w:r>
      <w:r w:rsidRPr="00C14BAA">
        <w:t>iscretion to reduce penalty tax</w:t>
      </w:r>
      <w:r>
        <w:t xml:space="preserve"> where taxpayer makes a full disclosure or</w:t>
      </w:r>
      <w:r w:rsidR="003D6356">
        <w:br/>
      </w:r>
      <w:r>
        <w:t>cooperates with TRO</w:t>
      </w:r>
      <w:r w:rsidRPr="00C14BAA">
        <w:t xml:space="preserve"> </w:t>
      </w:r>
    </w:p>
    <w:p w:rsidR="004135B0" w:rsidRDefault="004135B0" w:rsidP="004135B0">
      <w:pPr>
        <w:pStyle w:val="BlockText"/>
      </w:pPr>
      <w:r>
        <w:t>TRO has the discretion to</w:t>
      </w:r>
      <w:r w:rsidRPr="004207CF">
        <w:t xml:space="preserve"> reduce penalty tax</w:t>
      </w:r>
      <w:r>
        <w:t xml:space="preserve"> by up to</w:t>
      </w:r>
      <w:r w:rsidRPr="004207CF">
        <w:t>:</w:t>
      </w:r>
    </w:p>
    <w:p w:rsidR="004135B0" w:rsidRPr="003D6356" w:rsidRDefault="004135B0" w:rsidP="003D6356">
      <w:pPr>
        <w:pStyle w:val="BlockText"/>
        <w:numPr>
          <w:ilvl w:val="1"/>
          <w:numId w:val="3"/>
        </w:numPr>
        <w:rPr>
          <w:szCs w:val="22"/>
        </w:rPr>
      </w:pPr>
      <w:r w:rsidRPr="003D6356">
        <w:rPr>
          <w:b/>
          <w:szCs w:val="22"/>
        </w:rPr>
        <w:t>20 per cent</w:t>
      </w:r>
      <w:r w:rsidRPr="003D6356">
        <w:rPr>
          <w:szCs w:val="22"/>
        </w:rPr>
        <w:t>, if TRO conducts an investigation of the tax default and the taxpayer cooperates fully with the investigation;</w:t>
      </w:r>
      <w:r w:rsidRPr="003D6356">
        <w:rPr>
          <w:rStyle w:val="FootnoteReference"/>
          <w:szCs w:val="22"/>
        </w:rPr>
        <w:footnoteReference w:id="21"/>
      </w:r>
      <w:r w:rsidRPr="003D6356">
        <w:rPr>
          <w:szCs w:val="22"/>
        </w:rPr>
        <w:t xml:space="preserve"> and  </w:t>
      </w:r>
    </w:p>
    <w:p w:rsidR="004135B0" w:rsidRPr="003D6356" w:rsidRDefault="004135B0" w:rsidP="003D6356">
      <w:pPr>
        <w:pStyle w:val="BlockText"/>
        <w:numPr>
          <w:ilvl w:val="1"/>
          <w:numId w:val="3"/>
        </w:numPr>
        <w:rPr>
          <w:szCs w:val="22"/>
        </w:rPr>
      </w:pPr>
      <w:r w:rsidRPr="003D6356">
        <w:rPr>
          <w:b/>
          <w:szCs w:val="22"/>
        </w:rPr>
        <w:t>80 per cent</w:t>
      </w:r>
      <w:r w:rsidRPr="003D6356">
        <w:rPr>
          <w:szCs w:val="22"/>
        </w:rPr>
        <w:t>, if TRO has not commenced an investigation of the tax default and the taxpayer’s full and immediate disclosure of the extent of the tax default avoids the need for an investigation.</w:t>
      </w:r>
      <w:r w:rsidRPr="003D6356">
        <w:rPr>
          <w:rStyle w:val="FootnoteReference"/>
          <w:szCs w:val="22"/>
        </w:rPr>
        <w:footnoteReference w:id="22"/>
      </w:r>
      <w:r w:rsidRPr="003D6356">
        <w:rPr>
          <w:szCs w:val="22"/>
        </w:rPr>
        <w:t xml:space="preserve"> </w:t>
      </w:r>
    </w:p>
    <w:p w:rsidR="004135B0" w:rsidRDefault="004135B0" w:rsidP="004135B0">
      <w:pPr>
        <w:pStyle w:val="BlockText"/>
      </w:pPr>
      <w:r>
        <w:t>I</w:t>
      </w:r>
      <w:r w:rsidRPr="004207CF">
        <w:t xml:space="preserve">f the taxpayer is liable to penalty tax because of deliberate concealment or suppression of information, there is no </w:t>
      </w:r>
      <w:r>
        <w:t>reduction of penalty tax</w:t>
      </w:r>
      <w:r w:rsidRPr="004207CF">
        <w:t>.</w:t>
      </w:r>
      <w:r>
        <w:rPr>
          <w:rStyle w:val="FootnoteReference"/>
          <w:sz w:val="24"/>
          <w:szCs w:val="24"/>
        </w:rPr>
        <w:footnoteReference w:id="23"/>
      </w:r>
      <w:r w:rsidRPr="004207CF">
        <w:t xml:space="preserve"> </w:t>
      </w:r>
    </w:p>
    <w:p w:rsidR="004135B0" w:rsidRPr="00DD5FC2" w:rsidRDefault="004135B0" w:rsidP="003D6356">
      <w:pPr>
        <w:pStyle w:val="HeadingFour"/>
      </w:pPr>
      <w:r>
        <w:t>Full and immediate disclosure</w:t>
      </w:r>
    </w:p>
    <w:p w:rsidR="004135B0" w:rsidRPr="004207CF" w:rsidRDefault="004135B0" w:rsidP="004135B0">
      <w:pPr>
        <w:pStyle w:val="BlockText"/>
      </w:pPr>
      <w:r w:rsidRPr="004207CF">
        <w:t xml:space="preserve">The purpose of </w:t>
      </w:r>
      <w:r>
        <w:t xml:space="preserve">significantly </w:t>
      </w:r>
      <w:r w:rsidRPr="004207CF">
        <w:t xml:space="preserve">reducing penalty tax where the taxpayer makes a full and immediate disclosure </w:t>
      </w:r>
      <w:r>
        <w:t>is t</w:t>
      </w:r>
      <w:r w:rsidRPr="004207CF">
        <w:t xml:space="preserve">o encourage taxpayers who discover their tax default independently of </w:t>
      </w:r>
      <w:r>
        <w:t xml:space="preserve">investigation </w:t>
      </w:r>
      <w:r w:rsidRPr="004207CF">
        <w:t>by TRO to come forward and disclose their liability</w:t>
      </w:r>
      <w:r>
        <w:t>.</w:t>
      </w:r>
    </w:p>
    <w:p w:rsidR="004135B0" w:rsidRDefault="004135B0" w:rsidP="004135B0">
      <w:pPr>
        <w:pStyle w:val="BlockText"/>
      </w:pPr>
      <w:r>
        <w:t>To qualify for a reduction in penalty tax of up to 80 per cent, the following three elements must be satisfied.</w:t>
      </w:r>
    </w:p>
    <w:p w:rsidR="004135B0" w:rsidRDefault="004135B0" w:rsidP="003D6356">
      <w:pPr>
        <w:pStyle w:val="BlockText"/>
        <w:numPr>
          <w:ilvl w:val="1"/>
          <w:numId w:val="3"/>
        </w:numPr>
      </w:pPr>
      <w:r>
        <w:t>The taxpayer must make a written disclosure of the extent of the tax default.</w:t>
      </w:r>
    </w:p>
    <w:p w:rsidR="009D7CE3" w:rsidRDefault="004135B0" w:rsidP="004135B0">
      <w:pPr>
        <w:pStyle w:val="BlockText"/>
        <w:numPr>
          <w:ilvl w:val="1"/>
          <w:numId w:val="3"/>
        </w:numPr>
      </w:pPr>
      <w:r>
        <w:t>The disclosure must occur before TRO has commenced an investigation of the tax default.</w:t>
      </w:r>
    </w:p>
    <w:p w:rsidR="004135B0" w:rsidRDefault="004135B0" w:rsidP="004135B0">
      <w:pPr>
        <w:pStyle w:val="BlockText"/>
        <w:numPr>
          <w:ilvl w:val="1"/>
          <w:numId w:val="3"/>
        </w:numPr>
      </w:pPr>
      <w:r>
        <w:t>The disclosure must avoid the need for an investigation.</w:t>
      </w:r>
    </w:p>
    <w:p w:rsidR="004135B0" w:rsidRPr="004207CF" w:rsidRDefault="004135B0" w:rsidP="004135B0">
      <w:pPr>
        <w:pStyle w:val="BlockText"/>
      </w:pPr>
      <w:r>
        <w:t xml:space="preserve">A written disclosure must </w:t>
      </w:r>
      <w:r w:rsidRPr="004207CF">
        <w:t>provide TRO with sufficient information to determine the nature and extent of the tax default to issue an assessment</w:t>
      </w:r>
      <w:r>
        <w:t xml:space="preserve">. The </w:t>
      </w:r>
      <w:r w:rsidRPr="004207CF">
        <w:t xml:space="preserve">disclosure </w:t>
      </w:r>
      <w:r>
        <w:t xml:space="preserve">must </w:t>
      </w:r>
      <w:r w:rsidRPr="004207CF">
        <w:t>state the identity of the taxpayer or group of taxpayers, the nature and period of the tax default and an explanation of how the tax default occurred.</w:t>
      </w:r>
    </w:p>
    <w:p w:rsidR="004135B0" w:rsidRPr="003D6356" w:rsidRDefault="004135B0" w:rsidP="003D6356">
      <w:pPr>
        <w:pStyle w:val="BlockText"/>
      </w:pPr>
      <w:r w:rsidRPr="003D6356">
        <w:t>TRO will generally apply the reduction where a full and immediate disclosure occurs</w:t>
      </w:r>
      <w:r>
        <w:t xml:space="preserve"> </w:t>
      </w:r>
      <w:r w:rsidRPr="003D6356">
        <w:t xml:space="preserve">before the taxpayer or a member of the taxpayer’s group is contacted by TRO. This includes: </w:t>
      </w:r>
    </w:p>
    <w:p w:rsidR="004135B0" w:rsidRDefault="004135B0" w:rsidP="003D6356">
      <w:pPr>
        <w:pStyle w:val="BlockText"/>
        <w:numPr>
          <w:ilvl w:val="1"/>
          <w:numId w:val="3"/>
        </w:numPr>
      </w:pPr>
      <w:r>
        <w:t xml:space="preserve">contact by way of </w:t>
      </w:r>
      <w:r w:rsidRPr="009704AC">
        <w:t>a</w:t>
      </w:r>
      <w:r>
        <w:t xml:space="preserve"> direct </w:t>
      </w:r>
      <w:r w:rsidRPr="009704AC">
        <w:t>inquiry</w:t>
      </w:r>
      <w:r>
        <w:t xml:space="preserve"> with, or request for information from, the taxpayer or a third party;</w:t>
      </w:r>
    </w:p>
    <w:p w:rsidR="004135B0" w:rsidRDefault="004135B0" w:rsidP="003D6356">
      <w:pPr>
        <w:pStyle w:val="BlockText"/>
        <w:numPr>
          <w:ilvl w:val="1"/>
          <w:numId w:val="3"/>
        </w:numPr>
      </w:pPr>
      <w:r>
        <w:t xml:space="preserve">investigation </w:t>
      </w:r>
      <w:r w:rsidRPr="009704AC">
        <w:t xml:space="preserve">review or assessment </w:t>
      </w:r>
      <w:r>
        <w:t xml:space="preserve">under a taxation law, </w:t>
      </w:r>
    </w:p>
    <w:p w:rsidR="004135B0" w:rsidRDefault="004135B0" w:rsidP="003D6356">
      <w:pPr>
        <w:pStyle w:val="BlockText"/>
        <w:numPr>
          <w:ilvl w:val="1"/>
          <w:numId w:val="3"/>
        </w:numPr>
      </w:pPr>
      <w:r>
        <w:t xml:space="preserve">but does not include instances where TRO has commenced an investigation by undertaking data matching exercises or other indirect examination of publicly available information of the taxpayer (such as the taxpayer’s website or the public announcements of a listed company). </w:t>
      </w:r>
    </w:p>
    <w:p w:rsidR="004135B0" w:rsidRPr="00DD5FC2" w:rsidRDefault="004135B0" w:rsidP="003D6356">
      <w:pPr>
        <w:pStyle w:val="HeadingFour"/>
      </w:pPr>
      <w:r>
        <w:t>Full cooperation with an investigation</w:t>
      </w:r>
    </w:p>
    <w:p w:rsidR="004135B0" w:rsidRDefault="004135B0" w:rsidP="004135B0">
      <w:pPr>
        <w:pStyle w:val="BlockText"/>
      </w:pPr>
      <w:r>
        <w:t>Full cooperation with an investigation includes:</w:t>
      </w:r>
    </w:p>
    <w:p w:rsidR="004135B0" w:rsidRDefault="004135B0" w:rsidP="003D6356">
      <w:pPr>
        <w:pStyle w:val="BlockText"/>
        <w:numPr>
          <w:ilvl w:val="1"/>
          <w:numId w:val="3"/>
        </w:numPr>
      </w:pPr>
      <w:r>
        <w:t>responding promptly to requests for information or other relevant material and volunteering relevant information where it is not requested;</w:t>
      </w:r>
    </w:p>
    <w:p w:rsidR="004135B0" w:rsidRDefault="004135B0" w:rsidP="003D6356">
      <w:pPr>
        <w:pStyle w:val="BlockText"/>
        <w:numPr>
          <w:ilvl w:val="1"/>
          <w:numId w:val="3"/>
        </w:numPr>
      </w:pPr>
      <w:r>
        <w:t>consenting to authorised officers entering premises for the purposes of an authorised investigation;</w:t>
      </w:r>
    </w:p>
    <w:p w:rsidR="004135B0" w:rsidRDefault="004135B0" w:rsidP="003D6356">
      <w:pPr>
        <w:pStyle w:val="BlockText"/>
        <w:numPr>
          <w:ilvl w:val="1"/>
          <w:numId w:val="3"/>
        </w:numPr>
      </w:pPr>
      <w:r>
        <w:t>making records accessible to authorised officers (including the provision of appropriate facilities for the copying of records); and</w:t>
      </w:r>
    </w:p>
    <w:p w:rsidR="004135B0" w:rsidRDefault="004135B0" w:rsidP="003D6356">
      <w:pPr>
        <w:pStyle w:val="BlockText"/>
        <w:numPr>
          <w:ilvl w:val="1"/>
          <w:numId w:val="3"/>
        </w:numPr>
      </w:pPr>
      <w:r>
        <w:t xml:space="preserve">being </w:t>
      </w:r>
      <w:r w:rsidRPr="003D6356">
        <w:t>available</w:t>
      </w:r>
      <w:r>
        <w:t xml:space="preserve"> for interview or allowing access to employees for interview.</w:t>
      </w:r>
    </w:p>
    <w:p w:rsidR="004135B0" w:rsidRDefault="004135B0" w:rsidP="004135B0">
      <w:pPr>
        <w:pStyle w:val="HeadingTwo"/>
      </w:pPr>
      <w:r>
        <w:lastRenderedPageBreak/>
        <w:t xml:space="preserve">Penalty tax on tax defaults that are ‘mere’ late payment of tax paid on a periodic basis (returns-based taxes) </w:t>
      </w:r>
    </w:p>
    <w:p w:rsidR="004135B0" w:rsidRDefault="004135B0" w:rsidP="004135B0">
      <w:pPr>
        <w:pStyle w:val="BlockText"/>
      </w:pPr>
      <w:r>
        <w:t xml:space="preserve">Where tax is paid on a returns basis, such as payroll tax, </w:t>
      </w:r>
      <w:r w:rsidRPr="00DB347E">
        <w:t>TRO will ge</w:t>
      </w:r>
      <w:r>
        <w:t>nerally exercise the discretion under section</w:t>
      </w:r>
      <w:r w:rsidRPr="00DB347E">
        <w:t xml:space="preserve"> 44</w:t>
      </w:r>
      <w:r>
        <w:t xml:space="preserve"> of the TAA to reduce the amount of penalty tax payable for tax defaults that are ‘mere’ late payments of these periodic payments. </w:t>
      </w:r>
    </w:p>
    <w:p w:rsidR="004135B0" w:rsidRPr="00DB347E" w:rsidRDefault="004135B0" w:rsidP="004135B0">
      <w:pPr>
        <w:pStyle w:val="BlockText"/>
      </w:pPr>
      <w:r>
        <w:t>Where there is no information before TRO that the late payment is a result of an intentional disregard of the taxation law and the taxpayer does not notify TRO that the late payment arose from c</w:t>
      </w:r>
      <w:r w:rsidRPr="00DB347E">
        <w:t>ircumstances bey</w:t>
      </w:r>
      <w:r>
        <w:t>ond the control of the taxpayer, TRO will generally remit the amount of penalty tax payable on a late payment on the following basis.</w:t>
      </w:r>
    </w:p>
    <w:p w:rsidR="004135B0" w:rsidRDefault="004135B0" w:rsidP="005B4FB9">
      <w:pPr>
        <w:pStyle w:val="BlockText"/>
        <w:numPr>
          <w:ilvl w:val="1"/>
          <w:numId w:val="3"/>
        </w:numPr>
      </w:pPr>
      <w:r>
        <w:t>Where the taxpayer has not made any other late payment in the 12 months preceding that late payment – the penalty tax will generally be reduced to nil and only interest will be payable in respect of the tax default.</w:t>
      </w:r>
    </w:p>
    <w:p w:rsidR="004135B0" w:rsidRDefault="004135B0" w:rsidP="005B4FB9">
      <w:pPr>
        <w:pStyle w:val="BlockText"/>
        <w:numPr>
          <w:ilvl w:val="1"/>
          <w:numId w:val="3"/>
        </w:numPr>
      </w:pPr>
      <w:r>
        <w:t>Where the taxpayer has previously made a late payment in the 12 months preceding that late payment – the penalty tax will generally be reduced to 5 per cent of the amount of the tax default and interest will be imposed as normal.</w:t>
      </w:r>
    </w:p>
    <w:p w:rsidR="004135B0" w:rsidRPr="003D6356" w:rsidRDefault="004135B0" w:rsidP="003D6356">
      <w:pPr>
        <w:pStyle w:val="BlockText"/>
      </w:pPr>
      <w:r>
        <w:t xml:space="preserve">Where the taxpayer has made two or more late payments in the 12 months preceding that late payment, there will be no </w:t>
      </w:r>
      <w:r w:rsidR="00680F4C">
        <w:t>general remission</w:t>
      </w:r>
      <w:r>
        <w:t xml:space="preserve"> of the penalty tax payable. </w:t>
      </w:r>
      <w:r w:rsidR="00680F4C">
        <w:t>Instead</w:t>
      </w:r>
      <w:r>
        <w:t xml:space="preserve">, TRO will determine the penalty tax payable in the normal manner.  </w:t>
      </w:r>
    </w:p>
    <w:p w:rsidR="004135B0" w:rsidRDefault="004135B0" w:rsidP="004135B0">
      <w:pPr>
        <w:pStyle w:val="BlockText"/>
      </w:pPr>
      <w:r>
        <w:t xml:space="preserve">In the circumstance of multiple late payments, it is </w:t>
      </w:r>
      <w:r w:rsidR="00AB2E4C">
        <w:t xml:space="preserve">less </w:t>
      </w:r>
      <w:r>
        <w:t>likely that the taxpayer will have taken reasonable care to comply with the taxation law</w:t>
      </w:r>
      <w:r w:rsidR="00AB2E4C">
        <w:t xml:space="preserve">. With a lack of reasonable care, </w:t>
      </w:r>
      <w:r>
        <w:t>penalty tax will generally be at least 25 per cent of the tax default and may be greater if TRO determines that there has been an intentional disregard of the taxation law</w:t>
      </w:r>
      <w:r w:rsidR="00680F4C">
        <w:t xml:space="preserve"> (repeated tax defaults on the same matter or a closely related matter may suggest that a taxpayer is </w:t>
      </w:r>
      <w:r w:rsidR="00680F4C" w:rsidRPr="00680F4C">
        <w:t xml:space="preserve">refusing to </w:t>
      </w:r>
      <w:r w:rsidR="00AB2E4C">
        <w:t xml:space="preserve">promptly </w:t>
      </w:r>
      <w:r w:rsidR="00680F4C">
        <w:t>meet a tax liability notwithstand</w:t>
      </w:r>
      <w:r w:rsidR="00680F4C" w:rsidRPr="00680F4C">
        <w:t>ing the</w:t>
      </w:r>
      <w:r w:rsidR="00680F4C">
        <w:t>ir</w:t>
      </w:r>
      <w:r w:rsidR="00680F4C" w:rsidRPr="00680F4C">
        <w:t xml:space="preserve"> ability to do so</w:t>
      </w:r>
      <w:r w:rsidR="00680F4C">
        <w:t>).</w:t>
      </w:r>
    </w:p>
    <w:p w:rsidR="00F84B08" w:rsidRDefault="00F84B08" w:rsidP="00F84B08">
      <w:pPr>
        <w:pStyle w:val="BlockText"/>
      </w:pPr>
      <w:r>
        <w:t>For penalty tax of 25 per cent not to apply, a</w:t>
      </w:r>
      <w:r w:rsidR="00AB2E4C">
        <w:t xml:space="preserve"> taxpayer would need to demonstrate that </w:t>
      </w:r>
      <w:r w:rsidR="00AB2E4C" w:rsidRPr="00AB2E4C">
        <w:t xml:space="preserve">reasonable care </w:t>
      </w:r>
      <w:r w:rsidR="00AB2E4C">
        <w:t xml:space="preserve">has </w:t>
      </w:r>
      <w:r>
        <w:t xml:space="preserve">generally </w:t>
      </w:r>
      <w:r w:rsidR="00AB2E4C">
        <w:t xml:space="preserve">been taken </w:t>
      </w:r>
      <w:r w:rsidR="00AB2E4C" w:rsidRPr="00AB2E4C">
        <w:t>in attem</w:t>
      </w:r>
      <w:r w:rsidR="00AB2E4C">
        <w:t>pting to make the periodic payments on time, consistent with the ordinary requirements of good commercial governance</w:t>
      </w:r>
      <w:r>
        <w:t xml:space="preserve">. </w:t>
      </w:r>
      <w:r w:rsidR="00AB2E4C">
        <w:t xml:space="preserve">This </w:t>
      </w:r>
      <w:r>
        <w:t>includes:</w:t>
      </w:r>
    </w:p>
    <w:p w:rsidR="00F84B08" w:rsidRDefault="00F84B08" w:rsidP="00F84B08">
      <w:pPr>
        <w:pStyle w:val="BlockText"/>
        <w:numPr>
          <w:ilvl w:val="1"/>
          <w:numId w:val="3"/>
        </w:numPr>
      </w:pPr>
      <w:r>
        <w:t xml:space="preserve">having appropriate </w:t>
      </w:r>
      <w:r w:rsidR="00AB2E4C">
        <w:t>record keeping practices</w:t>
      </w:r>
      <w:r>
        <w:t>;</w:t>
      </w:r>
    </w:p>
    <w:p w:rsidR="00F84B08" w:rsidRDefault="00F84B08" w:rsidP="00F84B08">
      <w:pPr>
        <w:pStyle w:val="BlockText"/>
        <w:numPr>
          <w:ilvl w:val="1"/>
          <w:numId w:val="3"/>
        </w:numPr>
      </w:pPr>
      <w:r>
        <w:t>diligent efforts being made to understand and comply with tax obligations;</w:t>
      </w:r>
    </w:p>
    <w:p w:rsidR="00AB2E4C" w:rsidRDefault="00AB2E4C" w:rsidP="00F84B08">
      <w:pPr>
        <w:pStyle w:val="BlockText"/>
        <w:numPr>
          <w:ilvl w:val="1"/>
          <w:numId w:val="3"/>
        </w:numPr>
      </w:pPr>
      <w:r>
        <w:t>having sound processes in place to ensure the taxpayer is able to comply with its tax obligations. For example robust financial and reporting systems should be in place to help ensure payroll tax obligations are met and the correct tax paid on or b</w:t>
      </w:r>
      <w:r w:rsidR="00F84B08">
        <w:t xml:space="preserve">efore the 21st day of each </w:t>
      </w:r>
      <w:r>
        <w:t>month</w:t>
      </w:r>
      <w:r w:rsidR="00F84B08">
        <w:t>;</w:t>
      </w:r>
    </w:p>
    <w:p w:rsidR="00F84B08" w:rsidRDefault="00F84B08" w:rsidP="00F84B08">
      <w:pPr>
        <w:pStyle w:val="BlockText"/>
        <w:numPr>
          <w:ilvl w:val="1"/>
          <w:numId w:val="3"/>
        </w:numPr>
      </w:pPr>
      <w:r>
        <w:t xml:space="preserve">having </w:t>
      </w:r>
      <w:r w:rsidRPr="00F84B08">
        <w:t xml:space="preserve">monitoring procedures </w:t>
      </w:r>
      <w:r>
        <w:t xml:space="preserve">in relation to </w:t>
      </w:r>
      <w:r w:rsidRPr="00F84B08">
        <w:t>accounts receivable and pay</w:t>
      </w:r>
      <w:r>
        <w:t>able to ensure that</w:t>
      </w:r>
      <w:r w:rsidRPr="00F84B08">
        <w:t xml:space="preserve"> sufficient cashflow/capacity </w:t>
      </w:r>
      <w:r>
        <w:t>is available to meet the periodic tax</w:t>
      </w:r>
      <w:r w:rsidRPr="00F84B08">
        <w:t xml:space="preserve"> payment</w:t>
      </w:r>
      <w:r>
        <w:t>s</w:t>
      </w:r>
      <w:r w:rsidRPr="00F84B08">
        <w:t xml:space="preserve"> </w:t>
      </w:r>
      <w:r>
        <w:t>and to ensure that</w:t>
      </w:r>
      <w:r w:rsidRPr="00F84B08">
        <w:t xml:space="preserve"> late payments are detected </w:t>
      </w:r>
      <w:r>
        <w:t xml:space="preserve">and remedied </w:t>
      </w:r>
      <w:r w:rsidRPr="00F84B08">
        <w:t>promptly</w:t>
      </w:r>
      <w:r>
        <w:t>; and</w:t>
      </w:r>
    </w:p>
    <w:p w:rsidR="00AB2E4C" w:rsidRPr="00AF7129" w:rsidRDefault="007F6A75" w:rsidP="00F84B08">
      <w:pPr>
        <w:pStyle w:val="BlockText"/>
        <w:numPr>
          <w:ilvl w:val="1"/>
          <w:numId w:val="3"/>
        </w:numPr>
      </w:pPr>
      <w:r>
        <w:t xml:space="preserve">providing </w:t>
      </w:r>
      <w:r w:rsidR="00F84B08">
        <w:t xml:space="preserve">information on </w:t>
      </w:r>
      <w:r>
        <w:t>what</w:t>
      </w:r>
      <w:r w:rsidR="00F84B08">
        <w:t xml:space="preserve"> steps </w:t>
      </w:r>
      <w:r>
        <w:t xml:space="preserve">have been </w:t>
      </w:r>
      <w:r w:rsidR="00F84B08">
        <w:t>taken to minimise the risk of periodic</w:t>
      </w:r>
      <w:r w:rsidR="00AB2E4C">
        <w:t xml:space="preserve"> payments being made late</w:t>
      </w:r>
      <w:r>
        <w:t xml:space="preserve"> in future</w:t>
      </w:r>
      <w:r w:rsidR="00AB2E4C">
        <w:t>.</w:t>
      </w:r>
    </w:p>
    <w:p w:rsidR="004135B0" w:rsidRDefault="004135B0" w:rsidP="004135B0">
      <w:pPr>
        <w:pStyle w:val="HeadingTwo"/>
      </w:pPr>
      <w:r>
        <w:t>Interest and penalty tax on tax defaults for stamp duty lodgements where the taxpayer makes a payment of estimated tax</w:t>
      </w:r>
    </w:p>
    <w:p w:rsidR="004135B0" w:rsidRDefault="004135B0" w:rsidP="004135B0">
      <w:pPr>
        <w:pStyle w:val="BlockText"/>
      </w:pPr>
      <w:r>
        <w:t>Where an assessment will not be issued within the 60-day lodgement and payment period, a taxpayer should, in addition to the practices set out above under the heading ‘</w:t>
      </w:r>
      <w:r w:rsidRPr="00C406BD">
        <w:t>Reasonable care to comply with the taxation laws</w:t>
      </w:r>
      <w:r>
        <w:t xml:space="preserve">’ </w:t>
      </w:r>
      <w:r w:rsidRPr="00C25101">
        <w:t>reasonably</w:t>
      </w:r>
      <w:r>
        <w:t xml:space="preserve"> estimate the amount of stamp duty payable and pay that amount within the 60-day period.</w:t>
      </w:r>
    </w:p>
    <w:p w:rsidR="004135B0" w:rsidRDefault="004135B0" w:rsidP="004135B0">
      <w:pPr>
        <w:pStyle w:val="BlockText"/>
      </w:pPr>
      <w:r>
        <w:t>Where that estimate is made on a reasonable basis and the taxpayer pays that amount within the 60-day period, interest and penalty tax payable on a tax default arising out of an underpayment of the tax actually assessed will generally be reduced to nil, provided that the amount of the tax default is paid within the time set out in the assessment.</w:t>
      </w:r>
    </w:p>
    <w:p w:rsidR="004135B0" w:rsidRPr="00C406BD" w:rsidRDefault="004135B0" w:rsidP="004135B0">
      <w:pPr>
        <w:pStyle w:val="BlockText"/>
      </w:pPr>
      <w:r w:rsidRPr="000C585F">
        <w:lastRenderedPageBreak/>
        <w:t xml:space="preserve">Where a taxpayer does </w:t>
      </w:r>
      <w:r>
        <w:t xml:space="preserve">not reasonably </w:t>
      </w:r>
      <w:r w:rsidRPr="000C585F">
        <w:t xml:space="preserve">estimate </w:t>
      </w:r>
      <w:r>
        <w:t xml:space="preserve">and pay </w:t>
      </w:r>
      <w:r w:rsidRPr="000C585F">
        <w:t xml:space="preserve">the liability, TRO will determine the amount of interest and penalty tax having regard to the penalty scheme as set out in this guideline.  </w:t>
      </w:r>
    </w:p>
    <w:p w:rsidR="004135B0" w:rsidRPr="00C14BAA" w:rsidRDefault="004135B0" w:rsidP="005B4FB9">
      <w:pPr>
        <w:pStyle w:val="HeadingTwo"/>
        <w:keepNext w:val="0"/>
        <w:spacing w:after="360"/>
      </w:pPr>
      <w:r>
        <w:t>Matrix of penalty tax based on culpability of taxpayer</w:t>
      </w:r>
    </w:p>
    <w:tbl>
      <w:tblPr>
        <w:tblW w:w="0" w:type="auto"/>
        <w:jc w:val="center"/>
        <w:tblLayout w:type="fixed"/>
        <w:tblCellMar>
          <w:top w:w="28" w:type="dxa"/>
          <w:left w:w="120" w:type="dxa"/>
          <w:bottom w:w="40" w:type="dxa"/>
          <w:right w:w="120" w:type="dxa"/>
        </w:tblCellMar>
        <w:tblLook w:val="0000" w:firstRow="0" w:lastRow="0" w:firstColumn="0" w:lastColumn="0" w:noHBand="0" w:noVBand="0"/>
      </w:tblPr>
      <w:tblGrid>
        <w:gridCol w:w="4365"/>
        <w:gridCol w:w="1260"/>
        <w:gridCol w:w="1620"/>
        <w:gridCol w:w="1763"/>
      </w:tblGrid>
      <w:tr w:rsidR="004135B0" w:rsidRPr="005B4FB9">
        <w:trPr>
          <w:trHeight w:val="560"/>
          <w:jc w:val="center"/>
        </w:trPr>
        <w:tc>
          <w:tcPr>
            <w:tcW w:w="4365" w:type="dxa"/>
            <w:tcBorders>
              <w:top w:val="double" w:sz="6" w:space="0" w:color="auto"/>
              <w:left w:val="double" w:sz="6" w:space="0" w:color="auto"/>
              <w:bottom w:val="double" w:sz="6" w:space="0" w:color="auto"/>
            </w:tcBorders>
            <w:vAlign w:val="center"/>
          </w:tcPr>
          <w:p w:rsidR="004135B0" w:rsidRPr="005B4FB9" w:rsidRDefault="004135B0" w:rsidP="005B4FB9">
            <w:pPr>
              <w:pStyle w:val="Section"/>
              <w:spacing w:before="20" w:after="60"/>
              <w:jc w:val="center"/>
              <w:rPr>
                <w:rFonts w:ascii="Arial" w:hAnsi="Arial" w:cs="Arial"/>
                <w:b/>
                <w:sz w:val="18"/>
                <w:szCs w:val="18"/>
                <w:lang w:val="en-AU"/>
              </w:rPr>
            </w:pPr>
            <w:r w:rsidRPr="005B4FB9">
              <w:rPr>
                <w:rFonts w:ascii="Arial" w:hAnsi="Arial" w:cs="Arial"/>
                <w:b/>
                <w:sz w:val="18"/>
                <w:szCs w:val="18"/>
                <w:lang w:val="en-AU"/>
              </w:rPr>
              <w:t>PENALTY CATEGORY</w:t>
            </w:r>
          </w:p>
        </w:tc>
        <w:tc>
          <w:tcPr>
            <w:tcW w:w="1260" w:type="dxa"/>
            <w:tcBorders>
              <w:top w:val="double" w:sz="6" w:space="0" w:color="auto"/>
              <w:left w:val="single" w:sz="6" w:space="0" w:color="auto"/>
              <w:bottom w:val="double" w:sz="6" w:space="0" w:color="auto"/>
            </w:tcBorders>
            <w:vAlign w:val="center"/>
          </w:tcPr>
          <w:p w:rsidR="004135B0" w:rsidRPr="005B4FB9" w:rsidRDefault="004135B0" w:rsidP="005B4FB9">
            <w:pPr>
              <w:tabs>
                <w:tab w:val="left" w:pos="0"/>
                <w:tab w:val="left" w:pos="720"/>
                <w:tab w:val="left" w:pos="1440"/>
                <w:tab w:val="left" w:pos="2160"/>
                <w:tab w:val="left" w:pos="2880"/>
                <w:tab w:val="left" w:pos="3600"/>
                <w:tab w:val="left" w:pos="4320"/>
              </w:tabs>
              <w:autoSpaceDE w:val="0"/>
              <w:autoSpaceDN w:val="0"/>
              <w:adjustRightInd w:val="0"/>
              <w:spacing w:before="20" w:after="60"/>
              <w:ind w:left="15"/>
              <w:jc w:val="center"/>
              <w:rPr>
                <w:b/>
                <w:bCs/>
                <w:color w:val="000000"/>
                <w:sz w:val="18"/>
                <w:szCs w:val="18"/>
              </w:rPr>
            </w:pPr>
            <w:r w:rsidRPr="005B4FB9">
              <w:rPr>
                <w:b/>
                <w:bCs/>
                <w:color w:val="000000"/>
                <w:sz w:val="18"/>
                <w:szCs w:val="18"/>
              </w:rPr>
              <w:t>BASE PENALTY TAX</w:t>
            </w:r>
          </w:p>
        </w:tc>
        <w:tc>
          <w:tcPr>
            <w:tcW w:w="1620" w:type="dxa"/>
            <w:tcBorders>
              <w:top w:val="double" w:sz="6" w:space="0" w:color="auto"/>
              <w:left w:val="single" w:sz="6" w:space="0" w:color="auto"/>
            </w:tcBorders>
            <w:vAlign w:val="center"/>
          </w:tcPr>
          <w:p w:rsidR="004135B0" w:rsidRPr="005B4FB9" w:rsidRDefault="004135B0" w:rsidP="005B4FB9">
            <w:pPr>
              <w:pStyle w:val="Section"/>
              <w:spacing w:before="20" w:after="60"/>
              <w:jc w:val="center"/>
              <w:rPr>
                <w:rFonts w:ascii="Arial" w:hAnsi="Arial" w:cs="Arial"/>
                <w:b/>
                <w:sz w:val="18"/>
                <w:szCs w:val="18"/>
                <w:lang w:val="en-AU"/>
              </w:rPr>
            </w:pPr>
            <w:r w:rsidRPr="005B4FB9">
              <w:rPr>
                <w:rFonts w:ascii="Arial" w:hAnsi="Arial" w:cs="Arial"/>
                <w:b/>
                <w:bCs/>
                <w:color w:val="000000"/>
                <w:sz w:val="18"/>
                <w:szCs w:val="18"/>
              </w:rPr>
              <w:t>FULL AND IMMEDIATE DISCLOSURE BEFORE INVESTIGATION</w:t>
            </w:r>
          </w:p>
        </w:tc>
        <w:tc>
          <w:tcPr>
            <w:tcW w:w="1763" w:type="dxa"/>
            <w:tcBorders>
              <w:top w:val="double" w:sz="6" w:space="0" w:color="auto"/>
              <w:left w:val="single" w:sz="6" w:space="0" w:color="auto"/>
              <w:bottom w:val="double" w:sz="6" w:space="0" w:color="auto"/>
              <w:right w:val="double" w:sz="6" w:space="0" w:color="auto"/>
            </w:tcBorders>
            <w:vAlign w:val="center"/>
          </w:tcPr>
          <w:p w:rsidR="004135B0" w:rsidRPr="005B4FB9" w:rsidRDefault="004135B0" w:rsidP="005B4FB9">
            <w:pPr>
              <w:pStyle w:val="Section"/>
              <w:spacing w:before="20" w:after="60"/>
              <w:jc w:val="center"/>
              <w:rPr>
                <w:rFonts w:ascii="Arial" w:hAnsi="Arial" w:cs="Arial"/>
                <w:b/>
                <w:sz w:val="18"/>
                <w:szCs w:val="18"/>
                <w:lang w:val="en-AU"/>
              </w:rPr>
            </w:pPr>
            <w:r w:rsidRPr="005B4FB9">
              <w:rPr>
                <w:rFonts w:ascii="Arial" w:hAnsi="Arial" w:cs="Arial"/>
                <w:b/>
                <w:bCs/>
                <w:color w:val="000000"/>
                <w:sz w:val="18"/>
                <w:szCs w:val="18"/>
              </w:rPr>
              <w:t>FULL COOPERATION WITH INVESTIGATION</w:t>
            </w:r>
          </w:p>
        </w:tc>
      </w:tr>
      <w:tr w:rsidR="004135B0" w:rsidRPr="005B4FB9">
        <w:trPr>
          <w:jc w:val="center"/>
        </w:trPr>
        <w:tc>
          <w:tcPr>
            <w:tcW w:w="4365" w:type="dxa"/>
            <w:tcBorders>
              <w:top w:val="double" w:sz="6" w:space="0" w:color="auto"/>
              <w:left w:val="double" w:sz="6" w:space="0" w:color="auto"/>
              <w:bottom w:val="single" w:sz="6" w:space="0" w:color="auto"/>
            </w:tcBorders>
            <w:vAlign w:val="center"/>
          </w:tcPr>
          <w:p w:rsidR="004135B0" w:rsidRPr="005B4FB9" w:rsidRDefault="004135B0" w:rsidP="005B4FB9">
            <w:pPr>
              <w:pStyle w:val="Section"/>
              <w:spacing w:before="20" w:after="60"/>
              <w:jc w:val="left"/>
              <w:rPr>
                <w:rFonts w:ascii="Arial" w:hAnsi="Arial" w:cs="Arial"/>
                <w:color w:val="000000"/>
                <w:sz w:val="18"/>
                <w:szCs w:val="18"/>
              </w:rPr>
            </w:pPr>
            <w:r w:rsidRPr="005B4FB9">
              <w:rPr>
                <w:rFonts w:ascii="Arial" w:hAnsi="Arial" w:cs="Arial"/>
                <w:color w:val="000000"/>
                <w:sz w:val="18"/>
                <w:szCs w:val="18"/>
              </w:rPr>
              <w:t>Circumstances beyond the control of the taxpayer where the taxpayer has taken reasonable steps to mitigate the tax default or;</w:t>
            </w:r>
          </w:p>
          <w:p w:rsidR="004135B0" w:rsidRPr="005B4FB9" w:rsidRDefault="004135B0" w:rsidP="005B4FB9">
            <w:pPr>
              <w:pStyle w:val="Section"/>
              <w:spacing w:before="20" w:after="60"/>
              <w:jc w:val="left"/>
              <w:rPr>
                <w:rFonts w:ascii="Arial" w:hAnsi="Arial" w:cs="Arial"/>
                <w:sz w:val="18"/>
                <w:szCs w:val="18"/>
                <w:lang w:val="en-AU"/>
              </w:rPr>
            </w:pPr>
            <w:r w:rsidRPr="005B4FB9">
              <w:rPr>
                <w:rFonts w:ascii="Arial" w:hAnsi="Arial" w:cs="Arial"/>
                <w:sz w:val="18"/>
                <w:szCs w:val="18"/>
              </w:rPr>
              <w:t>Tax was paid in error to another state or territory and it was paid to that state or territory by the due date for payment in the Territory</w:t>
            </w:r>
            <w:r w:rsidRPr="005B4FB9">
              <w:rPr>
                <w:rFonts w:ascii="Arial" w:hAnsi="Arial" w:cs="Arial"/>
                <w:color w:val="000000"/>
                <w:sz w:val="18"/>
                <w:szCs w:val="18"/>
              </w:rPr>
              <w:t xml:space="preserve"> </w:t>
            </w:r>
          </w:p>
        </w:tc>
        <w:tc>
          <w:tcPr>
            <w:tcW w:w="1260" w:type="dxa"/>
            <w:tcBorders>
              <w:top w:val="double" w:sz="6" w:space="0" w:color="auto"/>
              <w:left w:val="single" w:sz="6" w:space="0" w:color="auto"/>
              <w:bottom w:val="single" w:sz="6" w:space="0" w:color="auto"/>
            </w:tcBorders>
            <w:vAlign w:val="center"/>
          </w:tcPr>
          <w:p w:rsidR="004135B0" w:rsidRPr="005B4FB9" w:rsidRDefault="004135B0" w:rsidP="005B4FB9">
            <w:pPr>
              <w:autoSpaceDE w:val="0"/>
              <w:autoSpaceDN w:val="0"/>
              <w:adjustRightInd w:val="0"/>
              <w:spacing w:before="20" w:after="60"/>
              <w:ind w:left="15"/>
              <w:jc w:val="center"/>
              <w:rPr>
                <w:color w:val="000000"/>
                <w:sz w:val="18"/>
                <w:szCs w:val="18"/>
              </w:rPr>
            </w:pPr>
            <w:r w:rsidRPr="005B4FB9">
              <w:rPr>
                <w:color w:val="000000"/>
                <w:sz w:val="18"/>
                <w:szCs w:val="18"/>
              </w:rPr>
              <w:t>0%</w:t>
            </w:r>
          </w:p>
        </w:tc>
        <w:tc>
          <w:tcPr>
            <w:tcW w:w="1620" w:type="dxa"/>
            <w:tcBorders>
              <w:top w:val="double" w:sz="6" w:space="0" w:color="auto"/>
              <w:left w:val="single" w:sz="6" w:space="0" w:color="auto"/>
              <w:bottom w:val="single" w:sz="6" w:space="0" w:color="auto"/>
            </w:tcBorders>
            <w:vAlign w:val="center"/>
          </w:tcPr>
          <w:p w:rsidR="004135B0" w:rsidRPr="005B4FB9" w:rsidRDefault="004135B0" w:rsidP="005B4FB9">
            <w:pPr>
              <w:autoSpaceDE w:val="0"/>
              <w:autoSpaceDN w:val="0"/>
              <w:adjustRightInd w:val="0"/>
              <w:spacing w:before="20" w:after="60"/>
              <w:ind w:left="15"/>
              <w:jc w:val="center"/>
              <w:rPr>
                <w:color w:val="000000"/>
                <w:sz w:val="18"/>
                <w:szCs w:val="18"/>
              </w:rPr>
            </w:pPr>
            <w:r w:rsidRPr="005B4FB9">
              <w:rPr>
                <w:color w:val="000000"/>
                <w:sz w:val="18"/>
                <w:szCs w:val="18"/>
              </w:rPr>
              <w:t>0%</w:t>
            </w:r>
          </w:p>
        </w:tc>
        <w:tc>
          <w:tcPr>
            <w:tcW w:w="1763" w:type="dxa"/>
            <w:tcBorders>
              <w:top w:val="double" w:sz="6" w:space="0" w:color="auto"/>
              <w:left w:val="single" w:sz="6" w:space="0" w:color="auto"/>
              <w:bottom w:val="single" w:sz="6" w:space="0" w:color="auto"/>
              <w:right w:val="double" w:sz="6" w:space="0" w:color="auto"/>
            </w:tcBorders>
            <w:vAlign w:val="center"/>
          </w:tcPr>
          <w:p w:rsidR="004135B0" w:rsidRPr="005B4FB9" w:rsidRDefault="004135B0" w:rsidP="005B4FB9">
            <w:pPr>
              <w:autoSpaceDE w:val="0"/>
              <w:autoSpaceDN w:val="0"/>
              <w:adjustRightInd w:val="0"/>
              <w:spacing w:before="20" w:after="60"/>
              <w:jc w:val="center"/>
              <w:rPr>
                <w:color w:val="000000"/>
                <w:sz w:val="18"/>
                <w:szCs w:val="18"/>
              </w:rPr>
            </w:pPr>
            <w:r w:rsidRPr="005B4FB9">
              <w:rPr>
                <w:color w:val="000000"/>
                <w:sz w:val="18"/>
                <w:szCs w:val="18"/>
              </w:rPr>
              <w:t>0%</w:t>
            </w:r>
          </w:p>
        </w:tc>
      </w:tr>
      <w:tr w:rsidR="004135B0" w:rsidRPr="005B4FB9">
        <w:trPr>
          <w:trHeight w:val="65"/>
          <w:jc w:val="center"/>
        </w:trPr>
        <w:tc>
          <w:tcPr>
            <w:tcW w:w="4365" w:type="dxa"/>
            <w:tcBorders>
              <w:left w:val="double" w:sz="6" w:space="0" w:color="auto"/>
            </w:tcBorders>
            <w:vAlign w:val="center"/>
          </w:tcPr>
          <w:p w:rsidR="004135B0" w:rsidRPr="005B4FB9" w:rsidRDefault="004135B0" w:rsidP="005B4FB9">
            <w:pPr>
              <w:pStyle w:val="Section"/>
              <w:spacing w:before="20" w:after="60"/>
              <w:jc w:val="left"/>
              <w:rPr>
                <w:rFonts w:ascii="Arial" w:hAnsi="Arial" w:cs="Arial"/>
                <w:sz w:val="18"/>
                <w:szCs w:val="18"/>
                <w:lang w:val="en-AU"/>
              </w:rPr>
            </w:pPr>
            <w:r w:rsidRPr="005B4FB9">
              <w:rPr>
                <w:rFonts w:ascii="Arial" w:hAnsi="Arial" w:cs="Arial"/>
                <w:color w:val="000000"/>
                <w:sz w:val="18"/>
                <w:szCs w:val="18"/>
              </w:rPr>
              <w:t>Reasonable care taken to comply with the taxation law</w:t>
            </w:r>
          </w:p>
        </w:tc>
        <w:tc>
          <w:tcPr>
            <w:tcW w:w="1260" w:type="dxa"/>
            <w:tcBorders>
              <w:left w:val="single" w:sz="6" w:space="0" w:color="auto"/>
            </w:tcBorders>
            <w:vAlign w:val="center"/>
          </w:tcPr>
          <w:p w:rsidR="004135B0" w:rsidRPr="005B4FB9" w:rsidRDefault="004135B0" w:rsidP="005B4FB9">
            <w:pPr>
              <w:autoSpaceDE w:val="0"/>
              <w:autoSpaceDN w:val="0"/>
              <w:adjustRightInd w:val="0"/>
              <w:spacing w:before="20" w:after="60"/>
              <w:ind w:left="15"/>
              <w:jc w:val="center"/>
              <w:rPr>
                <w:color w:val="000000"/>
                <w:sz w:val="18"/>
                <w:szCs w:val="18"/>
              </w:rPr>
            </w:pPr>
            <w:r w:rsidRPr="005B4FB9">
              <w:rPr>
                <w:color w:val="000000"/>
                <w:sz w:val="18"/>
                <w:szCs w:val="18"/>
              </w:rPr>
              <w:t>10%</w:t>
            </w:r>
          </w:p>
        </w:tc>
        <w:tc>
          <w:tcPr>
            <w:tcW w:w="1620" w:type="dxa"/>
            <w:tcBorders>
              <w:left w:val="single" w:sz="6" w:space="0" w:color="auto"/>
            </w:tcBorders>
            <w:vAlign w:val="center"/>
          </w:tcPr>
          <w:p w:rsidR="004135B0" w:rsidRPr="005B4FB9" w:rsidRDefault="004135B0" w:rsidP="005B4FB9">
            <w:pPr>
              <w:autoSpaceDE w:val="0"/>
              <w:autoSpaceDN w:val="0"/>
              <w:adjustRightInd w:val="0"/>
              <w:spacing w:before="20" w:after="60"/>
              <w:ind w:left="15"/>
              <w:jc w:val="center"/>
              <w:rPr>
                <w:color w:val="000000"/>
                <w:sz w:val="18"/>
                <w:szCs w:val="18"/>
              </w:rPr>
            </w:pPr>
            <w:r w:rsidRPr="005B4FB9">
              <w:rPr>
                <w:color w:val="000000"/>
                <w:sz w:val="18"/>
                <w:szCs w:val="18"/>
              </w:rPr>
              <w:t>2%</w:t>
            </w:r>
          </w:p>
        </w:tc>
        <w:tc>
          <w:tcPr>
            <w:tcW w:w="1763" w:type="dxa"/>
            <w:tcBorders>
              <w:left w:val="single" w:sz="6" w:space="0" w:color="auto"/>
              <w:right w:val="double" w:sz="6" w:space="0" w:color="auto"/>
            </w:tcBorders>
            <w:vAlign w:val="center"/>
          </w:tcPr>
          <w:p w:rsidR="004135B0" w:rsidRPr="005B4FB9" w:rsidRDefault="004135B0" w:rsidP="005B4FB9">
            <w:pPr>
              <w:autoSpaceDE w:val="0"/>
              <w:autoSpaceDN w:val="0"/>
              <w:adjustRightInd w:val="0"/>
              <w:spacing w:before="20" w:after="60"/>
              <w:jc w:val="center"/>
              <w:rPr>
                <w:color w:val="000000"/>
                <w:sz w:val="18"/>
                <w:szCs w:val="18"/>
              </w:rPr>
            </w:pPr>
            <w:r w:rsidRPr="005B4FB9">
              <w:rPr>
                <w:color w:val="000000"/>
                <w:sz w:val="18"/>
                <w:szCs w:val="18"/>
              </w:rPr>
              <w:t>8%</w:t>
            </w:r>
          </w:p>
        </w:tc>
      </w:tr>
      <w:tr w:rsidR="004135B0" w:rsidRPr="005B4FB9">
        <w:trPr>
          <w:trHeight w:val="65"/>
          <w:jc w:val="center"/>
        </w:trPr>
        <w:tc>
          <w:tcPr>
            <w:tcW w:w="4365" w:type="dxa"/>
            <w:tcBorders>
              <w:top w:val="single" w:sz="6" w:space="0" w:color="auto"/>
              <w:left w:val="double" w:sz="6" w:space="0" w:color="auto"/>
              <w:bottom w:val="single" w:sz="6" w:space="0" w:color="auto"/>
            </w:tcBorders>
            <w:vAlign w:val="center"/>
          </w:tcPr>
          <w:p w:rsidR="004135B0" w:rsidRPr="005B4FB9" w:rsidRDefault="004135B0" w:rsidP="005B4FB9">
            <w:pPr>
              <w:autoSpaceDE w:val="0"/>
              <w:autoSpaceDN w:val="0"/>
              <w:adjustRightInd w:val="0"/>
              <w:spacing w:before="20" w:after="60"/>
              <w:ind w:left="15"/>
              <w:rPr>
                <w:bCs/>
                <w:color w:val="000000"/>
                <w:sz w:val="18"/>
                <w:szCs w:val="18"/>
              </w:rPr>
            </w:pPr>
            <w:r w:rsidRPr="005B4FB9">
              <w:rPr>
                <w:bCs/>
                <w:color w:val="000000"/>
                <w:sz w:val="18"/>
                <w:szCs w:val="18"/>
              </w:rPr>
              <w:t>Default penalty</w:t>
            </w:r>
          </w:p>
        </w:tc>
        <w:tc>
          <w:tcPr>
            <w:tcW w:w="1260" w:type="dxa"/>
            <w:tcBorders>
              <w:top w:val="single" w:sz="6" w:space="0" w:color="auto"/>
              <w:left w:val="single" w:sz="6" w:space="0" w:color="auto"/>
              <w:bottom w:val="single" w:sz="6" w:space="0" w:color="auto"/>
            </w:tcBorders>
            <w:vAlign w:val="center"/>
          </w:tcPr>
          <w:p w:rsidR="004135B0" w:rsidRPr="005B4FB9" w:rsidRDefault="004135B0" w:rsidP="005B4FB9">
            <w:pPr>
              <w:autoSpaceDE w:val="0"/>
              <w:autoSpaceDN w:val="0"/>
              <w:adjustRightInd w:val="0"/>
              <w:spacing w:before="20" w:after="60"/>
              <w:ind w:left="15"/>
              <w:jc w:val="center"/>
              <w:rPr>
                <w:bCs/>
                <w:color w:val="000000"/>
                <w:sz w:val="18"/>
                <w:szCs w:val="18"/>
              </w:rPr>
            </w:pPr>
            <w:r w:rsidRPr="005B4FB9">
              <w:rPr>
                <w:bCs/>
                <w:color w:val="000000"/>
                <w:sz w:val="18"/>
                <w:szCs w:val="18"/>
              </w:rPr>
              <w:t>25%</w:t>
            </w:r>
          </w:p>
        </w:tc>
        <w:tc>
          <w:tcPr>
            <w:tcW w:w="1620" w:type="dxa"/>
            <w:tcBorders>
              <w:top w:val="single" w:sz="6" w:space="0" w:color="auto"/>
              <w:left w:val="single" w:sz="6" w:space="0" w:color="auto"/>
              <w:bottom w:val="single" w:sz="6" w:space="0" w:color="auto"/>
            </w:tcBorders>
            <w:vAlign w:val="center"/>
          </w:tcPr>
          <w:p w:rsidR="004135B0" w:rsidRPr="005B4FB9" w:rsidRDefault="004135B0" w:rsidP="005B4FB9">
            <w:pPr>
              <w:autoSpaceDE w:val="0"/>
              <w:autoSpaceDN w:val="0"/>
              <w:adjustRightInd w:val="0"/>
              <w:spacing w:before="20" w:after="60"/>
              <w:ind w:left="15"/>
              <w:jc w:val="center"/>
              <w:rPr>
                <w:color w:val="000000"/>
                <w:sz w:val="18"/>
                <w:szCs w:val="18"/>
              </w:rPr>
            </w:pPr>
            <w:r w:rsidRPr="005B4FB9">
              <w:rPr>
                <w:color w:val="000000"/>
                <w:sz w:val="18"/>
                <w:szCs w:val="18"/>
              </w:rPr>
              <w:t>5%</w:t>
            </w:r>
          </w:p>
        </w:tc>
        <w:tc>
          <w:tcPr>
            <w:tcW w:w="1763" w:type="dxa"/>
            <w:tcBorders>
              <w:top w:val="single" w:sz="6" w:space="0" w:color="auto"/>
              <w:left w:val="single" w:sz="6" w:space="0" w:color="auto"/>
              <w:bottom w:val="single" w:sz="6" w:space="0" w:color="auto"/>
              <w:right w:val="double" w:sz="6" w:space="0" w:color="auto"/>
            </w:tcBorders>
            <w:vAlign w:val="center"/>
          </w:tcPr>
          <w:p w:rsidR="004135B0" w:rsidRPr="005B4FB9" w:rsidRDefault="004135B0" w:rsidP="005B4FB9">
            <w:pPr>
              <w:autoSpaceDE w:val="0"/>
              <w:autoSpaceDN w:val="0"/>
              <w:adjustRightInd w:val="0"/>
              <w:spacing w:before="20" w:after="60"/>
              <w:jc w:val="center"/>
              <w:rPr>
                <w:color w:val="000000"/>
                <w:sz w:val="18"/>
                <w:szCs w:val="18"/>
              </w:rPr>
            </w:pPr>
            <w:r w:rsidRPr="005B4FB9">
              <w:rPr>
                <w:color w:val="000000"/>
                <w:sz w:val="18"/>
                <w:szCs w:val="18"/>
              </w:rPr>
              <w:t>20%</w:t>
            </w:r>
          </w:p>
        </w:tc>
      </w:tr>
      <w:tr w:rsidR="004135B0" w:rsidRPr="005B4FB9">
        <w:trPr>
          <w:trHeight w:val="65"/>
          <w:jc w:val="center"/>
        </w:trPr>
        <w:tc>
          <w:tcPr>
            <w:tcW w:w="4365" w:type="dxa"/>
            <w:tcBorders>
              <w:top w:val="single" w:sz="6" w:space="0" w:color="auto"/>
              <w:left w:val="double" w:sz="6" w:space="0" w:color="auto"/>
              <w:bottom w:val="single" w:sz="6" w:space="0" w:color="auto"/>
              <w:right w:val="single" w:sz="6" w:space="0" w:color="auto"/>
            </w:tcBorders>
            <w:vAlign w:val="center"/>
          </w:tcPr>
          <w:p w:rsidR="004135B0" w:rsidRPr="005B4FB9" w:rsidRDefault="004135B0" w:rsidP="005B4FB9">
            <w:pPr>
              <w:pStyle w:val="Section"/>
              <w:spacing w:before="20" w:after="60"/>
              <w:jc w:val="left"/>
              <w:rPr>
                <w:rFonts w:ascii="Arial" w:hAnsi="Arial" w:cs="Arial"/>
                <w:sz w:val="18"/>
                <w:szCs w:val="18"/>
                <w:lang w:val="en-AU"/>
              </w:rPr>
            </w:pPr>
            <w:r w:rsidRPr="005B4FB9">
              <w:rPr>
                <w:rFonts w:ascii="Arial" w:hAnsi="Arial" w:cs="Arial"/>
                <w:color w:val="000000"/>
                <w:sz w:val="18"/>
                <w:szCs w:val="18"/>
              </w:rPr>
              <w:t>Intentional disregard of a taxation law</w:t>
            </w:r>
          </w:p>
        </w:tc>
        <w:tc>
          <w:tcPr>
            <w:tcW w:w="1260" w:type="dxa"/>
            <w:tcBorders>
              <w:top w:val="single" w:sz="6" w:space="0" w:color="auto"/>
              <w:left w:val="single" w:sz="6" w:space="0" w:color="auto"/>
              <w:bottom w:val="single" w:sz="6" w:space="0" w:color="auto"/>
              <w:right w:val="single" w:sz="6" w:space="0" w:color="auto"/>
            </w:tcBorders>
            <w:vAlign w:val="center"/>
          </w:tcPr>
          <w:p w:rsidR="004135B0" w:rsidRPr="005B4FB9" w:rsidRDefault="004135B0" w:rsidP="005B4FB9">
            <w:pPr>
              <w:autoSpaceDE w:val="0"/>
              <w:autoSpaceDN w:val="0"/>
              <w:adjustRightInd w:val="0"/>
              <w:spacing w:before="20" w:after="60"/>
              <w:ind w:left="15"/>
              <w:jc w:val="center"/>
              <w:rPr>
                <w:color w:val="000000"/>
                <w:sz w:val="18"/>
                <w:szCs w:val="18"/>
              </w:rPr>
            </w:pPr>
            <w:r w:rsidRPr="005B4FB9">
              <w:rPr>
                <w:color w:val="000000"/>
                <w:sz w:val="18"/>
                <w:szCs w:val="18"/>
              </w:rPr>
              <w:t>75%</w:t>
            </w:r>
          </w:p>
        </w:tc>
        <w:tc>
          <w:tcPr>
            <w:tcW w:w="1620" w:type="dxa"/>
            <w:tcBorders>
              <w:top w:val="single" w:sz="6" w:space="0" w:color="auto"/>
              <w:left w:val="single" w:sz="6" w:space="0" w:color="auto"/>
              <w:bottom w:val="single" w:sz="6" w:space="0" w:color="auto"/>
              <w:right w:val="single" w:sz="6" w:space="0" w:color="auto"/>
            </w:tcBorders>
            <w:vAlign w:val="center"/>
          </w:tcPr>
          <w:p w:rsidR="004135B0" w:rsidRPr="005B4FB9" w:rsidRDefault="004135B0" w:rsidP="005B4FB9">
            <w:pPr>
              <w:autoSpaceDE w:val="0"/>
              <w:autoSpaceDN w:val="0"/>
              <w:adjustRightInd w:val="0"/>
              <w:spacing w:before="20" w:after="60"/>
              <w:ind w:left="15"/>
              <w:jc w:val="center"/>
              <w:rPr>
                <w:color w:val="000000"/>
                <w:sz w:val="18"/>
                <w:szCs w:val="18"/>
              </w:rPr>
            </w:pPr>
            <w:r w:rsidRPr="005B4FB9">
              <w:rPr>
                <w:color w:val="000000"/>
                <w:sz w:val="18"/>
                <w:szCs w:val="18"/>
              </w:rPr>
              <w:t>15%</w:t>
            </w:r>
          </w:p>
        </w:tc>
        <w:tc>
          <w:tcPr>
            <w:tcW w:w="1763" w:type="dxa"/>
            <w:tcBorders>
              <w:top w:val="single" w:sz="6" w:space="0" w:color="auto"/>
              <w:left w:val="single" w:sz="6" w:space="0" w:color="auto"/>
              <w:bottom w:val="single" w:sz="6" w:space="0" w:color="auto"/>
              <w:right w:val="double" w:sz="6" w:space="0" w:color="auto"/>
            </w:tcBorders>
            <w:vAlign w:val="center"/>
          </w:tcPr>
          <w:p w:rsidR="004135B0" w:rsidRPr="005B4FB9" w:rsidRDefault="004135B0" w:rsidP="005B4FB9">
            <w:pPr>
              <w:autoSpaceDE w:val="0"/>
              <w:autoSpaceDN w:val="0"/>
              <w:adjustRightInd w:val="0"/>
              <w:spacing w:before="20" w:after="60"/>
              <w:jc w:val="center"/>
              <w:rPr>
                <w:color w:val="000000"/>
                <w:sz w:val="18"/>
                <w:szCs w:val="18"/>
              </w:rPr>
            </w:pPr>
            <w:r w:rsidRPr="005B4FB9">
              <w:rPr>
                <w:color w:val="000000"/>
                <w:sz w:val="18"/>
                <w:szCs w:val="18"/>
              </w:rPr>
              <w:t>60%</w:t>
            </w:r>
          </w:p>
        </w:tc>
      </w:tr>
      <w:tr w:rsidR="004135B0" w:rsidRPr="005B4FB9">
        <w:trPr>
          <w:trHeight w:val="65"/>
          <w:jc w:val="center"/>
        </w:trPr>
        <w:tc>
          <w:tcPr>
            <w:tcW w:w="4365" w:type="dxa"/>
            <w:tcBorders>
              <w:top w:val="single" w:sz="6" w:space="0" w:color="auto"/>
              <w:left w:val="double" w:sz="6" w:space="0" w:color="auto"/>
              <w:bottom w:val="single" w:sz="6" w:space="0" w:color="auto"/>
              <w:right w:val="single" w:sz="6" w:space="0" w:color="auto"/>
            </w:tcBorders>
            <w:vAlign w:val="center"/>
          </w:tcPr>
          <w:p w:rsidR="004135B0" w:rsidRPr="005B4FB9" w:rsidRDefault="004135B0" w:rsidP="005B4FB9">
            <w:pPr>
              <w:tabs>
                <w:tab w:val="left" w:pos="0"/>
                <w:tab w:val="left" w:pos="720"/>
                <w:tab w:val="left" w:pos="1440"/>
                <w:tab w:val="left" w:pos="2160"/>
                <w:tab w:val="left" w:pos="2880"/>
                <w:tab w:val="left" w:pos="3600"/>
                <w:tab w:val="left" w:pos="4320"/>
              </w:tabs>
              <w:autoSpaceDE w:val="0"/>
              <w:autoSpaceDN w:val="0"/>
              <w:adjustRightInd w:val="0"/>
              <w:spacing w:before="20" w:after="60"/>
              <w:ind w:left="15"/>
              <w:rPr>
                <w:color w:val="000000"/>
                <w:sz w:val="18"/>
                <w:szCs w:val="18"/>
              </w:rPr>
            </w:pPr>
            <w:r w:rsidRPr="005B4FB9">
              <w:rPr>
                <w:color w:val="000000"/>
                <w:sz w:val="18"/>
                <w:szCs w:val="18"/>
              </w:rPr>
              <w:t>Concealment or hindering an investigation</w:t>
            </w:r>
          </w:p>
        </w:tc>
        <w:tc>
          <w:tcPr>
            <w:tcW w:w="1260" w:type="dxa"/>
            <w:tcBorders>
              <w:top w:val="single" w:sz="6" w:space="0" w:color="auto"/>
              <w:left w:val="single" w:sz="6" w:space="0" w:color="auto"/>
              <w:bottom w:val="single" w:sz="6" w:space="0" w:color="auto"/>
              <w:right w:val="single" w:sz="6" w:space="0" w:color="auto"/>
            </w:tcBorders>
            <w:vAlign w:val="center"/>
          </w:tcPr>
          <w:p w:rsidR="004135B0" w:rsidRPr="005B4FB9" w:rsidRDefault="004135B0" w:rsidP="005B4FB9">
            <w:pPr>
              <w:tabs>
                <w:tab w:val="left" w:pos="0"/>
                <w:tab w:val="left" w:pos="720"/>
                <w:tab w:val="left" w:pos="1440"/>
                <w:tab w:val="left" w:pos="2160"/>
                <w:tab w:val="left" w:pos="2880"/>
                <w:tab w:val="left" w:pos="3600"/>
                <w:tab w:val="left" w:pos="4320"/>
              </w:tabs>
              <w:autoSpaceDE w:val="0"/>
              <w:autoSpaceDN w:val="0"/>
              <w:adjustRightInd w:val="0"/>
              <w:spacing w:before="20" w:after="60"/>
              <w:ind w:left="15"/>
              <w:jc w:val="center"/>
              <w:rPr>
                <w:color w:val="000000"/>
                <w:sz w:val="18"/>
                <w:szCs w:val="18"/>
              </w:rPr>
            </w:pPr>
            <w:r w:rsidRPr="005B4FB9">
              <w:rPr>
                <w:color w:val="000000"/>
                <w:sz w:val="18"/>
                <w:szCs w:val="18"/>
              </w:rPr>
              <w:t>75%</w:t>
            </w:r>
          </w:p>
        </w:tc>
        <w:tc>
          <w:tcPr>
            <w:tcW w:w="1620" w:type="dxa"/>
            <w:tcBorders>
              <w:top w:val="single" w:sz="6" w:space="0" w:color="auto"/>
              <w:left w:val="single" w:sz="6" w:space="0" w:color="auto"/>
              <w:bottom w:val="single" w:sz="6" w:space="0" w:color="auto"/>
              <w:right w:val="single" w:sz="6" w:space="0" w:color="auto"/>
            </w:tcBorders>
            <w:vAlign w:val="center"/>
          </w:tcPr>
          <w:p w:rsidR="004135B0" w:rsidRPr="005B4FB9" w:rsidRDefault="004135B0" w:rsidP="005B4FB9">
            <w:pPr>
              <w:tabs>
                <w:tab w:val="left" w:pos="0"/>
                <w:tab w:val="left" w:pos="720"/>
                <w:tab w:val="left" w:pos="1440"/>
                <w:tab w:val="left" w:pos="2160"/>
                <w:tab w:val="left" w:pos="2880"/>
                <w:tab w:val="left" w:pos="3600"/>
                <w:tab w:val="left" w:pos="4320"/>
              </w:tabs>
              <w:autoSpaceDE w:val="0"/>
              <w:autoSpaceDN w:val="0"/>
              <w:adjustRightInd w:val="0"/>
              <w:spacing w:before="20" w:after="60"/>
              <w:ind w:left="15"/>
              <w:jc w:val="center"/>
              <w:rPr>
                <w:color w:val="000000"/>
                <w:sz w:val="18"/>
                <w:szCs w:val="18"/>
              </w:rPr>
            </w:pPr>
            <w:r w:rsidRPr="005B4FB9">
              <w:rPr>
                <w:color w:val="000000"/>
                <w:sz w:val="18"/>
                <w:szCs w:val="18"/>
              </w:rPr>
              <w:t>n/a</w:t>
            </w:r>
          </w:p>
        </w:tc>
        <w:tc>
          <w:tcPr>
            <w:tcW w:w="1763" w:type="dxa"/>
            <w:tcBorders>
              <w:top w:val="single" w:sz="6" w:space="0" w:color="auto"/>
              <w:left w:val="single" w:sz="6" w:space="0" w:color="auto"/>
              <w:bottom w:val="single" w:sz="6" w:space="0" w:color="auto"/>
              <w:right w:val="double" w:sz="6" w:space="0" w:color="auto"/>
            </w:tcBorders>
            <w:vAlign w:val="center"/>
          </w:tcPr>
          <w:p w:rsidR="004135B0" w:rsidRPr="005B4FB9" w:rsidRDefault="004135B0" w:rsidP="005B4FB9">
            <w:pPr>
              <w:tabs>
                <w:tab w:val="left" w:pos="0"/>
                <w:tab w:val="left" w:pos="720"/>
                <w:tab w:val="left" w:pos="1440"/>
                <w:tab w:val="left" w:pos="2160"/>
                <w:tab w:val="left" w:pos="2880"/>
                <w:tab w:val="left" w:pos="3600"/>
                <w:tab w:val="left" w:pos="4320"/>
              </w:tabs>
              <w:autoSpaceDE w:val="0"/>
              <w:autoSpaceDN w:val="0"/>
              <w:adjustRightInd w:val="0"/>
              <w:spacing w:before="20" w:after="60"/>
              <w:ind w:left="15"/>
              <w:jc w:val="center"/>
              <w:rPr>
                <w:color w:val="000000"/>
                <w:sz w:val="18"/>
                <w:szCs w:val="18"/>
              </w:rPr>
            </w:pPr>
            <w:r w:rsidRPr="005B4FB9">
              <w:rPr>
                <w:color w:val="000000"/>
                <w:sz w:val="18"/>
                <w:szCs w:val="18"/>
              </w:rPr>
              <w:t>n/a</w:t>
            </w:r>
          </w:p>
        </w:tc>
      </w:tr>
      <w:tr w:rsidR="004135B0" w:rsidRPr="005B4FB9">
        <w:trPr>
          <w:trHeight w:val="65"/>
          <w:jc w:val="center"/>
        </w:trPr>
        <w:tc>
          <w:tcPr>
            <w:tcW w:w="4365" w:type="dxa"/>
            <w:tcBorders>
              <w:top w:val="single" w:sz="6" w:space="0" w:color="auto"/>
              <w:left w:val="double" w:sz="6" w:space="0" w:color="auto"/>
              <w:bottom w:val="double" w:sz="6" w:space="0" w:color="auto"/>
            </w:tcBorders>
            <w:vAlign w:val="center"/>
          </w:tcPr>
          <w:p w:rsidR="004135B0" w:rsidRPr="005B4FB9" w:rsidRDefault="004135B0" w:rsidP="005B4FB9">
            <w:pPr>
              <w:tabs>
                <w:tab w:val="left" w:pos="0"/>
                <w:tab w:val="left" w:pos="720"/>
                <w:tab w:val="left" w:pos="1440"/>
                <w:tab w:val="left" w:pos="2160"/>
                <w:tab w:val="left" w:pos="2880"/>
                <w:tab w:val="left" w:pos="3600"/>
                <w:tab w:val="left" w:pos="4320"/>
              </w:tabs>
              <w:autoSpaceDE w:val="0"/>
              <w:autoSpaceDN w:val="0"/>
              <w:adjustRightInd w:val="0"/>
              <w:spacing w:before="20" w:after="60"/>
              <w:ind w:left="15"/>
              <w:rPr>
                <w:sz w:val="18"/>
                <w:szCs w:val="18"/>
                <w:u w:val="single"/>
              </w:rPr>
            </w:pPr>
            <w:r w:rsidRPr="005B4FB9">
              <w:rPr>
                <w:sz w:val="18"/>
                <w:szCs w:val="18"/>
              </w:rPr>
              <w:t xml:space="preserve">Intentional disregard of a taxation law </w:t>
            </w:r>
            <w:r w:rsidRPr="005B4FB9">
              <w:rPr>
                <w:sz w:val="18"/>
                <w:szCs w:val="18"/>
                <w:u w:val="single"/>
              </w:rPr>
              <w:t>and</w:t>
            </w:r>
          </w:p>
          <w:p w:rsidR="004135B0" w:rsidRPr="005B4FB9" w:rsidRDefault="004135B0" w:rsidP="005B4FB9">
            <w:pPr>
              <w:pStyle w:val="Section"/>
              <w:spacing w:before="20" w:after="60"/>
              <w:jc w:val="left"/>
              <w:rPr>
                <w:rFonts w:ascii="Arial" w:hAnsi="Arial" w:cs="Arial"/>
                <w:sz w:val="18"/>
                <w:szCs w:val="18"/>
                <w:lang w:val="en-AU"/>
              </w:rPr>
            </w:pPr>
            <w:r w:rsidRPr="005B4FB9">
              <w:rPr>
                <w:rFonts w:ascii="Arial" w:hAnsi="Arial" w:cs="Arial"/>
                <w:color w:val="000000"/>
                <w:sz w:val="18"/>
                <w:szCs w:val="18"/>
              </w:rPr>
              <w:t>concealment or hindering an investigation</w:t>
            </w:r>
          </w:p>
        </w:tc>
        <w:tc>
          <w:tcPr>
            <w:tcW w:w="1260" w:type="dxa"/>
            <w:tcBorders>
              <w:top w:val="single" w:sz="6" w:space="0" w:color="auto"/>
              <w:left w:val="single" w:sz="6" w:space="0" w:color="auto"/>
              <w:bottom w:val="double" w:sz="6" w:space="0" w:color="auto"/>
            </w:tcBorders>
            <w:vAlign w:val="center"/>
          </w:tcPr>
          <w:p w:rsidR="004135B0" w:rsidRPr="005B4FB9" w:rsidRDefault="004135B0" w:rsidP="005B4FB9">
            <w:pPr>
              <w:autoSpaceDE w:val="0"/>
              <w:autoSpaceDN w:val="0"/>
              <w:adjustRightInd w:val="0"/>
              <w:spacing w:before="20" w:after="60"/>
              <w:ind w:left="15"/>
              <w:jc w:val="center"/>
              <w:rPr>
                <w:color w:val="000000"/>
                <w:sz w:val="18"/>
                <w:szCs w:val="18"/>
              </w:rPr>
            </w:pPr>
            <w:r w:rsidRPr="005B4FB9">
              <w:rPr>
                <w:color w:val="000000"/>
                <w:sz w:val="18"/>
                <w:szCs w:val="18"/>
              </w:rPr>
              <w:t>95%</w:t>
            </w:r>
          </w:p>
        </w:tc>
        <w:tc>
          <w:tcPr>
            <w:tcW w:w="1620" w:type="dxa"/>
            <w:tcBorders>
              <w:top w:val="single" w:sz="6" w:space="0" w:color="auto"/>
              <w:left w:val="single" w:sz="6" w:space="0" w:color="auto"/>
              <w:bottom w:val="double" w:sz="6" w:space="0" w:color="auto"/>
            </w:tcBorders>
            <w:vAlign w:val="center"/>
          </w:tcPr>
          <w:p w:rsidR="004135B0" w:rsidRPr="005B4FB9" w:rsidRDefault="004135B0" w:rsidP="005B4FB9">
            <w:pPr>
              <w:autoSpaceDE w:val="0"/>
              <w:autoSpaceDN w:val="0"/>
              <w:adjustRightInd w:val="0"/>
              <w:spacing w:before="20" w:after="60"/>
              <w:ind w:left="15"/>
              <w:jc w:val="center"/>
              <w:rPr>
                <w:color w:val="000000"/>
                <w:sz w:val="18"/>
                <w:szCs w:val="18"/>
              </w:rPr>
            </w:pPr>
            <w:r w:rsidRPr="005B4FB9">
              <w:rPr>
                <w:color w:val="000000"/>
                <w:sz w:val="18"/>
                <w:szCs w:val="18"/>
              </w:rPr>
              <w:t>n/a</w:t>
            </w:r>
          </w:p>
        </w:tc>
        <w:tc>
          <w:tcPr>
            <w:tcW w:w="1763" w:type="dxa"/>
            <w:tcBorders>
              <w:top w:val="single" w:sz="6" w:space="0" w:color="auto"/>
              <w:left w:val="single" w:sz="6" w:space="0" w:color="auto"/>
              <w:bottom w:val="double" w:sz="6" w:space="0" w:color="auto"/>
              <w:right w:val="double" w:sz="6" w:space="0" w:color="auto"/>
            </w:tcBorders>
            <w:vAlign w:val="center"/>
          </w:tcPr>
          <w:p w:rsidR="004135B0" w:rsidRPr="005B4FB9" w:rsidRDefault="004135B0" w:rsidP="005B4FB9">
            <w:pPr>
              <w:autoSpaceDE w:val="0"/>
              <w:autoSpaceDN w:val="0"/>
              <w:adjustRightInd w:val="0"/>
              <w:spacing w:before="20" w:after="60"/>
              <w:jc w:val="center"/>
              <w:rPr>
                <w:color w:val="000000"/>
                <w:sz w:val="18"/>
                <w:szCs w:val="18"/>
              </w:rPr>
            </w:pPr>
            <w:r w:rsidRPr="005B4FB9">
              <w:rPr>
                <w:color w:val="000000"/>
                <w:sz w:val="18"/>
                <w:szCs w:val="18"/>
              </w:rPr>
              <w:t>n/a</w:t>
            </w:r>
          </w:p>
        </w:tc>
      </w:tr>
    </w:tbl>
    <w:p w:rsidR="006034B6" w:rsidRDefault="00513926" w:rsidP="006034B6">
      <w:pPr>
        <w:pStyle w:val="HeadingTwo"/>
      </w:pPr>
      <w:r>
        <w:t>Commissioner’s Guidelines</w:t>
      </w:r>
    </w:p>
    <w:p w:rsidR="00513926" w:rsidRPr="002D6D82" w:rsidRDefault="00513926" w:rsidP="00513926">
      <w:pPr>
        <w:pStyle w:val="BlockText"/>
      </w:pPr>
      <w:r w:rsidRPr="002D6D82">
        <w:t>Co</w:t>
      </w:r>
      <w:r>
        <w:t>mmissioner’s Guideline</w:t>
      </w:r>
      <w:r w:rsidR="00F0503A">
        <w:t xml:space="preserve"> </w:t>
      </w:r>
      <w:hyperlink r:id="rId18" w:tooltip="Web link to CG-GEN-001" w:history="1">
        <w:r w:rsidR="00F0503A" w:rsidRPr="00F0503A">
          <w:rPr>
            <w:rStyle w:val="Hyperlink"/>
          </w:rPr>
          <w:t>CG-GEN-001</w:t>
        </w:r>
      </w:hyperlink>
      <w:r w:rsidRPr="002D6D82">
        <w:t>, which sets out information on the revenue publication system, is incorporated into and is to be read as one with this Guideline.</w:t>
      </w:r>
      <w:r>
        <w:t xml:space="preserve"> </w:t>
      </w:r>
      <w:r w:rsidRPr="00987211">
        <w:t xml:space="preserve">All Circulars and Guidelines are available from </w:t>
      </w:r>
      <w:r w:rsidR="00196C1B">
        <w:t xml:space="preserve">the </w:t>
      </w:r>
      <w:r w:rsidRPr="00987211">
        <w:t>TRO website.</w:t>
      </w:r>
    </w:p>
    <w:p w:rsidR="00F65356" w:rsidRDefault="00F65356" w:rsidP="00F65356">
      <w:pPr>
        <w:pStyle w:val="HeadingTwo"/>
      </w:pPr>
      <w:r>
        <w:t>Date of effect</w:t>
      </w:r>
    </w:p>
    <w:p w:rsidR="00F65356" w:rsidRDefault="00F65356" w:rsidP="0013516F">
      <w:pPr>
        <w:pStyle w:val="BlockText"/>
      </w:pPr>
      <w:r>
        <w:t>This version of the</w:t>
      </w:r>
      <w:r w:rsidR="005B4FB9">
        <w:t xml:space="preserve"> Guideline takes effect from </w:t>
      </w:r>
      <w:r w:rsidR="00F47D34">
        <w:t>24 May 2016</w:t>
      </w:r>
      <w:r w:rsidR="00393FB4">
        <w:t>.</w:t>
      </w:r>
    </w:p>
    <w:p w:rsidR="00364D5F" w:rsidRDefault="00364D5F" w:rsidP="006034B6"/>
    <w:p w:rsidR="005B4FB9" w:rsidRDefault="005D3F62" w:rsidP="006034B6">
      <w:r>
        <w:rPr>
          <w:noProof/>
        </w:rPr>
        <w:drawing>
          <wp:inline distT="0" distB="0" distL="0" distR="0">
            <wp:extent cx="1866900" cy="352425"/>
            <wp:effectExtent l="0" t="0" r="0" b="0"/>
            <wp:docPr id="1" name="Picture 4" descr="Grant Parsons electronic signature4.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rant Parsons electronic signature4.tif"/>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866900" cy="352425"/>
                    </a:xfrm>
                    <a:prstGeom prst="rect">
                      <a:avLst/>
                    </a:prstGeom>
                    <a:noFill/>
                    <a:ln>
                      <a:noFill/>
                    </a:ln>
                  </pic:spPr>
                </pic:pic>
              </a:graphicData>
            </a:graphic>
          </wp:inline>
        </w:drawing>
      </w:r>
    </w:p>
    <w:p w:rsidR="005B4FB9" w:rsidRDefault="005B4FB9" w:rsidP="006034B6"/>
    <w:p w:rsidR="006034B6" w:rsidRDefault="00D32435" w:rsidP="006034B6">
      <w:r>
        <w:t>Grant Parsons</w:t>
      </w:r>
    </w:p>
    <w:p w:rsidR="006034B6" w:rsidRPr="005247E5" w:rsidRDefault="005247E5" w:rsidP="006034B6">
      <w:pPr>
        <w:rPr>
          <w:b/>
        </w:rPr>
      </w:pPr>
      <w:r w:rsidRPr="005247E5">
        <w:rPr>
          <w:b/>
        </w:rPr>
        <w:t>COMMISSIONER OF TERRITORY REVENUE</w:t>
      </w:r>
    </w:p>
    <w:p w:rsidR="006034B6" w:rsidRDefault="006034B6" w:rsidP="006034B6"/>
    <w:p w:rsidR="006034B6" w:rsidRDefault="006034B6" w:rsidP="006034B6">
      <w:r>
        <w:t>Date of Issue:</w:t>
      </w:r>
      <w:r w:rsidR="005B4FB9">
        <w:t xml:space="preserve"> </w:t>
      </w:r>
      <w:r w:rsidR="00F47D34">
        <w:t>24 May 2016</w:t>
      </w:r>
    </w:p>
    <w:p w:rsidR="006034B6" w:rsidRDefault="006034B6" w:rsidP="006034B6"/>
    <w:tbl>
      <w:tblPr>
        <w:tblW w:w="0" w:type="auto"/>
        <w:tblBorders>
          <w:top w:val="single" w:sz="4" w:space="0" w:color="auto"/>
          <w:bottom w:val="single" w:sz="4" w:space="0" w:color="auto"/>
          <w:insideH w:val="single" w:sz="4" w:space="0" w:color="auto"/>
        </w:tblBorders>
        <w:tblCellMar>
          <w:top w:w="62" w:type="dxa"/>
          <w:bottom w:w="62" w:type="dxa"/>
        </w:tblCellMar>
        <w:tblLook w:val="01E0" w:firstRow="1" w:lastRow="1" w:firstColumn="1" w:lastColumn="1" w:noHBand="0" w:noVBand="0"/>
      </w:tblPr>
      <w:tblGrid>
        <w:gridCol w:w="4816"/>
        <w:gridCol w:w="4822"/>
      </w:tblGrid>
      <w:tr w:rsidR="006034B6" w:rsidRPr="001F4BE5" w:rsidTr="001F4BE5">
        <w:tc>
          <w:tcPr>
            <w:tcW w:w="9854" w:type="dxa"/>
            <w:gridSpan w:val="2"/>
            <w:shd w:val="clear" w:color="auto" w:fill="auto"/>
          </w:tcPr>
          <w:p w:rsidR="006034B6" w:rsidRPr="001F4BE5" w:rsidRDefault="006034B6" w:rsidP="006034B6">
            <w:pPr>
              <w:rPr>
                <w:sz w:val="20"/>
              </w:rPr>
            </w:pPr>
            <w:r w:rsidRPr="001F4BE5">
              <w:rPr>
                <w:sz w:val="20"/>
              </w:rPr>
              <w:t>For further information please contact the Territory Revenue Office:</w:t>
            </w:r>
          </w:p>
        </w:tc>
      </w:tr>
      <w:tr w:rsidR="006034B6" w:rsidRPr="001F4BE5" w:rsidTr="001F4BE5">
        <w:tc>
          <w:tcPr>
            <w:tcW w:w="4927" w:type="dxa"/>
            <w:shd w:val="clear" w:color="auto" w:fill="auto"/>
          </w:tcPr>
          <w:p w:rsidR="006034B6" w:rsidRPr="001F4BE5" w:rsidRDefault="006034B6" w:rsidP="006034B6">
            <w:pPr>
              <w:rPr>
                <w:sz w:val="20"/>
              </w:rPr>
            </w:pPr>
            <w:r w:rsidRPr="001F4BE5">
              <w:rPr>
                <w:sz w:val="20"/>
              </w:rPr>
              <w:t xml:space="preserve">GPO </w:t>
            </w:r>
            <w:smartTag w:uri="urn:schemas-microsoft-com:office:smarttags" w:element="address">
              <w:smartTag w:uri="urn:schemas-microsoft-com:office:smarttags" w:element="Street">
                <w:r w:rsidRPr="001F4BE5">
                  <w:rPr>
                    <w:sz w:val="20"/>
                  </w:rPr>
                  <w:t>Box</w:t>
                </w:r>
              </w:smartTag>
              <w:r w:rsidRPr="001F4BE5">
                <w:rPr>
                  <w:sz w:val="20"/>
                </w:rPr>
                <w:t xml:space="preserve"> 154</w:t>
              </w:r>
            </w:smartTag>
          </w:p>
          <w:p w:rsidR="006034B6" w:rsidRPr="001F4BE5" w:rsidRDefault="006034B6" w:rsidP="006034B6">
            <w:pPr>
              <w:rPr>
                <w:sz w:val="20"/>
              </w:rPr>
            </w:pPr>
            <w:smartTag w:uri="urn:schemas-microsoft-com:office:smarttags" w:element="place">
              <w:smartTag w:uri="urn:schemas-microsoft-com:office:smarttags" w:element="City">
                <w:r w:rsidRPr="001F4BE5">
                  <w:rPr>
                    <w:sz w:val="20"/>
                  </w:rPr>
                  <w:t>Darwin</w:t>
                </w:r>
              </w:smartTag>
              <w:r w:rsidRPr="001F4BE5">
                <w:rPr>
                  <w:sz w:val="20"/>
                </w:rPr>
                <w:t xml:space="preserve">  </w:t>
              </w:r>
              <w:smartTag w:uri="urn:schemas-microsoft-com:office:smarttags" w:element="State">
                <w:r w:rsidRPr="001F4BE5">
                  <w:rPr>
                    <w:sz w:val="20"/>
                  </w:rPr>
                  <w:t>NT</w:t>
                </w:r>
              </w:smartTag>
            </w:smartTag>
            <w:r w:rsidRPr="001F4BE5">
              <w:rPr>
                <w:sz w:val="20"/>
              </w:rPr>
              <w:t xml:space="preserve">  0801</w:t>
            </w:r>
          </w:p>
          <w:p w:rsidR="006034B6" w:rsidRPr="001F4BE5" w:rsidRDefault="006034B6" w:rsidP="001F4BE5">
            <w:pPr>
              <w:pStyle w:val="BlockText"/>
              <w:numPr>
                <w:ilvl w:val="0"/>
                <w:numId w:val="0"/>
              </w:numPr>
              <w:rPr>
                <w:sz w:val="20"/>
              </w:rPr>
            </w:pPr>
            <w:r w:rsidRPr="001F4BE5">
              <w:rPr>
                <w:sz w:val="20"/>
              </w:rPr>
              <w:t xml:space="preserve">Email: </w:t>
            </w:r>
            <w:hyperlink r:id="rId20" w:history="1">
              <w:r w:rsidR="004A28F2" w:rsidRPr="004C2AD0">
                <w:rPr>
                  <w:rStyle w:val="Hyperlink"/>
                  <w:sz w:val="20"/>
                </w:rPr>
                <w:t>ntrevenue</w:t>
              </w:r>
              <w:r w:rsidR="004A28F2" w:rsidRPr="00393FB4">
                <w:rPr>
                  <w:rStyle w:val="Hyperlink"/>
                  <w:sz w:val="20"/>
                </w:rPr>
                <w:t>@nt.gov.au</w:t>
              </w:r>
            </w:hyperlink>
          </w:p>
        </w:tc>
        <w:tc>
          <w:tcPr>
            <w:tcW w:w="4927" w:type="dxa"/>
            <w:shd w:val="clear" w:color="auto" w:fill="auto"/>
          </w:tcPr>
          <w:p w:rsidR="006034B6" w:rsidRPr="001F4BE5" w:rsidRDefault="006034B6" w:rsidP="006034B6">
            <w:pPr>
              <w:rPr>
                <w:sz w:val="20"/>
              </w:rPr>
            </w:pPr>
            <w:r w:rsidRPr="001F4BE5">
              <w:rPr>
                <w:sz w:val="20"/>
              </w:rPr>
              <w:t>Phone: 1300 305 353</w:t>
            </w:r>
          </w:p>
          <w:p w:rsidR="006034B6" w:rsidRPr="001F4BE5" w:rsidRDefault="006034B6" w:rsidP="006034B6">
            <w:pPr>
              <w:rPr>
                <w:sz w:val="20"/>
              </w:rPr>
            </w:pPr>
            <w:r w:rsidRPr="001F4BE5">
              <w:rPr>
                <w:sz w:val="20"/>
              </w:rPr>
              <w:t xml:space="preserve">Website: </w:t>
            </w:r>
            <w:hyperlink r:id="rId21" w:tooltip="link to TRO Website" w:history="1">
              <w:r w:rsidRPr="001F4BE5">
                <w:rPr>
                  <w:rStyle w:val="Hyperlink"/>
                  <w:sz w:val="20"/>
                </w:rPr>
                <w:t>www.revenue.nt.gov.au</w:t>
              </w:r>
            </w:hyperlink>
          </w:p>
        </w:tc>
      </w:tr>
    </w:tbl>
    <w:p w:rsidR="006034B6" w:rsidRPr="00364D5F" w:rsidRDefault="006034B6" w:rsidP="00364D5F">
      <w:pPr>
        <w:tabs>
          <w:tab w:val="left" w:pos="3090"/>
        </w:tabs>
      </w:pPr>
    </w:p>
    <w:sectPr w:rsidR="006034B6" w:rsidRPr="00364D5F" w:rsidSect="00F65356">
      <w:headerReference w:type="even" r:id="rId22"/>
      <w:headerReference w:type="default" r:id="rId23"/>
      <w:footerReference w:type="default" r:id="rId24"/>
      <w:headerReference w:type="first" r:id="rId25"/>
      <w:footerReference w:type="first" r:id="rId26"/>
      <w:pgSz w:w="11906" w:h="16838" w:code="9"/>
      <w:pgMar w:top="567" w:right="1134" w:bottom="567"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3D10" w:rsidRDefault="00E23D10">
      <w:r>
        <w:separator/>
      </w:r>
    </w:p>
  </w:endnote>
  <w:endnote w:type="continuationSeparator" w:id="0">
    <w:p w:rsidR="00E23D10" w:rsidRDefault="00E23D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6E46" w:rsidRDefault="00BE6E46" w:rsidP="00364D5F">
    <w:pPr>
      <w:pStyle w:val="Footer"/>
      <w:tabs>
        <w:tab w:val="clear" w:pos="4153"/>
        <w:tab w:val="clear" w:pos="8306"/>
        <w:tab w:val="right" w:pos="9720"/>
      </w:tabs>
      <w:rPr>
        <w:sz w:val="16"/>
        <w:szCs w:val="16"/>
      </w:rPr>
    </w:pPr>
  </w:p>
  <w:p w:rsidR="00BE6E46" w:rsidRPr="00364D5F" w:rsidRDefault="00BE6E46" w:rsidP="00364D5F">
    <w:pPr>
      <w:pStyle w:val="Footer"/>
      <w:tabs>
        <w:tab w:val="clear" w:pos="4153"/>
        <w:tab w:val="clear" w:pos="8306"/>
        <w:tab w:val="right" w:pos="9720"/>
      </w:tabs>
      <w:rPr>
        <w:sz w:val="16"/>
        <w:szCs w:val="16"/>
      </w:rPr>
    </w:pPr>
    <w:r w:rsidRPr="006034B6">
      <w:rPr>
        <w:sz w:val="16"/>
        <w:szCs w:val="16"/>
      </w:rPr>
      <w:t xml:space="preserve">Page </w:t>
    </w:r>
    <w:r w:rsidRPr="006034B6">
      <w:rPr>
        <w:sz w:val="16"/>
        <w:szCs w:val="16"/>
      </w:rPr>
      <w:fldChar w:fldCharType="begin"/>
    </w:r>
    <w:r w:rsidRPr="006034B6">
      <w:rPr>
        <w:sz w:val="16"/>
        <w:szCs w:val="16"/>
      </w:rPr>
      <w:instrText xml:space="preserve"> PAGE </w:instrText>
    </w:r>
    <w:r w:rsidRPr="006034B6">
      <w:rPr>
        <w:sz w:val="16"/>
        <w:szCs w:val="16"/>
      </w:rPr>
      <w:fldChar w:fldCharType="separate"/>
    </w:r>
    <w:r w:rsidR="007A6857">
      <w:rPr>
        <w:noProof/>
        <w:sz w:val="16"/>
        <w:szCs w:val="16"/>
      </w:rPr>
      <w:t>2</w:t>
    </w:r>
    <w:r w:rsidRPr="006034B6">
      <w:rPr>
        <w:sz w:val="16"/>
        <w:szCs w:val="16"/>
      </w:rPr>
      <w:fldChar w:fldCharType="end"/>
    </w:r>
    <w:r w:rsidRPr="006034B6">
      <w:rPr>
        <w:sz w:val="16"/>
        <w:szCs w:val="16"/>
      </w:rPr>
      <w:t xml:space="preserve"> of </w:t>
    </w:r>
    <w:r w:rsidRPr="006034B6">
      <w:rPr>
        <w:sz w:val="16"/>
        <w:szCs w:val="16"/>
      </w:rPr>
      <w:fldChar w:fldCharType="begin"/>
    </w:r>
    <w:r w:rsidRPr="006034B6">
      <w:rPr>
        <w:sz w:val="16"/>
        <w:szCs w:val="16"/>
      </w:rPr>
      <w:instrText xml:space="preserve"> NUMPAGES </w:instrText>
    </w:r>
    <w:r w:rsidRPr="006034B6">
      <w:rPr>
        <w:sz w:val="16"/>
        <w:szCs w:val="16"/>
      </w:rPr>
      <w:fldChar w:fldCharType="separate"/>
    </w:r>
    <w:r w:rsidR="007A6857">
      <w:rPr>
        <w:noProof/>
        <w:sz w:val="16"/>
        <w:szCs w:val="16"/>
      </w:rPr>
      <w:t>10</w:t>
    </w:r>
    <w:r w:rsidRPr="006034B6">
      <w:rPr>
        <w:sz w:val="16"/>
        <w:szCs w:val="16"/>
      </w:rPr>
      <w:fldChar w:fldCharType="end"/>
    </w:r>
    <w:r>
      <w:rPr>
        <w:sz w:val="16"/>
        <w:szCs w:val="16"/>
      </w:rPr>
      <w:tab/>
      <w:t>CG-GEN-002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6E46" w:rsidRDefault="00BE6E46" w:rsidP="00364D5F">
    <w:pPr>
      <w:pStyle w:val="Footer"/>
      <w:tabs>
        <w:tab w:val="clear" w:pos="4153"/>
        <w:tab w:val="clear" w:pos="8306"/>
        <w:tab w:val="right" w:pos="9720"/>
      </w:tabs>
      <w:rPr>
        <w:sz w:val="16"/>
        <w:szCs w:val="16"/>
      </w:rPr>
    </w:pPr>
  </w:p>
  <w:p w:rsidR="00BE6E46" w:rsidRPr="006034B6" w:rsidRDefault="00BE6E46" w:rsidP="00364D5F">
    <w:pPr>
      <w:pStyle w:val="Footer"/>
      <w:tabs>
        <w:tab w:val="clear" w:pos="4153"/>
        <w:tab w:val="clear" w:pos="8306"/>
        <w:tab w:val="right" w:pos="9720"/>
      </w:tabs>
      <w:rPr>
        <w:sz w:val="16"/>
        <w:szCs w:val="16"/>
      </w:rPr>
    </w:pPr>
    <w:r w:rsidRPr="006034B6">
      <w:rPr>
        <w:sz w:val="16"/>
        <w:szCs w:val="16"/>
      </w:rPr>
      <w:t xml:space="preserve">Page </w:t>
    </w:r>
    <w:r w:rsidRPr="006034B6">
      <w:rPr>
        <w:sz w:val="16"/>
        <w:szCs w:val="16"/>
      </w:rPr>
      <w:fldChar w:fldCharType="begin"/>
    </w:r>
    <w:r w:rsidRPr="006034B6">
      <w:rPr>
        <w:sz w:val="16"/>
        <w:szCs w:val="16"/>
      </w:rPr>
      <w:instrText xml:space="preserve"> PAGE </w:instrText>
    </w:r>
    <w:r w:rsidRPr="006034B6">
      <w:rPr>
        <w:sz w:val="16"/>
        <w:szCs w:val="16"/>
      </w:rPr>
      <w:fldChar w:fldCharType="separate"/>
    </w:r>
    <w:r w:rsidR="007A6857">
      <w:rPr>
        <w:noProof/>
        <w:sz w:val="16"/>
        <w:szCs w:val="16"/>
      </w:rPr>
      <w:t>1</w:t>
    </w:r>
    <w:r w:rsidRPr="006034B6">
      <w:rPr>
        <w:sz w:val="16"/>
        <w:szCs w:val="16"/>
      </w:rPr>
      <w:fldChar w:fldCharType="end"/>
    </w:r>
    <w:r w:rsidRPr="006034B6">
      <w:rPr>
        <w:sz w:val="16"/>
        <w:szCs w:val="16"/>
      </w:rPr>
      <w:t xml:space="preserve"> of </w:t>
    </w:r>
    <w:r w:rsidRPr="006034B6">
      <w:rPr>
        <w:sz w:val="16"/>
        <w:szCs w:val="16"/>
      </w:rPr>
      <w:fldChar w:fldCharType="begin"/>
    </w:r>
    <w:r w:rsidRPr="006034B6">
      <w:rPr>
        <w:sz w:val="16"/>
        <w:szCs w:val="16"/>
      </w:rPr>
      <w:instrText xml:space="preserve"> NUMPAGES </w:instrText>
    </w:r>
    <w:r w:rsidRPr="006034B6">
      <w:rPr>
        <w:sz w:val="16"/>
        <w:szCs w:val="16"/>
      </w:rPr>
      <w:fldChar w:fldCharType="separate"/>
    </w:r>
    <w:r w:rsidR="007A6857">
      <w:rPr>
        <w:noProof/>
        <w:sz w:val="16"/>
        <w:szCs w:val="16"/>
      </w:rPr>
      <w:t>10</w:t>
    </w:r>
    <w:r w:rsidRPr="006034B6">
      <w:rPr>
        <w:sz w:val="16"/>
        <w:szCs w:val="16"/>
      </w:rPr>
      <w:fldChar w:fldCharType="end"/>
    </w:r>
    <w:r>
      <w:rPr>
        <w:sz w:val="16"/>
        <w:szCs w:val="16"/>
      </w:rPr>
      <w:tab/>
      <w:t>CG-GEN-002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3D10" w:rsidRDefault="00E23D10">
      <w:r>
        <w:separator/>
      </w:r>
    </w:p>
  </w:footnote>
  <w:footnote w:type="continuationSeparator" w:id="0">
    <w:p w:rsidR="00E23D10" w:rsidRDefault="00E23D10">
      <w:r>
        <w:continuationSeparator/>
      </w:r>
    </w:p>
  </w:footnote>
  <w:footnote w:id="1">
    <w:p w:rsidR="00BE6E46" w:rsidRPr="00E21B28" w:rsidRDefault="00BE6E46" w:rsidP="004135B0">
      <w:pPr>
        <w:pStyle w:val="FootnoteText"/>
        <w:rPr>
          <w:rFonts w:ascii="Arial" w:hAnsi="Arial" w:cs="Arial"/>
          <w:sz w:val="18"/>
          <w:szCs w:val="18"/>
        </w:rPr>
      </w:pPr>
      <w:r w:rsidRPr="00E21B28">
        <w:rPr>
          <w:rStyle w:val="FootnoteReference"/>
          <w:rFonts w:ascii="Arial" w:hAnsi="Arial" w:cs="Arial"/>
          <w:sz w:val="18"/>
          <w:szCs w:val="18"/>
        </w:rPr>
        <w:footnoteRef/>
      </w:r>
      <w:r w:rsidRPr="00E21B28">
        <w:rPr>
          <w:rFonts w:ascii="Arial" w:hAnsi="Arial" w:cs="Arial"/>
          <w:sz w:val="18"/>
          <w:szCs w:val="18"/>
        </w:rPr>
        <w:t xml:space="preserve"> Section 34(1) and 39(1) of the TAA.</w:t>
      </w:r>
    </w:p>
  </w:footnote>
  <w:footnote w:id="2">
    <w:p w:rsidR="00BE6E46" w:rsidRPr="00E21B28" w:rsidRDefault="00BE6E46" w:rsidP="004135B0">
      <w:pPr>
        <w:pStyle w:val="FootnoteText"/>
        <w:jc w:val="both"/>
        <w:rPr>
          <w:rFonts w:ascii="Arial" w:hAnsi="Arial" w:cs="Arial"/>
          <w:sz w:val="18"/>
          <w:szCs w:val="18"/>
        </w:rPr>
      </w:pPr>
      <w:r w:rsidRPr="00E21B28">
        <w:rPr>
          <w:rStyle w:val="FootnoteReference"/>
          <w:rFonts w:ascii="Arial" w:hAnsi="Arial" w:cs="Arial"/>
          <w:sz w:val="18"/>
          <w:szCs w:val="18"/>
        </w:rPr>
        <w:footnoteRef/>
      </w:r>
      <w:r w:rsidRPr="00E21B28">
        <w:rPr>
          <w:rFonts w:ascii="Arial" w:hAnsi="Arial" w:cs="Arial"/>
          <w:sz w:val="18"/>
          <w:szCs w:val="18"/>
        </w:rPr>
        <w:t xml:space="preserve"> See section 3(1) (</w:t>
      </w:r>
      <w:r>
        <w:rPr>
          <w:rFonts w:ascii="Arial" w:hAnsi="Arial" w:cs="Arial"/>
          <w:sz w:val="18"/>
          <w:szCs w:val="18"/>
        </w:rPr>
        <w:t>‘</w:t>
      </w:r>
      <w:r w:rsidRPr="00E21B28">
        <w:rPr>
          <w:rFonts w:ascii="Arial" w:hAnsi="Arial" w:cs="Arial"/>
          <w:sz w:val="18"/>
          <w:szCs w:val="18"/>
        </w:rPr>
        <w:t>taxation law</w:t>
      </w:r>
      <w:r>
        <w:rPr>
          <w:rFonts w:ascii="Arial" w:hAnsi="Arial" w:cs="Arial"/>
          <w:sz w:val="18"/>
          <w:szCs w:val="18"/>
        </w:rPr>
        <w:t>’</w:t>
      </w:r>
      <w:r w:rsidRPr="00E21B28">
        <w:rPr>
          <w:rFonts w:ascii="Arial" w:hAnsi="Arial" w:cs="Arial"/>
          <w:sz w:val="18"/>
          <w:szCs w:val="18"/>
        </w:rPr>
        <w:t>) of the TAA.</w:t>
      </w:r>
    </w:p>
  </w:footnote>
  <w:footnote w:id="3">
    <w:p w:rsidR="00BE6E46" w:rsidRPr="00E21B28" w:rsidRDefault="00BE6E46" w:rsidP="004135B0">
      <w:pPr>
        <w:pStyle w:val="FootnoteText"/>
        <w:rPr>
          <w:rFonts w:ascii="Arial" w:hAnsi="Arial" w:cs="Arial"/>
          <w:sz w:val="18"/>
          <w:szCs w:val="18"/>
        </w:rPr>
      </w:pPr>
      <w:r w:rsidRPr="00E21B28">
        <w:rPr>
          <w:rStyle w:val="FootnoteReference"/>
          <w:rFonts w:ascii="Arial" w:hAnsi="Arial" w:cs="Arial"/>
          <w:sz w:val="18"/>
          <w:szCs w:val="18"/>
        </w:rPr>
        <w:footnoteRef/>
      </w:r>
      <w:r w:rsidRPr="00E21B28">
        <w:rPr>
          <w:rFonts w:ascii="Arial" w:hAnsi="Arial" w:cs="Arial"/>
          <w:sz w:val="18"/>
          <w:szCs w:val="18"/>
        </w:rPr>
        <w:t xml:space="preserve"> Section 3(1) (</w:t>
      </w:r>
      <w:r>
        <w:rPr>
          <w:rFonts w:ascii="Arial" w:hAnsi="Arial" w:cs="Arial"/>
          <w:sz w:val="18"/>
          <w:szCs w:val="18"/>
        </w:rPr>
        <w:t>‘</w:t>
      </w:r>
      <w:r w:rsidRPr="00E21B28">
        <w:rPr>
          <w:rFonts w:ascii="Arial" w:hAnsi="Arial" w:cs="Arial"/>
          <w:sz w:val="18"/>
          <w:szCs w:val="18"/>
        </w:rPr>
        <w:t>tax</w:t>
      </w:r>
      <w:r>
        <w:rPr>
          <w:rFonts w:ascii="Arial" w:hAnsi="Arial" w:cs="Arial"/>
          <w:sz w:val="18"/>
          <w:szCs w:val="18"/>
        </w:rPr>
        <w:t>’</w:t>
      </w:r>
      <w:r w:rsidRPr="00E21B28">
        <w:rPr>
          <w:rFonts w:ascii="Arial" w:hAnsi="Arial" w:cs="Arial"/>
          <w:sz w:val="18"/>
          <w:szCs w:val="18"/>
        </w:rPr>
        <w:t>) of the TAA.</w:t>
      </w:r>
    </w:p>
  </w:footnote>
  <w:footnote w:id="4">
    <w:p w:rsidR="00BE6E46" w:rsidRPr="00E21B28" w:rsidRDefault="00BE6E46" w:rsidP="004135B0">
      <w:pPr>
        <w:pStyle w:val="FootnoteText"/>
        <w:jc w:val="both"/>
        <w:rPr>
          <w:rFonts w:ascii="Arial" w:hAnsi="Arial" w:cs="Arial"/>
          <w:sz w:val="18"/>
          <w:szCs w:val="18"/>
        </w:rPr>
      </w:pPr>
      <w:r w:rsidRPr="00E21B28">
        <w:rPr>
          <w:rStyle w:val="FootnoteReference"/>
          <w:rFonts w:ascii="Arial" w:hAnsi="Arial" w:cs="Arial"/>
          <w:sz w:val="18"/>
          <w:szCs w:val="18"/>
        </w:rPr>
        <w:footnoteRef/>
      </w:r>
      <w:r w:rsidRPr="00E21B28">
        <w:rPr>
          <w:rFonts w:ascii="Arial" w:hAnsi="Arial" w:cs="Arial"/>
          <w:sz w:val="18"/>
          <w:szCs w:val="18"/>
        </w:rPr>
        <w:t xml:space="preserve"> See Commissioner’s Guideline </w:t>
      </w:r>
      <w:hyperlink r:id="rId1" w:tooltip="Web link to CG-SD-010" w:history="1">
        <w:r w:rsidRPr="006012C7">
          <w:rPr>
            <w:rStyle w:val="Hyperlink"/>
            <w:rFonts w:ascii="Arial" w:hAnsi="Arial" w:cs="Arial"/>
            <w:sz w:val="18"/>
            <w:szCs w:val="18"/>
          </w:rPr>
          <w:t>CG-SD-010:</w:t>
        </w:r>
      </w:hyperlink>
      <w:r w:rsidRPr="00E21B28">
        <w:rPr>
          <w:rFonts w:ascii="Arial" w:hAnsi="Arial" w:cs="Arial"/>
          <w:sz w:val="18"/>
          <w:szCs w:val="18"/>
        </w:rPr>
        <w:t xml:space="preserve"> </w:t>
      </w:r>
      <w:r w:rsidRPr="00E21B28">
        <w:rPr>
          <w:rFonts w:ascii="Arial" w:hAnsi="Arial" w:cs="Arial"/>
          <w:i/>
          <w:sz w:val="18"/>
          <w:szCs w:val="18"/>
        </w:rPr>
        <w:t>Tax assessments requiring evidence of value</w:t>
      </w:r>
      <w:r w:rsidRPr="00E21B28">
        <w:rPr>
          <w:rFonts w:ascii="Arial" w:hAnsi="Arial" w:cs="Arial"/>
          <w:sz w:val="18"/>
          <w:szCs w:val="18"/>
        </w:rPr>
        <w:t xml:space="preserve"> for further information on the recovery of valuation costs.</w:t>
      </w:r>
    </w:p>
  </w:footnote>
  <w:footnote w:id="5">
    <w:p w:rsidR="00BE6E46" w:rsidRPr="00E21B28" w:rsidRDefault="00BE6E46" w:rsidP="004135B0">
      <w:pPr>
        <w:pStyle w:val="FootnoteText"/>
        <w:rPr>
          <w:rFonts w:ascii="Arial" w:hAnsi="Arial" w:cs="Arial"/>
          <w:sz w:val="18"/>
          <w:szCs w:val="18"/>
        </w:rPr>
      </w:pPr>
      <w:r w:rsidRPr="00E21B28">
        <w:rPr>
          <w:rStyle w:val="FootnoteReference"/>
          <w:rFonts w:ascii="Arial" w:hAnsi="Arial" w:cs="Arial"/>
          <w:sz w:val="18"/>
          <w:szCs w:val="18"/>
        </w:rPr>
        <w:footnoteRef/>
      </w:r>
      <w:r w:rsidRPr="00E21B28">
        <w:rPr>
          <w:rFonts w:ascii="Arial" w:hAnsi="Arial" w:cs="Arial"/>
          <w:sz w:val="18"/>
          <w:szCs w:val="18"/>
        </w:rPr>
        <w:t xml:space="preserve"> Section 34(2) of the TAA.</w:t>
      </w:r>
    </w:p>
  </w:footnote>
  <w:footnote w:id="6">
    <w:p w:rsidR="00BE6E46" w:rsidRPr="00E21B28" w:rsidRDefault="00BE6E46" w:rsidP="004135B0">
      <w:pPr>
        <w:pStyle w:val="FootnoteText"/>
        <w:jc w:val="both"/>
        <w:rPr>
          <w:rFonts w:ascii="Arial" w:hAnsi="Arial" w:cs="Arial"/>
          <w:sz w:val="18"/>
          <w:szCs w:val="18"/>
        </w:rPr>
      </w:pPr>
      <w:r w:rsidRPr="00E21B28">
        <w:rPr>
          <w:rStyle w:val="FootnoteReference"/>
          <w:rFonts w:ascii="Arial" w:hAnsi="Arial" w:cs="Arial"/>
          <w:sz w:val="18"/>
          <w:szCs w:val="18"/>
        </w:rPr>
        <w:footnoteRef/>
      </w:r>
      <w:r w:rsidRPr="00E21B28">
        <w:rPr>
          <w:rFonts w:ascii="Arial" w:hAnsi="Arial" w:cs="Arial"/>
          <w:sz w:val="18"/>
          <w:szCs w:val="18"/>
        </w:rPr>
        <w:t xml:space="preserve"> Section 35 of the TAA. </w:t>
      </w:r>
      <w:r>
        <w:rPr>
          <w:rFonts w:ascii="Arial" w:hAnsi="Arial" w:cs="Arial"/>
          <w:sz w:val="18"/>
          <w:szCs w:val="18"/>
        </w:rPr>
        <w:t>For the financial year ending</w:t>
      </w:r>
      <w:r w:rsidRPr="00E21B28">
        <w:rPr>
          <w:rFonts w:ascii="Arial" w:hAnsi="Arial" w:cs="Arial"/>
          <w:sz w:val="18"/>
          <w:szCs w:val="18"/>
        </w:rPr>
        <w:t xml:space="preserve"> 30 June 2008</w:t>
      </w:r>
      <w:r>
        <w:rPr>
          <w:rFonts w:ascii="Arial" w:hAnsi="Arial" w:cs="Arial"/>
          <w:sz w:val="18"/>
          <w:szCs w:val="18"/>
        </w:rPr>
        <w:t xml:space="preserve"> and previous financial years,</w:t>
      </w:r>
      <w:r w:rsidRPr="00E21B28">
        <w:rPr>
          <w:rFonts w:ascii="Arial" w:hAnsi="Arial" w:cs="Arial"/>
          <w:sz w:val="18"/>
          <w:szCs w:val="18"/>
        </w:rPr>
        <w:t xml:space="preserve"> the premium interest rate is 7 per cent per annum.</w:t>
      </w:r>
    </w:p>
  </w:footnote>
  <w:footnote w:id="7">
    <w:p w:rsidR="00BE6E46" w:rsidRPr="00E21B28" w:rsidRDefault="00BE6E46" w:rsidP="004135B0">
      <w:pPr>
        <w:pStyle w:val="FootnoteText"/>
        <w:rPr>
          <w:rFonts w:ascii="Arial" w:hAnsi="Arial" w:cs="Arial"/>
          <w:sz w:val="18"/>
          <w:szCs w:val="18"/>
        </w:rPr>
      </w:pPr>
      <w:r w:rsidRPr="00E21B28">
        <w:rPr>
          <w:rStyle w:val="FootnoteReference"/>
          <w:rFonts w:ascii="Arial" w:hAnsi="Arial" w:cs="Arial"/>
          <w:sz w:val="18"/>
          <w:szCs w:val="18"/>
        </w:rPr>
        <w:footnoteRef/>
      </w:r>
      <w:r w:rsidRPr="00E21B28">
        <w:rPr>
          <w:rFonts w:ascii="Arial" w:hAnsi="Arial" w:cs="Arial"/>
          <w:sz w:val="18"/>
          <w:szCs w:val="18"/>
        </w:rPr>
        <w:t xml:space="preserve"> Section 34(3) of the TAA.</w:t>
      </w:r>
    </w:p>
  </w:footnote>
  <w:footnote w:id="8">
    <w:p w:rsidR="00BE6E46" w:rsidRPr="00E21B28" w:rsidRDefault="00BE6E46" w:rsidP="004135B0">
      <w:pPr>
        <w:pStyle w:val="FootnoteText"/>
        <w:rPr>
          <w:rFonts w:ascii="Arial" w:hAnsi="Arial" w:cs="Arial"/>
          <w:sz w:val="18"/>
          <w:szCs w:val="18"/>
        </w:rPr>
      </w:pPr>
      <w:r w:rsidRPr="00E21B28">
        <w:rPr>
          <w:rStyle w:val="FootnoteReference"/>
          <w:rFonts w:ascii="Arial" w:hAnsi="Arial" w:cs="Arial"/>
          <w:sz w:val="18"/>
          <w:szCs w:val="18"/>
        </w:rPr>
        <w:footnoteRef/>
      </w:r>
      <w:r w:rsidRPr="00E21B28">
        <w:rPr>
          <w:rFonts w:ascii="Arial" w:hAnsi="Arial" w:cs="Arial"/>
          <w:sz w:val="18"/>
          <w:szCs w:val="18"/>
        </w:rPr>
        <w:t xml:space="preserve"> Section 36 of the TAA.</w:t>
      </w:r>
    </w:p>
  </w:footnote>
  <w:footnote w:id="9">
    <w:p w:rsidR="00BE6E46" w:rsidRPr="00E21B28" w:rsidRDefault="00BE6E46" w:rsidP="004135B0">
      <w:pPr>
        <w:pStyle w:val="FootnoteText"/>
        <w:rPr>
          <w:rFonts w:ascii="Arial" w:hAnsi="Arial" w:cs="Arial"/>
          <w:sz w:val="18"/>
          <w:szCs w:val="18"/>
        </w:rPr>
      </w:pPr>
      <w:r w:rsidRPr="00E21B28">
        <w:rPr>
          <w:rStyle w:val="FootnoteReference"/>
          <w:rFonts w:ascii="Arial" w:hAnsi="Arial" w:cs="Arial"/>
          <w:sz w:val="18"/>
          <w:szCs w:val="18"/>
        </w:rPr>
        <w:footnoteRef/>
      </w:r>
      <w:r w:rsidRPr="00E21B28">
        <w:rPr>
          <w:rFonts w:ascii="Arial" w:hAnsi="Arial" w:cs="Arial"/>
          <w:sz w:val="18"/>
          <w:szCs w:val="18"/>
        </w:rPr>
        <w:t xml:space="preserve"> Section 38(1) of the TAA.</w:t>
      </w:r>
    </w:p>
  </w:footnote>
  <w:footnote w:id="10">
    <w:p w:rsidR="00BE6E46" w:rsidRPr="00E21B28" w:rsidRDefault="00BE6E46" w:rsidP="004135B0">
      <w:pPr>
        <w:pStyle w:val="FootnoteText"/>
        <w:rPr>
          <w:rFonts w:ascii="Arial" w:hAnsi="Arial" w:cs="Arial"/>
          <w:sz w:val="18"/>
          <w:szCs w:val="18"/>
        </w:rPr>
      </w:pPr>
      <w:r w:rsidRPr="00E21B28">
        <w:rPr>
          <w:rStyle w:val="FootnoteReference"/>
          <w:rFonts w:ascii="Arial" w:hAnsi="Arial" w:cs="Arial"/>
          <w:sz w:val="18"/>
          <w:szCs w:val="18"/>
        </w:rPr>
        <w:footnoteRef/>
      </w:r>
      <w:r w:rsidRPr="00E21B28">
        <w:rPr>
          <w:rFonts w:ascii="Arial" w:hAnsi="Arial" w:cs="Arial"/>
          <w:sz w:val="18"/>
          <w:szCs w:val="18"/>
        </w:rPr>
        <w:t xml:space="preserve"> Section 38(2) of the TAA.</w:t>
      </w:r>
    </w:p>
  </w:footnote>
  <w:footnote w:id="11">
    <w:p w:rsidR="00BE6E46" w:rsidRPr="00E21B28" w:rsidRDefault="00BE6E46" w:rsidP="004135B0">
      <w:pPr>
        <w:pStyle w:val="FootnoteText"/>
        <w:rPr>
          <w:rFonts w:ascii="Arial" w:hAnsi="Arial" w:cs="Arial"/>
          <w:sz w:val="18"/>
          <w:szCs w:val="18"/>
        </w:rPr>
      </w:pPr>
      <w:r w:rsidRPr="00E21B28">
        <w:rPr>
          <w:rStyle w:val="FootnoteReference"/>
          <w:rFonts w:ascii="Arial" w:hAnsi="Arial" w:cs="Arial"/>
          <w:sz w:val="18"/>
          <w:szCs w:val="18"/>
        </w:rPr>
        <w:footnoteRef/>
      </w:r>
      <w:r w:rsidRPr="00E21B28">
        <w:rPr>
          <w:rFonts w:ascii="Arial" w:hAnsi="Arial" w:cs="Arial"/>
          <w:sz w:val="18"/>
          <w:szCs w:val="18"/>
        </w:rPr>
        <w:t xml:space="preserve"> Section 37 of the TAA.</w:t>
      </w:r>
    </w:p>
  </w:footnote>
  <w:footnote w:id="12">
    <w:p w:rsidR="00BE6E46" w:rsidRPr="00E21B28" w:rsidRDefault="00BE6E46" w:rsidP="004135B0">
      <w:pPr>
        <w:pStyle w:val="FootnoteText"/>
        <w:rPr>
          <w:rFonts w:ascii="Arial" w:hAnsi="Arial" w:cs="Arial"/>
          <w:sz w:val="18"/>
          <w:szCs w:val="18"/>
        </w:rPr>
      </w:pPr>
      <w:r w:rsidRPr="00E21B28">
        <w:rPr>
          <w:rStyle w:val="FootnoteReference"/>
          <w:rFonts w:ascii="Arial" w:hAnsi="Arial" w:cs="Arial"/>
          <w:sz w:val="18"/>
          <w:szCs w:val="18"/>
        </w:rPr>
        <w:footnoteRef/>
      </w:r>
      <w:r w:rsidRPr="00E21B28">
        <w:rPr>
          <w:rFonts w:ascii="Arial" w:hAnsi="Arial" w:cs="Arial"/>
          <w:sz w:val="18"/>
          <w:szCs w:val="18"/>
        </w:rPr>
        <w:t xml:space="preserve"> Section 39(1) of the TAA.</w:t>
      </w:r>
    </w:p>
  </w:footnote>
  <w:footnote w:id="13">
    <w:p w:rsidR="00BE6E46" w:rsidRPr="00E21B28" w:rsidRDefault="00BE6E46" w:rsidP="004135B0">
      <w:pPr>
        <w:pStyle w:val="FootnoteText"/>
        <w:rPr>
          <w:rFonts w:ascii="Arial" w:hAnsi="Arial" w:cs="Arial"/>
          <w:sz w:val="18"/>
          <w:szCs w:val="18"/>
        </w:rPr>
      </w:pPr>
      <w:r w:rsidRPr="00E21B28">
        <w:rPr>
          <w:rStyle w:val="FootnoteReference"/>
          <w:rFonts w:ascii="Arial" w:hAnsi="Arial" w:cs="Arial"/>
          <w:sz w:val="18"/>
          <w:szCs w:val="18"/>
        </w:rPr>
        <w:footnoteRef/>
      </w:r>
      <w:r w:rsidRPr="00E21B28">
        <w:rPr>
          <w:rFonts w:ascii="Arial" w:hAnsi="Arial" w:cs="Arial"/>
          <w:sz w:val="18"/>
          <w:szCs w:val="18"/>
        </w:rPr>
        <w:t xml:space="preserve"> Section 41(2)(a) of the TAA.</w:t>
      </w:r>
    </w:p>
  </w:footnote>
  <w:footnote w:id="14">
    <w:p w:rsidR="00BE6E46" w:rsidRPr="00E21B28" w:rsidRDefault="00BE6E46" w:rsidP="004135B0">
      <w:pPr>
        <w:pStyle w:val="FootnoteText"/>
        <w:rPr>
          <w:rFonts w:ascii="Arial" w:hAnsi="Arial" w:cs="Arial"/>
          <w:sz w:val="18"/>
          <w:szCs w:val="18"/>
        </w:rPr>
      </w:pPr>
      <w:r w:rsidRPr="00E21B28">
        <w:rPr>
          <w:rStyle w:val="FootnoteReference"/>
          <w:rFonts w:ascii="Arial" w:hAnsi="Arial" w:cs="Arial"/>
          <w:sz w:val="18"/>
          <w:szCs w:val="18"/>
        </w:rPr>
        <w:footnoteRef/>
      </w:r>
      <w:r w:rsidRPr="00E21B28">
        <w:rPr>
          <w:rFonts w:ascii="Arial" w:hAnsi="Arial" w:cs="Arial"/>
          <w:sz w:val="18"/>
          <w:szCs w:val="18"/>
        </w:rPr>
        <w:t xml:space="preserve"> Section 41(2)(b) of the TAA.</w:t>
      </w:r>
    </w:p>
  </w:footnote>
  <w:footnote w:id="15">
    <w:p w:rsidR="00BE6E46" w:rsidRPr="00E21B28" w:rsidRDefault="00BE6E46" w:rsidP="004135B0">
      <w:pPr>
        <w:pStyle w:val="FootnoteText"/>
        <w:rPr>
          <w:rFonts w:ascii="Arial" w:hAnsi="Arial" w:cs="Arial"/>
          <w:sz w:val="18"/>
          <w:szCs w:val="18"/>
        </w:rPr>
      </w:pPr>
      <w:r w:rsidRPr="00E21B28">
        <w:rPr>
          <w:rStyle w:val="FootnoteReference"/>
          <w:rFonts w:ascii="Arial" w:hAnsi="Arial" w:cs="Arial"/>
          <w:sz w:val="18"/>
          <w:szCs w:val="18"/>
        </w:rPr>
        <w:footnoteRef/>
      </w:r>
      <w:r w:rsidRPr="00E21B28">
        <w:rPr>
          <w:rFonts w:ascii="Arial" w:hAnsi="Arial" w:cs="Arial"/>
          <w:sz w:val="18"/>
          <w:szCs w:val="18"/>
        </w:rPr>
        <w:t xml:space="preserve"> Section 41(2)(c) of the TAA.</w:t>
      </w:r>
    </w:p>
  </w:footnote>
  <w:footnote w:id="16">
    <w:p w:rsidR="00BE6E46" w:rsidRPr="00E21B28" w:rsidRDefault="00BE6E46" w:rsidP="004135B0">
      <w:pPr>
        <w:pStyle w:val="FootnoteText"/>
        <w:rPr>
          <w:rFonts w:ascii="Arial" w:hAnsi="Arial" w:cs="Arial"/>
          <w:sz w:val="18"/>
          <w:szCs w:val="18"/>
        </w:rPr>
      </w:pPr>
      <w:r w:rsidRPr="00E21B28">
        <w:rPr>
          <w:rStyle w:val="FootnoteReference"/>
          <w:rFonts w:ascii="Arial" w:hAnsi="Arial" w:cs="Arial"/>
          <w:sz w:val="18"/>
          <w:szCs w:val="18"/>
        </w:rPr>
        <w:footnoteRef/>
      </w:r>
      <w:r w:rsidRPr="00E21B28">
        <w:rPr>
          <w:rFonts w:ascii="Arial" w:hAnsi="Arial" w:cs="Arial"/>
          <w:sz w:val="18"/>
          <w:szCs w:val="18"/>
        </w:rPr>
        <w:t xml:space="preserve"> Section 41(2)(c) of the TAA.</w:t>
      </w:r>
    </w:p>
  </w:footnote>
  <w:footnote w:id="17">
    <w:p w:rsidR="00BE6E46" w:rsidRPr="00693FA7" w:rsidRDefault="00BE6E46" w:rsidP="004135B0">
      <w:pPr>
        <w:pStyle w:val="FootnoteText"/>
        <w:rPr>
          <w:sz w:val="18"/>
          <w:szCs w:val="18"/>
        </w:rPr>
      </w:pPr>
      <w:r w:rsidRPr="00693FA7">
        <w:rPr>
          <w:rStyle w:val="FootnoteReference"/>
          <w:rFonts w:ascii="Arial" w:hAnsi="Arial" w:cs="Arial"/>
          <w:sz w:val="18"/>
          <w:szCs w:val="18"/>
        </w:rPr>
        <w:footnoteRef/>
      </w:r>
      <w:r w:rsidRPr="00693FA7">
        <w:rPr>
          <w:sz w:val="18"/>
          <w:szCs w:val="18"/>
        </w:rPr>
        <w:t xml:space="preserve"> </w:t>
      </w:r>
      <w:r w:rsidRPr="00693FA7">
        <w:rPr>
          <w:rFonts w:ascii="Arial" w:hAnsi="Arial" w:cs="Arial"/>
          <w:sz w:val="18"/>
          <w:szCs w:val="18"/>
        </w:rPr>
        <w:t>Section 44 of the TAA.</w:t>
      </w:r>
    </w:p>
  </w:footnote>
  <w:footnote w:id="18">
    <w:p w:rsidR="00BE6E46" w:rsidRPr="00E21B28" w:rsidRDefault="00BE6E46" w:rsidP="004135B0">
      <w:pPr>
        <w:pStyle w:val="FootnoteText"/>
        <w:rPr>
          <w:rFonts w:ascii="Arial" w:hAnsi="Arial" w:cs="Arial"/>
          <w:sz w:val="18"/>
          <w:szCs w:val="18"/>
        </w:rPr>
      </w:pPr>
      <w:r w:rsidRPr="00E21B28">
        <w:rPr>
          <w:rStyle w:val="FootnoteReference"/>
          <w:rFonts w:ascii="Arial" w:hAnsi="Arial" w:cs="Arial"/>
          <w:sz w:val="18"/>
          <w:szCs w:val="18"/>
        </w:rPr>
        <w:footnoteRef/>
      </w:r>
      <w:r w:rsidRPr="00E21B28">
        <w:rPr>
          <w:rFonts w:ascii="Arial" w:hAnsi="Arial" w:cs="Arial"/>
          <w:sz w:val="18"/>
          <w:szCs w:val="18"/>
        </w:rPr>
        <w:t xml:space="preserve"> Section 24 of the TAA.</w:t>
      </w:r>
    </w:p>
  </w:footnote>
  <w:footnote w:id="19">
    <w:p w:rsidR="00BE6E46" w:rsidRPr="00E21B28" w:rsidRDefault="00BE6E46" w:rsidP="004135B0">
      <w:pPr>
        <w:pStyle w:val="FootnoteText"/>
        <w:rPr>
          <w:rFonts w:ascii="Arial" w:hAnsi="Arial" w:cs="Arial"/>
          <w:sz w:val="18"/>
          <w:szCs w:val="18"/>
        </w:rPr>
      </w:pPr>
      <w:r w:rsidRPr="00E21B28">
        <w:rPr>
          <w:rStyle w:val="FootnoteReference"/>
          <w:rFonts w:ascii="Arial" w:hAnsi="Arial" w:cs="Arial"/>
          <w:sz w:val="18"/>
          <w:szCs w:val="18"/>
        </w:rPr>
        <w:footnoteRef/>
      </w:r>
      <w:r w:rsidRPr="00E21B28">
        <w:rPr>
          <w:rFonts w:ascii="Arial" w:hAnsi="Arial" w:cs="Arial"/>
          <w:sz w:val="18"/>
          <w:szCs w:val="18"/>
        </w:rPr>
        <w:t xml:space="preserve"> Section 41(4) of the TAA.</w:t>
      </w:r>
    </w:p>
  </w:footnote>
  <w:footnote w:id="20">
    <w:p w:rsidR="00BE6E46" w:rsidRPr="00E21B28" w:rsidRDefault="00BE6E46" w:rsidP="004135B0">
      <w:pPr>
        <w:pStyle w:val="FootnoteText"/>
        <w:rPr>
          <w:rFonts w:ascii="Arial" w:hAnsi="Arial" w:cs="Arial"/>
          <w:sz w:val="18"/>
          <w:szCs w:val="18"/>
        </w:rPr>
      </w:pPr>
      <w:r w:rsidRPr="00E21B28">
        <w:rPr>
          <w:rStyle w:val="FootnoteReference"/>
          <w:rFonts w:ascii="Arial" w:hAnsi="Arial" w:cs="Arial"/>
          <w:sz w:val="18"/>
          <w:szCs w:val="18"/>
        </w:rPr>
        <w:footnoteRef/>
      </w:r>
      <w:r w:rsidRPr="00E21B28">
        <w:rPr>
          <w:rFonts w:ascii="Arial" w:hAnsi="Arial" w:cs="Arial"/>
          <w:sz w:val="18"/>
          <w:szCs w:val="18"/>
        </w:rPr>
        <w:t xml:space="preserve"> See Part 8 of the TAA. </w:t>
      </w:r>
    </w:p>
  </w:footnote>
  <w:footnote w:id="21">
    <w:p w:rsidR="00BE6E46" w:rsidRPr="00E21B28" w:rsidRDefault="00BE6E46" w:rsidP="004135B0">
      <w:pPr>
        <w:pStyle w:val="FootnoteText"/>
        <w:rPr>
          <w:rFonts w:ascii="Arial" w:hAnsi="Arial" w:cs="Arial"/>
          <w:sz w:val="18"/>
          <w:szCs w:val="18"/>
        </w:rPr>
      </w:pPr>
      <w:r w:rsidRPr="00E21B28">
        <w:rPr>
          <w:rStyle w:val="FootnoteReference"/>
          <w:rFonts w:ascii="Arial" w:hAnsi="Arial" w:cs="Arial"/>
          <w:sz w:val="18"/>
          <w:szCs w:val="18"/>
        </w:rPr>
        <w:footnoteRef/>
      </w:r>
      <w:r w:rsidRPr="00E21B28">
        <w:rPr>
          <w:rFonts w:ascii="Arial" w:hAnsi="Arial" w:cs="Arial"/>
          <w:sz w:val="18"/>
          <w:szCs w:val="18"/>
        </w:rPr>
        <w:t xml:space="preserve"> Section 41(3)(a) of the TAA.</w:t>
      </w:r>
    </w:p>
  </w:footnote>
  <w:footnote w:id="22">
    <w:p w:rsidR="00BE6E46" w:rsidRPr="00E21B28" w:rsidRDefault="00BE6E46" w:rsidP="004135B0">
      <w:pPr>
        <w:pStyle w:val="FootnoteText"/>
        <w:rPr>
          <w:rFonts w:ascii="Arial" w:hAnsi="Arial" w:cs="Arial"/>
          <w:sz w:val="18"/>
          <w:szCs w:val="18"/>
        </w:rPr>
      </w:pPr>
      <w:r w:rsidRPr="00E21B28">
        <w:rPr>
          <w:rStyle w:val="FootnoteReference"/>
          <w:rFonts w:ascii="Arial" w:hAnsi="Arial" w:cs="Arial"/>
          <w:sz w:val="18"/>
          <w:szCs w:val="18"/>
        </w:rPr>
        <w:footnoteRef/>
      </w:r>
      <w:r w:rsidRPr="00E21B28">
        <w:rPr>
          <w:rFonts w:ascii="Arial" w:hAnsi="Arial" w:cs="Arial"/>
          <w:sz w:val="18"/>
          <w:szCs w:val="18"/>
        </w:rPr>
        <w:t xml:space="preserve"> Section 41(3)(b) of the TAA.</w:t>
      </w:r>
    </w:p>
  </w:footnote>
  <w:footnote w:id="23">
    <w:p w:rsidR="00BE6E46" w:rsidRPr="00E21B28" w:rsidRDefault="00BE6E46" w:rsidP="004135B0">
      <w:pPr>
        <w:pStyle w:val="FootnoteText"/>
        <w:rPr>
          <w:rFonts w:ascii="Arial" w:hAnsi="Arial" w:cs="Arial"/>
          <w:sz w:val="18"/>
          <w:szCs w:val="18"/>
        </w:rPr>
      </w:pPr>
      <w:r w:rsidRPr="00E21B28">
        <w:rPr>
          <w:rStyle w:val="FootnoteReference"/>
          <w:rFonts w:ascii="Arial" w:hAnsi="Arial" w:cs="Arial"/>
          <w:sz w:val="18"/>
          <w:szCs w:val="18"/>
        </w:rPr>
        <w:footnoteRef/>
      </w:r>
      <w:r w:rsidRPr="00E21B28">
        <w:rPr>
          <w:rFonts w:ascii="Arial" w:hAnsi="Arial" w:cs="Arial"/>
          <w:sz w:val="18"/>
          <w:szCs w:val="18"/>
        </w:rPr>
        <w:t xml:space="preserve"> Section 41(3) of the TAA.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6E46" w:rsidRDefault="00BE6E46" w:rsidP="00763A2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E6E46" w:rsidRDefault="00BE6E4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6E46" w:rsidRPr="003765CD" w:rsidRDefault="00BE6E46" w:rsidP="0019571B">
    <w:pPr>
      <w:pStyle w:val="NTTBodyText"/>
      <w:jc w:val="center"/>
      <w:rPr>
        <w:rStyle w:val="Heading2Cha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6E46" w:rsidRDefault="005D3F62">
    <w:pPr>
      <w:pStyle w:val="Header"/>
    </w:pPr>
    <w:r>
      <w:rPr>
        <w:noProof/>
      </w:rPr>
      <w:drawing>
        <wp:anchor distT="0" distB="0" distL="114300" distR="114300" simplePos="0" relativeHeight="251657728" behindDoc="1" locked="0" layoutInCell="0" allowOverlap="1">
          <wp:simplePos x="0" y="0"/>
          <wp:positionH relativeFrom="page">
            <wp:posOffset>180340</wp:posOffset>
          </wp:positionH>
          <wp:positionV relativeFrom="page">
            <wp:posOffset>180340</wp:posOffset>
          </wp:positionV>
          <wp:extent cx="7188200" cy="895350"/>
          <wp:effectExtent l="0" t="0" r="0" b="0"/>
          <wp:wrapNone/>
          <wp:docPr id="5" name="Picture 5" descr="NTG logo and department name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TG logo and department name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88200" cy="8953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F74482B0"/>
    <w:lvl w:ilvl="0">
      <w:start w:val="1"/>
      <w:numFmt w:val="decimal"/>
      <w:pStyle w:val="ListNumber"/>
      <w:lvlText w:val="%1."/>
      <w:lvlJc w:val="left"/>
      <w:pPr>
        <w:tabs>
          <w:tab w:val="num" w:pos="360"/>
        </w:tabs>
        <w:ind w:left="360" w:hanging="360"/>
      </w:pPr>
    </w:lvl>
  </w:abstractNum>
  <w:abstractNum w:abstractNumId="1" w15:restartNumberingAfterBreak="0">
    <w:nsid w:val="001E3F6D"/>
    <w:multiLevelType w:val="hybridMultilevel"/>
    <w:tmpl w:val="F4B2E0B8"/>
    <w:lvl w:ilvl="0" w:tplc="A3BCEFC4">
      <w:start w:val="1"/>
      <w:numFmt w:val="decimal"/>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020365FE"/>
    <w:multiLevelType w:val="hybridMultilevel"/>
    <w:tmpl w:val="1F568270"/>
    <w:lvl w:ilvl="0" w:tplc="C4966800">
      <w:start w:val="1"/>
      <w:numFmt w:val="decimal"/>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02D310B8"/>
    <w:multiLevelType w:val="multilevel"/>
    <w:tmpl w:val="6DA248D0"/>
    <w:lvl w:ilvl="0">
      <w:start w:val="1"/>
      <w:numFmt w:val="decimal"/>
      <w:lvlText w:val="%1."/>
      <w:lvlJc w:val="left"/>
      <w:pPr>
        <w:tabs>
          <w:tab w:val="num" w:pos="720"/>
        </w:tabs>
        <w:ind w:left="720" w:hanging="360"/>
      </w:pPr>
      <w:rPr>
        <w:rFonts w:ascii="Arial" w:hAnsi="Arial"/>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7A14CA9"/>
    <w:multiLevelType w:val="hybridMultilevel"/>
    <w:tmpl w:val="EE1C568E"/>
    <w:lvl w:ilvl="0" w:tplc="C4966800">
      <w:start w:val="1"/>
      <w:numFmt w:val="decimal"/>
      <w:lvlText w:val="%1)"/>
      <w:lvlJc w:val="left"/>
      <w:pPr>
        <w:tabs>
          <w:tab w:val="num" w:pos="1647"/>
        </w:tabs>
        <w:ind w:left="1647" w:hanging="720"/>
      </w:pPr>
      <w:rPr>
        <w:rFonts w:hint="default"/>
      </w:rPr>
    </w:lvl>
    <w:lvl w:ilvl="1" w:tplc="0C090019" w:tentative="1">
      <w:start w:val="1"/>
      <w:numFmt w:val="lowerLetter"/>
      <w:lvlText w:val="%2."/>
      <w:lvlJc w:val="left"/>
      <w:pPr>
        <w:tabs>
          <w:tab w:val="num" w:pos="2007"/>
        </w:tabs>
        <w:ind w:left="2007" w:hanging="360"/>
      </w:pPr>
    </w:lvl>
    <w:lvl w:ilvl="2" w:tplc="0C09001B" w:tentative="1">
      <w:start w:val="1"/>
      <w:numFmt w:val="lowerRoman"/>
      <w:lvlText w:val="%3."/>
      <w:lvlJc w:val="right"/>
      <w:pPr>
        <w:tabs>
          <w:tab w:val="num" w:pos="2727"/>
        </w:tabs>
        <w:ind w:left="2727" w:hanging="180"/>
      </w:pPr>
    </w:lvl>
    <w:lvl w:ilvl="3" w:tplc="0C09000F" w:tentative="1">
      <w:start w:val="1"/>
      <w:numFmt w:val="decimal"/>
      <w:lvlText w:val="%4."/>
      <w:lvlJc w:val="left"/>
      <w:pPr>
        <w:tabs>
          <w:tab w:val="num" w:pos="3447"/>
        </w:tabs>
        <w:ind w:left="3447" w:hanging="360"/>
      </w:pPr>
    </w:lvl>
    <w:lvl w:ilvl="4" w:tplc="0C090019" w:tentative="1">
      <w:start w:val="1"/>
      <w:numFmt w:val="lowerLetter"/>
      <w:lvlText w:val="%5."/>
      <w:lvlJc w:val="left"/>
      <w:pPr>
        <w:tabs>
          <w:tab w:val="num" w:pos="4167"/>
        </w:tabs>
        <w:ind w:left="4167" w:hanging="360"/>
      </w:pPr>
    </w:lvl>
    <w:lvl w:ilvl="5" w:tplc="0C09001B" w:tentative="1">
      <w:start w:val="1"/>
      <w:numFmt w:val="lowerRoman"/>
      <w:lvlText w:val="%6."/>
      <w:lvlJc w:val="right"/>
      <w:pPr>
        <w:tabs>
          <w:tab w:val="num" w:pos="4887"/>
        </w:tabs>
        <w:ind w:left="4887" w:hanging="180"/>
      </w:pPr>
    </w:lvl>
    <w:lvl w:ilvl="6" w:tplc="0C09000F" w:tentative="1">
      <w:start w:val="1"/>
      <w:numFmt w:val="decimal"/>
      <w:lvlText w:val="%7."/>
      <w:lvlJc w:val="left"/>
      <w:pPr>
        <w:tabs>
          <w:tab w:val="num" w:pos="5607"/>
        </w:tabs>
        <w:ind w:left="5607" w:hanging="360"/>
      </w:pPr>
    </w:lvl>
    <w:lvl w:ilvl="7" w:tplc="0C090019" w:tentative="1">
      <w:start w:val="1"/>
      <w:numFmt w:val="lowerLetter"/>
      <w:lvlText w:val="%8."/>
      <w:lvlJc w:val="left"/>
      <w:pPr>
        <w:tabs>
          <w:tab w:val="num" w:pos="6327"/>
        </w:tabs>
        <w:ind w:left="6327" w:hanging="360"/>
      </w:pPr>
    </w:lvl>
    <w:lvl w:ilvl="8" w:tplc="0C09001B" w:tentative="1">
      <w:start w:val="1"/>
      <w:numFmt w:val="lowerRoman"/>
      <w:lvlText w:val="%9."/>
      <w:lvlJc w:val="right"/>
      <w:pPr>
        <w:tabs>
          <w:tab w:val="num" w:pos="7047"/>
        </w:tabs>
        <w:ind w:left="7047" w:hanging="180"/>
      </w:pPr>
    </w:lvl>
  </w:abstractNum>
  <w:abstractNum w:abstractNumId="5" w15:restartNumberingAfterBreak="0">
    <w:nsid w:val="0D593059"/>
    <w:multiLevelType w:val="multilevel"/>
    <w:tmpl w:val="88F6EEB2"/>
    <w:numStyleLink w:val="Text"/>
  </w:abstractNum>
  <w:abstractNum w:abstractNumId="6" w15:restartNumberingAfterBreak="0">
    <w:nsid w:val="1D416ABA"/>
    <w:multiLevelType w:val="hybridMultilevel"/>
    <w:tmpl w:val="760073C6"/>
    <w:lvl w:ilvl="0" w:tplc="C4966800">
      <w:start w:val="1"/>
      <w:numFmt w:val="decimal"/>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15:restartNumberingAfterBreak="0">
    <w:nsid w:val="1E903CE7"/>
    <w:multiLevelType w:val="multilevel"/>
    <w:tmpl w:val="88F6EEB2"/>
    <w:styleLink w:val="Text"/>
    <w:lvl w:ilvl="0">
      <w:start w:val="1"/>
      <w:numFmt w:val="decimal"/>
      <w:pStyle w:val="BlockText"/>
      <w:lvlText w:val="%1."/>
      <w:lvlJc w:val="left"/>
      <w:pPr>
        <w:tabs>
          <w:tab w:val="num" w:pos="360"/>
        </w:tabs>
        <w:ind w:left="360" w:hanging="360"/>
      </w:pPr>
      <w:rPr>
        <w:rFonts w:hint="default"/>
      </w:rPr>
    </w:lvl>
    <w:lvl w:ilvl="1">
      <w:start w:val="1"/>
      <w:numFmt w:val="upp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lowerLetter"/>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8" w15:restartNumberingAfterBreak="0">
    <w:nsid w:val="23FB1EEC"/>
    <w:multiLevelType w:val="hybridMultilevel"/>
    <w:tmpl w:val="08BECE6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8642F2B"/>
    <w:multiLevelType w:val="hybridMultilevel"/>
    <w:tmpl w:val="9BC45C08"/>
    <w:lvl w:ilvl="0" w:tplc="C4966800">
      <w:start w:val="1"/>
      <w:numFmt w:val="decimal"/>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0" w15:restartNumberingAfterBreak="0">
    <w:nsid w:val="2B4E06D5"/>
    <w:multiLevelType w:val="hybridMultilevel"/>
    <w:tmpl w:val="709EFC3E"/>
    <w:lvl w:ilvl="0" w:tplc="C4966800">
      <w:start w:val="1"/>
      <w:numFmt w:val="decimal"/>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39D979D9"/>
    <w:multiLevelType w:val="hybridMultilevel"/>
    <w:tmpl w:val="AA449C24"/>
    <w:lvl w:ilvl="0" w:tplc="C4966800">
      <w:start w:val="1"/>
      <w:numFmt w:val="decimal"/>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15:restartNumberingAfterBreak="0">
    <w:nsid w:val="3B027ABC"/>
    <w:multiLevelType w:val="hybridMultilevel"/>
    <w:tmpl w:val="9F14294C"/>
    <w:lvl w:ilvl="0" w:tplc="C4966800">
      <w:start w:val="1"/>
      <w:numFmt w:val="decimal"/>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15:restartNumberingAfterBreak="0">
    <w:nsid w:val="3C490400"/>
    <w:multiLevelType w:val="multilevel"/>
    <w:tmpl w:val="26CCAEDE"/>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927"/>
        </w:tabs>
        <w:ind w:left="927" w:hanging="360"/>
      </w:pPr>
      <w:rPr>
        <w:rFonts w:ascii="Symbol" w:hAnsi="Symbol" w:hint="default"/>
      </w:rPr>
    </w:lvl>
    <w:lvl w:ilvl="2">
      <w:start w:val="1"/>
      <w:numFmt w:val="lowerRoman"/>
      <w:lvlText w:val="%3."/>
      <w:lvlJc w:val="right"/>
      <w:pPr>
        <w:tabs>
          <w:tab w:val="num" w:pos="1800"/>
        </w:tabs>
        <w:ind w:left="1800" w:hanging="180"/>
      </w:pPr>
      <w:rPr>
        <w:rFonts w:hint="default"/>
      </w:rPr>
    </w:lvl>
    <w:lvl w:ilvl="3">
      <w:start w:val="1"/>
      <w:numFmt w:val="lowerLetter"/>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4" w15:restartNumberingAfterBreak="0">
    <w:nsid w:val="3F0D1A6E"/>
    <w:multiLevelType w:val="multilevel"/>
    <w:tmpl w:val="74F6A72C"/>
    <w:lvl w:ilvl="0">
      <w:start w:val="1"/>
      <w:numFmt w:val="decimal"/>
      <w:lvlText w:val="%1."/>
      <w:lvlJc w:val="left"/>
      <w:pPr>
        <w:tabs>
          <w:tab w:val="num" w:pos="720"/>
        </w:tabs>
        <w:ind w:left="720" w:hanging="360"/>
      </w:pPr>
      <w:rPr>
        <w:rFonts w:ascii="Arial" w:hAnsi="Arial"/>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39B51DF"/>
    <w:multiLevelType w:val="multilevel"/>
    <w:tmpl w:val="0C09001F"/>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16" w15:restartNumberingAfterBreak="0">
    <w:nsid w:val="4A167D18"/>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4A6F4275"/>
    <w:multiLevelType w:val="hybridMultilevel"/>
    <w:tmpl w:val="75FE1CA8"/>
    <w:lvl w:ilvl="0" w:tplc="C4966800">
      <w:start w:val="1"/>
      <w:numFmt w:val="decimal"/>
      <w:lvlText w:val="%1)"/>
      <w:lvlJc w:val="left"/>
      <w:pPr>
        <w:tabs>
          <w:tab w:val="num" w:pos="1080"/>
        </w:tabs>
        <w:ind w:left="1080" w:hanging="720"/>
      </w:pPr>
      <w:rPr>
        <w:rFonts w:hint="default"/>
      </w:rPr>
    </w:lvl>
    <w:lvl w:ilvl="1" w:tplc="B126B228">
      <w:start w:val="1"/>
      <w:numFmt w:val="lowerLetter"/>
      <w:lvlText w:val="(%2)"/>
      <w:lvlJc w:val="left"/>
      <w:pPr>
        <w:tabs>
          <w:tab w:val="num" w:pos="1800"/>
        </w:tabs>
        <w:ind w:left="1800" w:hanging="72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8" w15:restartNumberingAfterBreak="0">
    <w:nsid w:val="4DAC027F"/>
    <w:multiLevelType w:val="hybridMultilevel"/>
    <w:tmpl w:val="BD1680FE"/>
    <w:lvl w:ilvl="0" w:tplc="C4966800">
      <w:start w:val="1"/>
      <w:numFmt w:val="decimal"/>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9" w15:restartNumberingAfterBreak="0">
    <w:nsid w:val="519A37B6"/>
    <w:multiLevelType w:val="hybridMultilevel"/>
    <w:tmpl w:val="4FC010EC"/>
    <w:lvl w:ilvl="0" w:tplc="FD6E00CE">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0" w15:restartNumberingAfterBreak="0">
    <w:nsid w:val="56223113"/>
    <w:multiLevelType w:val="hybridMultilevel"/>
    <w:tmpl w:val="B3AAFB80"/>
    <w:lvl w:ilvl="0" w:tplc="C4966800">
      <w:start w:val="1"/>
      <w:numFmt w:val="decimal"/>
      <w:lvlText w:val="%1)"/>
      <w:lvlJc w:val="left"/>
      <w:pPr>
        <w:tabs>
          <w:tab w:val="num" w:pos="1080"/>
        </w:tabs>
        <w:ind w:left="1080" w:hanging="72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1" w15:restartNumberingAfterBreak="0">
    <w:nsid w:val="5C1C7635"/>
    <w:multiLevelType w:val="hybridMultilevel"/>
    <w:tmpl w:val="F1AC0FB8"/>
    <w:lvl w:ilvl="0" w:tplc="C4966800">
      <w:start w:val="1"/>
      <w:numFmt w:val="decimal"/>
      <w:lvlText w:val="%1)"/>
      <w:lvlJc w:val="left"/>
      <w:pPr>
        <w:tabs>
          <w:tab w:val="num" w:pos="1080"/>
        </w:tabs>
        <w:ind w:left="1080" w:hanging="720"/>
      </w:pPr>
      <w:rPr>
        <w:rFonts w:hint="default"/>
      </w:rPr>
    </w:lvl>
    <w:lvl w:ilvl="1" w:tplc="0C090019">
      <w:start w:val="1"/>
      <w:numFmt w:val="lowerLetter"/>
      <w:lvlText w:val="%2."/>
      <w:lvlJc w:val="left"/>
      <w:pPr>
        <w:tabs>
          <w:tab w:val="num" w:pos="1440"/>
        </w:tabs>
        <w:ind w:left="1440" w:hanging="360"/>
      </w:pPr>
    </w:lvl>
    <w:lvl w:ilvl="2" w:tplc="9806C66C">
      <w:start w:val="1"/>
      <w:numFmt w:val="lowerRoman"/>
      <w:lvlText w:val="(%3)"/>
      <w:lvlJc w:val="left"/>
      <w:pPr>
        <w:tabs>
          <w:tab w:val="num" w:pos="2774"/>
        </w:tabs>
        <w:ind w:left="2774" w:hanging="794"/>
      </w:pPr>
      <w:rPr>
        <w:rFonts w:hint="default"/>
        <w:b w:val="0"/>
        <w:i w:val="0"/>
      </w:rPr>
    </w:lvl>
    <w:lvl w:ilvl="3" w:tplc="0C09000F">
      <w:start w:val="1"/>
      <w:numFmt w:val="decimal"/>
      <w:lvlText w:val="%4."/>
      <w:lvlJc w:val="left"/>
      <w:pPr>
        <w:tabs>
          <w:tab w:val="num" w:pos="2880"/>
        </w:tabs>
        <w:ind w:left="2880" w:hanging="360"/>
      </w:pPr>
    </w:lvl>
    <w:lvl w:ilvl="4" w:tplc="48E268F0">
      <w:start w:val="1"/>
      <w:numFmt w:val="lowerLetter"/>
      <w:lvlText w:val="(%5)"/>
      <w:lvlJc w:val="left"/>
      <w:pPr>
        <w:tabs>
          <w:tab w:val="num" w:pos="3960"/>
        </w:tabs>
        <w:ind w:left="3960" w:hanging="720"/>
      </w:pPr>
      <w:rPr>
        <w:rFonts w:hint="default"/>
      </w:r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2" w15:restartNumberingAfterBreak="0">
    <w:nsid w:val="5D665C17"/>
    <w:multiLevelType w:val="hybridMultilevel"/>
    <w:tmpl w:val="2ECE03D4"/>
    <w:lvl w:ilvl="0" w:tplc="C4966800">
      <w:start w:val="1"/>
      <w:numFmt w:val="decimal"/>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3" w15:restartNumberingAfterBreak="0">
    <w:nsid w:val="5E911855"/>
    <w:multiLevelType w:val="hybridMultilevel"/>
    <w:tmpl w:val="592C51DE"/>
    <w:lvl w:ilvl="0" w:tplc="C4966800">
      <w:start w:val="1"/>
      <w:numFmt w:val="decimal"/>
      <w:lvlText w:val="%1)"/>
      <w:lvlJc w:val="left"/>
      <w:pPr>
        <w:tabs>
          <w:tab w:val="num" w:pos="1080"/>
        </w:tabs>
        <w:ind w:left="1080" w:hanging="72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4" w15:restartNumberingAfterBreak="0">
    <w:nsid w:val="661D2D5B"/>
    <w:multiLevelType w:val="hybridMultilevel"/>
    <w:tmpl w:val="7800151C"/>
    <w:lvl w:ilvl="0" w:tplc="C4966800">
      <w:start w:val="1"/>
      <w:numFmt w:val="decimal"/>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5" w15:restartNumberingAfterBreak="0">
    <w:nsid w:val="70176F57"/>
    <w:multiLevelType w:val="hybridMultilevel"/>
    <w:tmpl w:val="44CA5912"/>
    <w:lvl w:ilvl="0" w:tplc="0C090001">
      <w:start w:val="1"/>
      <w:numFmt w:val="bullet"/>
      <w:lvlText w:val=""/>
      <w:lvlJc w:val="left"/>
      <w:pPr>
        <w:tabs>
          <w:tab w:val="num" w:pos="720"/>
        </w:tabs>
        <w:ind w:left="720" w:hanging="360"/>
      </w:pPr>
      <w:rPr>
        <w:rFonts w:ascii="Symbol" w:hAnsi="Symbo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15:restartNumberingAfterBreak="0">
    <w:nsid w:val="7142454F"/>
    <w:multiLevelType w:val="hybridMultilevel"/>
    <w:tmpl w:val="3BB61362"/>
    <w:lvl w:ilvl="0" w:tplc="C4966800">
      <w:start w:val="1"/>
      <w:numFmt w:val="decimal"/>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7" w15:restartNumberingAfterBreak="0">
    <w:nsid w:val="715E6E1A"/>
    <w:multiLevelType w:val="hybridMultilevel"/>
    <w:tmpl w:val="403A55FA"/>
    <w:lvl w:ilvl="0" w:tplc="C4966800">
      <w:start w:val="1"/>
      <w:numFmt w:val="decimal"/>
      <w:lvlText w:val="%1)"/>
      <w:lvlJc w:val="left"/>
      <w:pPr>
        <w:tabs>
          <w:tab w:val="num" w:pos="720"/>
        </w:tabs>
        <w:ind w:left="720" w:hanging="72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8" w15:restartNumberingAfterBreak="0">
    <w:nsid w:val="7294591F"/>
    <w:multiLevelType w:val="multilevel"/>
    <w:tmpl w:val="88F6EEB2"/>
    <w:numStyleLink w:val="Text"/>
  </w:abstractNum>
  <w:abstractNum w:abstractNumId="29" w15:restartNumberingAfterBreak="0">
    <w:nsid w:val="72B318FE"/>
    <w:multiLevelType w:val="hybridMultilevel"/>
    <w:tmpl w:val="E196ED7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AE86CD5"/>
    <w:multiLevelType w:val="multilevel"/>
    <w:tmpl w:val="9BC45C08"/>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7B86253F"/>
    <w:multiLevelType w:val="multilevel"/>
    <w:tmpl w:val="5A307BA8"/>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927"/>
        </w:tabs>
        <w:ind w:left="927" w:hanging="360"/>
      </w:pPr>
      <w:rPr>
        <w:rFonts w:ascii="Symbol" w:hAnsi="Symbol" w:hint="default"/>
      </w:rPr>
    </w:lvl>
    <w:lvl w:ilvl="2">
      <w:start w:val="1"/>
      <w:numFmt w:val="lowerRoman"/>
      <w:lvlText w:val="%3."/>
      <w:lvlJc w:val="right"/>
      <w:pPr>
        <w:tabs>
          <w:tab w:val="num" w:pos="1800"/>
        </w:tabs>
        <w:ind w:left="1800" w:hanging="180"/>
      </w:pPr>
      <w:rPr>
        <w:rFonts w:hint="default"/>
      </w:rPr>
    </w:lvl>
    <w:lvl w:ilvl="3">
      <w:start w:val="1"/>
      <w:numFmt w:val="lowerLetter"/>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num w:numId="1">
    <w:abstractNumId w:val="28"/>
  </w:num>
  <w:num w:numId="2">
    <w:abstractNumId w:val="14"/>
  </w:num>
  <w:num w:numId="3">
    <w:abstractNumId w:val="7"/>
    <w:lvlOverride w:ilvl="0">
      <w:lvl w:ilvl="0">
        <w:start w:val="1"/>
        <w:numFmt w:val="decimal"/>
        <w:pStyle w:val="BlockText"/>
        <w:lvlText w:val="%1."/>
        <w:lvlJc w:val="left"/>
        <w:pPr>
          <w:tabs>
            <w:tab w:val="num" w:pos="567"/>
          </w:tabs>
          <w:ind w:left="567" w:hanging="567"/>
        </w:pPr>
        <w:rPr>
          <w:rFonts w:hint="default"/>
        </w:rPr>
      </w:lvl>
    </w:lvlOverride>
    <w:lvlOverride w:ilvl="1">
      <w:lvl w:ilvl="1">
        <w:start w:val="1"/>
        <w:numFmt w:val="decimal"/>
        <w:lvlText w:val="(%2)"/>
        <w:lvlJc w:val="left"/>
        <w:pPr>
          <w:tabs>
            <w:tab w:val="num" w:pos="1134"/>
          </w:tabs>
          <w:ind w:left="1134" w:hanging="567"/>
        </w:pPr>
        <w:rPr>
          <w:rFonts w:hint="default"/>
        </w:rPr>
      </w:lvl>
    </w:lvlOverride>
    <w:lvlOverride w:ilvl="2">
      <w:lvl w:ilvl="2">
        <w:start w:val="1"/>
        <w:numFmt w:val="lowerLetter"/>
        <w:lvlText w:val="(%3)"/>
        <w:lvlJc w:val="left"/>
        <w:pPr>
          <w:tabs>
            <w:tab w:val="num" w:pos="1701"/>
          </w:tabs>
          <w:ind w:left="1701" w:hanging="567"/>
        </w:pPr>
        <w:rPr>
          <w:rFonts w:hint="default"/>
        </w:rPr>
      </w:lvl>
    </w:lvlOverride>
    <w:lvlOverride w:ilvl="3">
      <w:lvl w:ilvl="3">
        <w:start w:val="1"/>
        <w:numFmt w:val="lowerRoman"/>
        <w:lvlText w:val="(%4)"/>
        <w:lvlJc w:val="left"/>
        <w:pPr>
          <w:tabs>
            <w:tab w:val="num" w:pos="2268"/>
          </w:tabs>
          <w:ind w:left="2268" w:hanging="567"/>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4">
    <w:abstractNumId w:val="3"/>
  </w:num>
  <w:num w:numId="5">
    <w:abstractNumId w:val="5"/>
  </w:num>
  <w:num w:numId="6">
    <w:abstractNumId w:val="15"/>
  </w:num>
  <w:num w:numId="7">
    <w:abstractNumId w:val="16"/>
  </w:num>
  <w:num w:numId="8">
    <w:abstractNumId w:val="0"/>
  </w:num>
  <w:num w:numId="9">
    <w:abstractNumId w:val="21"/>
  </w:num>
  <w:num w:numId="10">
    <w:abstractNumId w:val="26"/>
  </w:num>
  <w:num w:numId="11">
    <w:abstractNumId w:val="20"/>
  </w:num>
  <w:num w:numId="12">
    <w:abstractNumId w:val="17"/>
  </w:num>
  <w:num w:numId="13">
    <w:abstractNumId w:val="4"/>
  </w:num>
  <w:num w:numId="14">
    <w:abstractNumId w:val="19"/>
  </w:num>
  <w:num w:numId="15">
    <w:abstractNumId w:val="2"/>
  </w:num>
  <w:num w:numId="16">
    <w:abstractNumId w:val="18"/>
  </w:num>
  <w:num w:numId="17">
    <w:abstractNumId w:val="9"/>
  </w:num>
  <w:num w:numId="18">
    <w:abstractNumId w:val="12"/>
  </w:num>
  <w:num w:numId="19">
    <w:abstractNumId w:val="24"/>
  </w:num>
  <w:num w:numId="20">
    <w:abstractNumId w:val="10"/>
  </w:num>
  <w:num w:numId="21">
    <w:abstractNumId w:val="23"/>
  </w:num>
  <w:num w:numId="22">
    <w:abstractNumId w:val="22"/>
  </w:num>
  <w:num w:numId="23">
    <w:abstractNumId w:val="6"/>
  </w:num>
  <w:num w:numId="24">
    <w:abstractNumId w:val="11"/>
  </w:num>
  <w:num w:numId="25">
    <w:abstractNumId w:val="25"/>
  </w:num>
  <w:num w:numId="26">
    <w:abstractNumId w:val="27"/>
  </w:num>
  <w:num w:numId="27">
    <w:abstractNumId w:val="8"/>
  </w:num>
  <w:num w:numId="28">
    <w:abstractNumId w:val="29"/>
  </w:num>
  <w:num w:numId="29">
    <w:abstractNumId w:val="31"/>
  </w:num>
  <w:num w:numId="30">
    <w:abstractNumId w:val="13"/>
  </w:num>
  <w:num w:numId="31">
    <w:abstractNumId w:val="30"/>
  </w:num>
  <w:num w:numId="32">
    <w:abstractNumId w:val="1"/>
  </w:num>
  <w:num w:numId="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readOnly" w:enforcement="1" w:cryptProviderType="rsaFull" w:cryptAlgorithmClass="hash" w:cryptAlgorithmType="typeAny" w:cryptAlgorithmSid="4" w:cryptSpinCount="100000" w:hash="fTHnTPDrRIU5WVDOZist8yo8J+I=" w:salt="d1HWOGtyHfUGURzsVO3lR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22D"/>
    <w:rsid w:val="000060BF"/>
    <w:rsid w:val="000064CB"/>
    <w:rsid w:val="000104AB"/>
    <w:rsid w:val="00010EEA"/>
    <w:rsid w:val="000115F8"/>
    <w:rsid w:val="0002150C"/>
    <w:rsid w:val="00022413"/>
    <w:rsid w:val="00023645"/>
    <w:rsid w:val="00025614"/>
    <w:rsid w:val="000302C0"/>
    <w:rsid w:val="000333C6"/>
    <w:rsid w:val="000376B2"/>
    <w:rsid w:val="000424F1"/>
    <w:rsid w:val="00042BC9"/>
    <w:rsid w:val="00045CCE"/>
    <w:rsid w:val="00046838"/>
    <w:rsid w:val="0005160E"/>
    <w:rsid w:val="00054E58"/>
    <w:rsid w:val="00055A15"/>
    <w:rsid w:val="00055F6E"/>
    <w:rsid w:val="000567BE"/>
    <w:rsid w:val="0005747B"/>
    <w:rsid w:val="00063A93"/>
    <w:rsid w:val="00063EAC"/>
    <w:rsid w:val="00067AE5"/>
    <w:rsid w:val="00070001"/>
    <w:rsid w:val="000755D7"/>
    <w:rsid w:val="00081963"/>
    <w:rsid w:val="00081984"/>
    <w:rsid w:val="000841DD"/>
    <w:rsid w:val="000917B2"/>
    <w:rsid w:val="00094D2B"/>
    <w:rsid w:val="000968BE"/>
    <w:rsid w:val="000A02BD"/>
    <w:rsid w:val="000A058E"/>
    <w:rsid w:val="000A1789"/>
    <w:rsid w:val="000A57FE"/>
    <w:rsid w:val="000A5BAB"/>
    <w:rsid w:val="000A5FAF"/>
    <w:rsid w:val="000A7ABD"/>
    <w:rsid w:val="000B1FE4"/>
    <w:rsid w:val="000C0DD5"/>
    <w:rsid w:val="000C2C04"/>
    <w:rsid w:val="000C3AD0"/>
    <w:rsid w:val="000C5DAB"/>
    <w:rsid w:val="000D21B9"/>
    <w:rsid w:val="000D4683"/>
    <w:rsid w:val="000D760C"/>
    <w:rsid w:val="000E26E6"/>
    <w:rsid w:val="000E4D8E"/>
    <w:rsid w:val="000F7515"/>
    <w:rsid w:val="00102D88"/>
    <w:rsid w:val="00112237"/>
    <w:rsid w:val="00115087"/>
    <w:rsid w:val="001171EA"/>
    <w:rsid w:val="00117E21"/>
    <w:rsid w:val="00117F5D"/>
    <w:rsid w:val="00120400"/>
    <w:rsid w:val="0012101B"/>
    <w:rsid w:val="0012610A"/>
    <w:rsid w:val="0012662C"/>
    <w:rsid w:val="001271FF"/>
    <w:rsid w:val="0013250A"/>
    <w:rsid w:val="00134634"/>
    <w:rsid w:val="0013516F"/>
    <w:rsid w:val="00135C96"/>
    <w:rsid w:val="001364CD"/>
    <w:rsid w:val="001407E2"/>
    <w:rsid w:val="001422DD"/>
    <w:rsid w:val="00145BB5"/>
    <w:rsid w:val="00151E44"/>
    <w:rsid w:val="001521B6"/>
    <w:rsid w:val="00153959"/>
    <w:rsid w:val="00153AFD"/>
    <w:rsid w:val="001545F9"/>
    <w:rsid w:val="001579C2"/>
    <w:rsid w:val="00160881"/>
    <w:rsid w:val="0016262C"/>
    <w:rsid w:val="00164258"/>
    <w:rsid w:val="00164A3A"/>
    <w:rsid w:val="00166509"/>
    <w:rsid w:val="00176573"/>
    <w:rsid w:val="00180987"/>
    <w:rsid w:val="0018229E"/>
    <w:rsid w:val="00184056"/>
    <w:rsid w:val="00184984"/>
    <w:rsid w:val="00184B7C"/>
    <w:rsid w:val="00187674"/>
    <w:rsid w:val="00192F6F"/>
    <w:rsid w:val="0019571B"/>
    <w:rsid w:val="00196C1B"/>
    <w:rsid w:val="001971A1"/>
    <w:rsid w:val="0019771F"/>
    <w:rsid w:val="001A2AA1"/>
    <w:rsid w:val="001A6196"/>
    <w:rsid w:val="001A6521"/>
    <w:rsid w:val="001B71AE"/>
    <w:rsid w:val="001B7AC7"/>
    <w:rsid w:val="001C422C"/>
    <w:rsid w:val="001C4568"/>
    <w:rsid w:val="001D27E9"/>
    <w:rsid w:val="001D3FCD"/>
    <w:rsid w:val="001D4089"/>
    <w:rsid w:val="001D5A9F"/>
    <w:rsid w:val="001D6742"/>
    <w:rsid w:val="001D69E9"/>
    <w:rsid w:val="001D7DC4"/>
    <w:rsid w:val="001E3578"/>
    <w:rsid w:val="001E6135"/>
    <w:rsid w:val="001F4991"/>
    <w:rsid w:val="001F4BE5"/>
    <w:rsid w:val="001F5273"/>
    <w:rsid w:val="001F59A9"/>
    <w:rsid w:val="001F60FE"/>
    <w:rsid w:val="001F6B23"/>
    <w:rsid w:val="001F7B6E"/>
    <w:rsid w:val="0020232B"/>
    <w:rsid w:val="00204372"/>
    <w:rsid w:val="002048E7"/>
    <w:rsid w:val="00207E37"/>
    <w:rsid w:val="00210686"/>
    <w:rsid w:val="002115E6"/>
    <w:rsid w:val="00211ADE"/>
    <w:rsid w:val="00215A9D"/>
    <w:rsid w:val="0021684D"/>
    <w:rsid w:val="00220E1E"/>
    <w:rsid w:val="00221114"/>
    <w:rsid w:val="0022361B"/>
    <w:rsid w:val="00224644"/>
    <w:rsid w:val="0022584E"/>
    <w:rsid w:val="002306CE"/>
    <w:rsid w:val="0023083D"/>
    <w:rsid w:val="002374AC"/>
    <w:rsid w:val="00237B7C"/>
    <w:rsid w:val="00242910"/>
    <w:rsid w:val="002440CC"/>
    <w:rsid w:val="0024555A"/>
    <w:rsid w:val="002466CE"/>
    <w:rsid w:val="002524C0"/>
    <w:rsid w:val="002526A8"/>
    <w:rsid w:val="00252EA3"/>
    <w:rsid w:val="0025439F"/>
    <w:rsid w:val="002545A4"/>
    <w:rsid w:val="002546CB"/>
    <w:rsid w:val="002548C6"/>
    <w:rsid w:val="002555DE"/>
    <w:rsid w:val="00271740"/>
    <w:rsid w:val="0027710E"/>
    <w:rsid w:val="002863EF"/>
    <w:rsid w:val="00294FEE"/>
    <w:rsid w:val="00295BEF"/>
    <w:rsid w:val="00297E74"/>
    <w:rsid w:val="002A03A5"/>
    <w:rsid w:val="002A3775"/>
    <w:rsid w:val="002A5567"/>
    <w:rsid w:val="002A5623"/>
    <w:rsid w:val="002A7D1F"/>
    <w:rsid w:val="002B1738"/>
    <w:rsid w:val="002C0386"/>
    <w:rsid w:val="002C1DA7"/>
    <w:rsid w:val="002C267D"/>
    <w:rsid w:val="002C7F9E"/>
    <w:rsid w:val="002D1DC2"/>
    <w:rsid w:val="002D4686"/>
    <w:rsid w:val="002D6B9D"/>
    <w:rsid w:val="002D7B81"/>
    <w:rsid w:val="002E1CE1"/>
    <w:rsid w:val="002E5C6A"/>
    <w:rsid w:val="002E7A3C"/>
    <w:rsid w:val="002F5D93"/>
    <w:rsid w:val="00301586"/>
    <w:rsid w:val="00305325"/>
    <w:rsid w:val="00307F79"/>
    <w:rsid w:val="00311AB6"/>
    <w:rsid w:val="00313135"/>
    <w:rsid w:val="00314B99"/>
    <w:rsid w:val="00314C98"/>
    <w:rsid w:val="00314E75"/>
    <w:rsid w:val="003156E9"/>
    <w:rsid w:val="00323FDD"/>
    <w:rsid w:val="00327C11"/>
    <w:rsid w:val="00330CA3"/>
    <w:rsid w:val="00332D45"/>
    <w:rsid w:val="00340212"/>
    <w:rsid w:val="00343BDF"/>
    <w:rsid w:val="003455BA"/>
    <w:rsid w:val="003458E7"/>
    <w:rsid w:val="00350C52"/>
    <w:rsid w:val="00350DA3"/>
    <w:rsid w:val="0035373D"/>
    <w:rsid w:val="00354185"/>
    <w:rsid w:val="00354627"/>
    <w:rsid w:val="00355A73"/>
    <w:rsid w:val="00355AD3"/>
    <w:rsid w:val="003566B4"/>
    <w:rsid w:val="003627B1"/>
    <w:rsid w:val="003649F0"/>
    <w:rsid w:val="00364D5F"/>
    <w:rsid w:val="00364EFE"/>
    <w:rsid w:val="00365875"/>
    <w:rsid w:val="003659AD"/>
    <w:rsid w:val="00371470"/>
    <w:rsid w:val="00371523"/>
    <w:rsid w:val="00371DC6"/>
    <w:rsid w:val="00371E1A"/>
    <w:rsid w:val="003765CD"/>
    <w:rsid w:val="00383FBA"/>
    <w:rsid w:val="00385103"/>
    <w:rsid w:val="00386424"/>
    <w:rsid w:val="00386D5A"/>
    <w:rsid w:val="0038749B"/>
    <w:rsid w:val="00393DD6"/>
    <w:rsid w:val="00393FB4"/>
    <w:rsid w:val="00394D70"/>
    <w:rsid w:val="0039737A"/>
    <w:rsid w:val="003A525E"/>
    <w:rsid w:val="003A7455"/>
    <w:rsid w:val="003B21D5"/>
    <w:rsid w:val="003B4A50"/>
    <w:rsid w:val="003B4C4C"/>
    <w:rsid w:val="003B680A"/>
    <w:rsid w:val="003C1073"/>
    <w:rsid w:val="003C6832"/>
    <w:rsid w:val="003D0F41"/>
    <w:rsid w:val="003D26A8"/>
    <w:rsid w:val="003D3D24"/>
    <w:rsid w:val="003D400C"/>
    <w:rsid w:val="003D5245"/>
    <w:rsid w:val="003D6356"/>
    <w:rsid w:val="003E23F6"/>
    <w:rsid w:val="003E5274"/>
    <w:rsid w:val="003E62DE"/>
    <w:rsid w:val="003E689A"/>
    <w:rsid w:val="003F5E2C"/>
    <w:rsid w:val="003F63FE"/>
    <w:rsid w:val="003F70DD"/>
    <w:rsid w:val="003F7195"/>
    <w:rsid w:val="003F73D3"/>
    <w:rsid w:val="003F7433"/>
    <w:rsid w:val="003F7BDE"/>
    <w:rsid w:val="00401F0A"/>
    <w:rsid w:val="004050CF"/>
    <w:rsid w:val="0041111B"/>
    <w:rsid w:val="004124F6"/>
    <w:rsid w:val="00412F76"/>
    <w:rsid w:val="004130A1"/>
    <w:rsid w:val="004135B0"/>
    <w:rsid w:val="0041454C"/>
    <w:rsid w:val="004154A9"/>
    <w:rsid w:val="0041637D"/>
    <w:rsid w:val="0041795D"/>
    <w:rsid w:val="00420AB7"/>
    <w:rsid w:val="00424DCE"/>
    <w:rsid w:val="004302A2"/>
    <w:rsid w:val="00430725"/>
    <w:rsid w:val="00431E0A"/>
    <w:rsid w:val="00432945"/>
    <w:rsid w:val="00434F1E"/>
    <w:rsid w:val="004362E6"/>
    <w:rsid w:val="004379E6"/>
    <w:rsid w:val="004407DC"/>
    <w:rsid w:val="0045415A"/>
    <w:rsid w:val="00455938"/>
    <w:rsid w:val="0045697A"/>
    <w:rsid w:val="00456CDA"/>
    <w:rsid w:val="004572A6"/>
    <w:rsid w:val="00461243"/>
    <w:rsid w:val="00463743"/>
    <w:rsid w:val="004646F7"/>
    <w:rsid w:val="00464A21"/>
    <w:rsid w:val="00465AB2"/>
    <w:rsid w:val="00466FB5"/>
    <w:rsid w:val="00470036"/>
    <w:rsid w:val="004707BC"/>
    <w:rsid w:val="004726D4"/>
    <w:rsid w:val="00473F14"/>
    <w:rsid w:val="004742EA"/>
    <w:rsid w:val="004743B6"/>
    <w:rsid w:val="00474B80"/>
    <w:rsid w:val="00476314"/>
    <w:rsid w:val="00481F7B"/>
    <w:rsid w:val="00482184"/>
    <w:rsid w:val="00482C30"/>
    <w:rsid w:val="00490396"/>
    <w:rsid w:val="0049040E"/>
    <w:rsid w:val="004909A0"/>
    <w:rsid w:val="00492379"/>
    <w:rsid w:val="004941E5"/>
    <w:rsid w:val="00494D6F"/>
    <w:rsid w:val="004A18ED"/>
    <w:rsid w:val="004A1C92"/>
    <w:rsid w:val="004A28F2"/>
    <w:rsid w:val="004A5CE6"/>
    <w:rsid w:val="004A60E1"/>
    <w:rsid w:val="004B003D"/>
    <w:rsid w:val="004B39EB"/>
    <w:rsid w:val="004B4B9D"/>
    <w:rsid w:val="004C0D46"/>
    <w:rsid w:val="004C12DE"/>
    <w:rsid w:val="004C2AD0"/>
    <w:rsid w:val="004C5782"/>
    <w:rsid w:val="004C5891"/>
    <w:rsid w:val="004C6027"/>
    <w:rsid w:val="004D04AA"/>
    <w:rsid w:val="004D2724"/>
    <w:rsid w:val="004D3B44"/>
    <w:rsid w:val="004E09CA"/>
    <w:rsid w:val="004E391B"/>
    <w:rsid w:val="004E502F"/>
    <w:rsid w:val="004E5F24"/>
    <w:rsid w:val="004E61CC"/>
    <w:rsid w:val="004E69E8"/>
    <w:rsid w:val="004F0D3D"/>
    <w:rsid w:val="004F103E"/>
    <w:rsid w:val="00500BE6"/>
    <w:rsid w:val="0050534D"/>
    <w:rsid w:val="0051194C"/>
    <w:rsid w:val="00513926"/>
    <w:rsid w:val="00516D27"/>
    <w:rsid w:val="00517382"/>
    <w:rsid w:val="005205CA"/>
    <w:rsid w:val="00520F76"/>
    <w:rsid w:val="00522191"/>
    <w:rsid w:val="005247E5"/>
    <w:rsid w:val="00525881"/>
    <w:rsid w:val="0052614B"/>
    <w:rsid w:val="0052675D"/>
    <w:rsid w:val="00526B7A"/>
    <w:rsid w:val="00530165"/>
    <w:rsid w:val="005302CE"/>
    <w:rsid w:val="00532754"/>
    <w:rsid w:val="00536F37"/>
    <w:rsid w:val="00537837"/>
    <w:rsid w:val="005400EA"/>
    <w:rsid w:val="005419BC"/>
    <w:rsid w:val="005428F8"/>
    <w:rsid w:val="00542966"/>
    <w:rsid w:val="00545D20"/>
    <w:rsid w:val="005475C0"/>
    <w:rsid w:val="00547681"/>
    <w:rsid w:val="00551CBC"/>
    <w:rsid w:val="00555249"/>
    <w:rsid w:val="0056224B"/>
    <w:rsid w:val="005628C3"/>
    <w:rsid w:val="00566890"/>
    <w:rsid w:val="005707AB"/>
    <w:rsid w:val="00572867"/>
    <w:rsid w:val="00573A16"/>
    <w:rsid w:val="0058140E"/>
    <w:rsid w:val="00581D64"/>
    <w:rsid w:val="00582D7B"/>
    <w:rsid w:val="005855C5"/>
    <w:rsid w:val="0058646E"/>
    <w:rsid w:val="00587446"/>
    <w:rsid w:val="00596353"/>
    <w:rsid w:val="00596B7E"/>
    <w:rsid w:val="005A0101"/>
    <w:rsid w:val="005A6A98"/>
    <w:rsid w:val="005A6EAB"/>
    <w:rsid w:val="005B03D6"/>
    <w:rsid w:val="005B3B6D"/>
    <w:rsid w:val="005B419B"/>
    <w:rsid w:val="005B43D5"/>
    <w:rsid w:val="005B4B9A"/>
    <w:rsid w:val="005B4FB9"/>
    <w:rsid w:val="005B5511"/>
    <w:rsid w:val="005D0992"/>
    <w:rsid w:val="005D3F62"/>
    <w:rsid w:val="005D4468"/>
    <w:rsid w:val="005D54FC"/>
    <w:rsid w:val="005E5A0B"/>
    <w:rsid w:val="005E722D"/>
    <w:rsid w:val="005F0CAA"/>
    <w:rsid w:val="005F1116"/>
    <w:rsid w:val="005F1765"/>
    <w:rsid w:val="005F21D9"/>
    <w:rsid w:val="005F2627"/>
    <w:rsid w:val="005F5B2C"/>
    <w:rsid w:val="006010CE"/>
    <w:rsid w:val="006023B8"/>
    <w:rsid w:val="0060284F"/>
    <w:rsid w:val="006034B6"/>
    <w:rsid w:val="00605813"/>
    <w:rsid w:val="00605CAB"/>
    <w:rsid w:val="006102F8"/>
    <w:rsid w:val="00612FBB"/>
    <w:rsid w:val="0061625F"/>
    <w:rsid w:val="00621AA8"/>
    <w:rsid w:val="006226DC"/>
    <w:rsid w:val="00623756"/>
    <w:rsid w:val="00624CDA"/>
    <w:rsid w:val="00626B28"/>
    <w:rsid w:val="00630FFB"/>
    <w:rsid w:val="00632A1A"/>
    <w:rsid w:val="00634CF3"/>
    <w:rsid w:val="00635401"/>
    <w:rsid w:val="00635C62"/>
    <w:rsid w:val="00635F78"/>
    <w:rsid w:val="00645230"/>
    <w:rsid w:val="00645F0D"/>
    <w:rsid w:val="006501B7"/>
    <w:rsid w:val="00654280"/>
    <w:rsid w:val="006552F7"/>
    <w:rsid w:val="006575EA"/>
    <w:rsid w:val="0066709F"/>
    <w:rsid w:val="00680F4C"/>
    <w:rsid w:val="006831AE"/>
    <w:rsid w:val="0069461E"/>
    <w:rsid w:val="00697AA9"/>
    <w:rsid w:val="006A21A5"/>
    <w:rsid w:val="006A30C4"/>
    <w:rsid w:val="006A356D"/>
    <w:rsid w:val="006B002A"/>
    <w:rsid w:val="006B0776"/>
    <w:rsid w:val="006B19DB"/>
    <w:rsid w:val="006B3D13"/>
    <w:rsid w:val="006B455C"/>
    <w:rsid w:val="006B605D"/>
    <w:rsid w:val="006B7698"/>
    <w:rsid w:val="006C05D0"/>
    <w:rsid w:val="006C1229"/>
    <w:rsid w:val="006C12B1"/>
    <w:rsid w:val="006C360A"/>
    <w:rsid w:val="006D0C05"/>
    <w:rsid w:val="006D19A1"/>
    <w:rsid w:val="006D1EB5"/>
    <w:rsid w:val="006D34E1"/>
    <w:rsid w:val="006D79D0"/>
    <w:rsid w:val="006D7D4A"/>
    <w:rsid w:val="006E03DB"/>
    <w:rsid w:val="006E0735"/>
    <w:rsid w:val="006E32F6"/>
    <w:rsid w:val="006E3A88"/>
    <w:rsid w:val="006E3FC6"/>
    <w:rsid w:val="006E79AA"/>
    <w:rsid w:val="006F1AB6"/>
    <w:rsid w:val="006F56AA"/>
    <w:rsid w:val="006F5C85"/>
    <w:rsid w:val="00700C9F"/>
    <w:rsid w:val="00703666"/>
    <w:rsid w:val="0070398B"/>
    <w:rsid w:val="0070603B"/>
    <w:rsid w:val="00706F00"/>
    <w:rsid w:val="00713E0D"/>
    <w:rsid w:val="007164B7"/>
    <w:rsid w:val="00720153"/>
    <w:rsid w:val="0072031F"/>
    <w:rsid w:val="007215AE"/>
    <w:rsid w:val="007227A7"/>
    <w:rsid w:val="00724967"/>
    <w:rsid w:val="00731530"/>
    <w:rsid w:val="00731DEF"/>
    <w:rsid w:val="00736DB7"/>
    <w:rsid w:val="0074419C"/>
    <w:rsid w:val="007445E4"/>
    <w:rsid w:val="007501B1"/>
    <w:rsid w:val="0075176D"/>
    <w:rsid w:val="0075179B"/>
    <w:rsid w:val="007553B7"/>
    <w:rsid w:val="00755BFC"/>
    <w:rsid w:val="007572CE"/>
    <w:rsid w:val="00757465"/>
    <w:rsid w:val="00761932"/>
    <w:rsid w:val="00762067"/>
    <w:rsid w:val="00762918"/>
    <w:rsid w:val="00762969"/>
    <w:rsid w:val="00763A20"/>
    <w:rsid w:val="00763A79"/>
    <w:rsid w:val="00767E45"/>
    <w:rsid w:val="007719DE"/>
    <w:rsid w:val="007735E7"/>
    <w:rsid w:val="00773B36"/>
    <w:rsid w:val="00777491"/>
    <w:rsid w:val="007777A7"/>
    <w:rsid w:val="00780551"/>
    <w:rsid w:val="00780F8C"/>
    <w:rsid w:val="007817A1"/>
    <w:rsid w:val="007829AE"/>
    <w:rsid w:val="00784A94"/>
    <w:rsid w:val="00787076"/>
    <w:rsid w:val="00791ACA"/>
    <w:rsid w:val="00797A22"/>
    <w:rsid w:val="007A07E8"/>
    <w:rsid w:val="007A442B"/>
    <w:rsid w:val="007A552C"/>
    <w:rsid w:val="007A553D"/>
    <w:rsid w:val="007A6857"/>
    <w:rsid w:val="007B1307"/>
    <w:rsid w:val="007B51DD"/>
    <w:rsid w:val="007B7CC0"/>
    <w:rsid w:val="007C0E96"/>
    <w:rsid w:val="007C1D40"/>
    <w:rsid w:val="007C2A8B"/>
    <w:rsid w:val="007C4B87"/>
    <w:rsid w:val="007C62CA"/>
    <w:rsid w:val="007C71F4"/>
    <w:rsid w:val="007D290F"/>
    <w:rsid w:val="007D34CA"/>
    <w:rsid w:val="007D40A4"/>
    <w:rsid w:val="007D4D03"/>
    <w:rsid w:val="007D7071"/>
    <w:rsid w:val="007E4470"/>
    <w:rsid w:val="007E6321"/>
    <w:rsid w:val="007E6726"/>
    <w:rsid w:val="007F0790"/>
    <w:rsid w:val="007F10F3"/>
    <w:rsid w:val="007F23CE"/>
    <w:rsid w:val="007F3D47"/>
    <w:rsid w:val="007F458D"/>
    <w:rsid w:val="007F5FDB"/>
    <w:rsid w:val="007F658A"/>
    <w:rsid w:val="007F6A75"/>
    <w:rsid w:val="007F78D8"/>
    <w:rsid w:val="008049A2"/>
    <w:rsid w:val="00807DD2"/>
    <w:rsid w:val="0081131C"/>
    <w:rsid w:val="00821BA6"/>
    <w:rsid w:val="00824BAA"/>
    <w:rsid w:val="00824DF7"/>
    <w:rsid w:val="00827A50"/>
    <w:rsid w:val="008323D0"/>
    <w:rsid w:val="00832DC1"/>
    <w:rsid w:val="0084462A"/>
    <w:rsid w:val="0085019A"/>
    <w:rsid w:val="008525BF"/>
    <w:rsid w:val="00854345"/>
    <w:rsid w:val="00855DA8"/>
    <w:rsid w:val="008618DE"/>
    <w:rsid w:val="008642D5"/>
    <w:rsid w:val="00864645"/>
    <w:rsid w:val="00865384"/>
    <w:rsid w:val="00866773"/>
    <w:rsid w:val="00874692"/>
    <w:rsid w:val="00875635"/>
    <w:rsid w:val="00880CC9"/>
    <w:rsid w:val="0088327C"/>
    <w:rsid w:val="008863E0"/>
    <w:rsid w:val="0088762D"/>
    <w:rsid w:val="008877ED"/>
    <w:rsid w:val="00890996"/>
    <w:rsid w:val="00890DB6"/>
    <w:rsid w:val="008933D8"/>
    <w:rsid w:val="008A0085"/>
    <w:rsid w:val="008A0833"/>
    <w:rsid w:val="008A0912"/>
    <w:rsid w:val="008A0DC2"/>
    <w:rsid w:val="008A3E60"/>
    <w:rsid w:val="008A43A5"/>
    <w:rsid w:val="008A7265"/>
    <w:rsid w:val="008B09E8"/>
    <w:rsid w:val="008B23E9"/>
    <w:rsid w:val="008B3039"/>
    <w:rsid w:val="008C0559"/>
    <w:rsid w:val="008C1207"/>
    <w:rsid w:val="008C3763"/>
    <w:rsid w:val="008C65F8"/>
    <w:rsid w:val="008D038F"/>
    <w:rsid w:val="008D0BA9"/>
    <w:rsid w:val="008D2392"/>
    <w:rsid w:val="008D5BB0"/>
    <w:rsid w:val="008D7117"/>
    <w:rsid w:val="008E1DC7"/>
    <w:rsid w:val="008E5AC0"/>
    <w:rsid w:val="008E6244"/>
    <w:rsid w:val="008F2A38"/>
    <w:rsid w:val="008F3E64"/>
    <w:rsid w:val="008F5D06"/>
    <w:rsid w:val="008F5DAC"/>
    <w:rsid w:val="008F7654"/>
    <w:rsid w:val="0090131A"/>
    <w:rsid w:val="00902884"/>
    <w:rsid w:val="00903EAE"/>
    <w:rsid w:val="009069DD"/>
    <w:rsid w:val="0091081B"/>
    <w:rsid w:val="0091589D"/>
    <w:rsid w:val="009312EE"/>
    <w:rsid w:val="00931A46"/>
    <w:rsid w:val="009329EC"/>
    <w:rsid w:val="009342C0"/>
    <w:rsid w:val="00944373"/>
    <w:rsid w:val="00944463"/>
    <w:rsid w:val="0094548B"/>
    <w:rsid w:val="00945A49"/>
    <w:rsid w:val="00947358"/>
    <w:rsid w:val="00951504"/>
    <w:rsid w:val="00955AC5"/>
    <w:rsid w:val="00956834"/>
    <w:rsid w:val="00956DD4"/>
    <w:rsid w:val="0096299F"/>
    <w:rsid w:val="00966B8B"/>
    <w:rsid w:val="00971B1A"/>
    <w:rsid w:val="00972562"/>
    <w:rsid w:val="0097383F"/>
    <w:rsid w:val="00981A37"/>
    <w:rsid w:val="00981DD0"/>
    <w:rsid w:val="009912B8"/>
    <w:rsid w:val="00993121"/>
    <w:rsid w:val="0099370B"/>
    <w:rsid w:val="009939FF"/>
    <w:rsid w:val="00993BA5"/>
    <w:rsid w:val="009A4C0F"/>
    <w:rsid w:val="009A509C"/>
    <w:rsid w:val="009A5957"/>
    <w:rsid w:val="009A5B4C"/>
    <w:rsid w:val="009A75A0"/>
    <w:rsid w:val="009B08B2"/>
    <w:rsid w:val="009B13A1"/>
    <w:rsid w:val="009B1546"/>
    <w:rsid w:val="009B1644"/>
    <w:rsid w:val="009B3921"/>
    <w:rsid w:val="009C414E"/>
    <w:rsid w:val="009D0425"/>
    <w:rsid w:val="009D1CC1"/>
    <w:rsid w:val="009D27EF"/>
    <w:rsid w:val="009D385D"/>
    <w:rsid w:val="009D5D56"/>
    <w:rsid w:val="009D5DA2"/>
    <w:rsid w:val="009D6347"/>
    <w:rsid w:val="009D7CE3"/>
    <w:rsid w:val="009E0273"/>
    <w:rsid w:val="009E1CE4"/>
    <w:rsid w:val="009E2103"/>
    <w:rsid w:val="009E21DC"/>
    <w:rsid w:val="009E7450"/>
    <w:rsid w:val="009F308C"/>
    <w:rsid w:val="009F372D"/>
    <w:rsid w:val="009F3A74"/>
    <w:rsid w:val="009F48CB"/>
    <w:rsid w:val="009F5A99"/>
    <w:rsid w:val="009F6DAD"/>
    <w:rsid w:val="009F73C1"/>
    <w:rsid w:val="009F759A"/>
    <w:rsid w:val="00A0055D"/>
    <w:rsid w:val="00A00C96"/>
    <w:rsid w:val="00A00F49"/>
    <w:rsid w:val="00A00FF6"/>
    <w:rsid w:val="00A03DF6"/>
    <w:rsid w:val="00A047F2"/>
    <w:rsid w:val="00A04E6A"/>
    <w:rsid w:val="00A06FB0"/>
    <w:rsid w:val="00A10398"/>
    <w:rsid w:val="00A10DB1"/>
    <w:rsid w:val="00A15B51"/>
    <w:rsid w:val="00A16927"/>
    <w:rsid w:val="00A2194D"/>
    <w:rsid w:val="00A23E15"/>
    <w:rsid w:val="00A255CB"/>
    <w:rsid w:val="00A27062"/>
    <w:rsid w:val="00A271E9"/>
    <w:rsid w:val="00A3089F"/>
    <w:rsid w:val="00A30A6C"/>
    <w:rsid w:val="00A36699"/>
    <w:rsid w:val="00A45774"/>
    <w:rsid w:val="00A47EC0"/>
    <w:rsid w:val="00A52EED"/>
    <w:rsid w:val="00A537CF"/>
    <w:rsid w:val="00A5494C"/>
    <w:rsid w:val="00A55ECC"/>
    <w:rsid w:val="00A57A39"/>
    <w:rsid w:val="00A60570"/>
    <w:rsid w:val="00A608B1"/>
    <w:rsid w:val="00A641DF"/>
    <w:rsid w:val="00A65BF5"/>
    <w:rsid w:val="00A673CC"/>
    <w:rsid w:val="00A7187B"/>
    <w:rsid w:val="00A728DB"/>
    <w:rsid w:val="00A73C0C"/>
    <w:rsid w:val="00A77754"/>
    <w:rsid w:val="00A8134F"/>
    <w:rsid w:val="00A81BDC"/>
    <w:rsid w:val="00A82727"/>
    <w:rsid w:val="00A8454A"/>
    <w:rsid w:val="00A84B88"/>
    <w:rsid w:val="00A94CD2"/>
    <w:rsid w:val="00A968CE"/>
    <w:rsid w:val="00A97CCB"/>
    <w:rsid w:val="00AA04C3"/>
    <w:rsid w:val="00AA0714"/>
    <w:rsid w:val="00AA246A"/>
    <w:rsid w:val="00AA548A"/>
    <w:rsid w:val="00AA6273"/>
    <w:rsid w:val="00AA632B"/>
    <w:rsid w:val="00AA7082"/>
    <w:rsid w:val="00AB1281"/>
    <w:rsid w:val="00AB22EA"/>
    <w:rsid w:val="00AB2E4C"/>
    <w:rsid w:val="00AB3949"/>
    <w:rsid w:val="00AB3EA7"/>
    <w:rsid w:val="00AB4AB1"/>
    <w:rsid w:val="00AB5CE5"/>
    <w:rsid w:val="00AC0479"/>
    <w:rsid w:val="00AC5873"/>
    <w:rsid w:val="00AC6677"/>
    <w:rsid w:val="00AD2225"/>
    <w:rsid w:val="00AD5CC0"/>
    <w:rsid w:val="00AD5EAB"/>
    <w:rsid w:val="00AD5EAF"/>
    <w:rsid w:val="00AE0B75"/>
    <w:rsid w:val="00AE2154"/>
    <w:rsid w:val="00AE2B19"/>
    <w:rsid w:val="00AF2DB3"/>
    <w:rsid w:val="00AF35EB"/>
    <w:rsid w:val="00AF42F0"/>
    <w:rsid w:val="00AF5B58"/>
    <w:rsid w:val="00B0128A"/>
    <w:rsid w:val="00B01BD5"/>
    <w:rsid w:val="00B02AB8"/>
    <w:rsid w:val="00B03943"/>
    <w:rsid w:val="00B11074"/>
    <w:rsid w:val="00B142D1"/>
    <w:rsid w:val="00B14E33"/>
    <w:rsid w:val="00B1670C"/>
    <w:rsid w:val="00B16B84"/>
    <w:rsid w:val="00B17B7E"/>
    <w:rsid w:val="00B21D03"/>
    <w:rsid w:val="00B23100"/>
    <w:rsid w:val="00B24316"/>
    <w:rsid w:val="00B259F4"/>
    <w:rsid w:val="00B26B26"/>
    <w:rsid w:val="00B26D0F"/>
    <w:rsid w:val="00B27263"/>
    <w:rsid w:val="00B407CC"/>
    <w:rsid w:val="00B45CA8"/>
    <w:rsid w:val="00B5270D"/>
    <w:rsid w:val="00B54F76"/>
    <w:rsid w:val="00B555A0"/>
    <w:rsid w:val="00B60FD0"/>
    <w:rsid w:val="00B621B6"/>
    <w:rsid w:val="00B63555"/>
    <w:rsid w:val="00B71990"/>
    <w:rsid w:val="00B71D61"/>
    <w:rsid w:val="00B77130"/>
    <w:rsid w:val="00B828A5"/>
    <w:rsid w:val="00B82C46"/>
    <w:rsid w:val="00B85594"/>
    <w:rsid w:val="00B8750F"/>
    <w:rsid w:val="00B921A2"/>
    <w:rsid w:val="00B97E45"/>
    <w:rsid w:val="00BA0487"/>
    <w:rsid w:val="00BA093E"/>
    <w:rsid w:val="00BA0D70"/>
    <w:rsid w:val="00BA24A6"/>
    <w:rsid w:val="00BA263D"/>
    <w:rsid w:val="00BA2971"/>
    <w:rsid w:val="00BA3777"/>
    <w:rsid w:val="00BA48FA"/>
    <w:rsid w:val="00BA4ABE"/>
    <w:rsid w:val="00BA63DE"/>
    <w:rsid w:val="00BA6FAF"/>
    <w:rsid w:val="00BB0A32"/>
    <w:rsid w:val="00BB0B06"/>
    <w:rsid w:val="00BB2188"/>
    <w:rsid w:val="00BB25E8"/>
    <w:rsid w:val="00BC0077"/>
    <w:rsid w:val="00BC590E"/>
    <w:rsid w:val="00BD047B"/>
    <w:rsid w:val="00BD2B44"/>
    <w:rsid w:val="00BD2C00"/>
    <w:rsid w:val="00BE1391"/>
    <w:rsid w:val="00BE6E46"/>
    <w:rsid w:val="00BE71B8"/>
    <w:rsid w:val="00BE7723"/>
    <w:rsid w:val="00BE7D5F"/>
    <w:rsid w:val="00BF25BF"/>
    <w:rsid w:val="00BF59C3"/>
    <w:rsid w:val="00BF618D"/>
    <w:rsid w:val="00BF79D3"/>
    <w:rsid w:val="00BF7C7C"/>
    <w:rsid w:val="00C02729"/>
    <w:rsid w:val="00C03775"/>
    <w:rsid w:val="00C03D88"/>
    <w:rsid w:val="00C03F77"/>
    <w:rsid w:val="00C04FF1"/>
    <w:rsid w:val="00C1093F"/>
    <w:rsid w:val="00C12329"/>
    <w:rsid w:val="00C21CAC"/>
    <w:rsid w:val="00C2238C"/>
    <w:rsid w:val="00C23AEC"/>
    <w:rsid w:val="00C23F02"/>
    <w:rsid w:val="00C24755"/>
    <w:rsid w:val="00C2528A"/>
    <w:rsid w:val="00C254DF"/>
    <w:rsid w:val="00C26AF2"/>
    <w:rsid w:val="00C27A0A"/>
    <w:rsid w:val="00C30D67"/>
    <w:rsid w:val="00C319F4"/>
    <w:rsid w:val="00C32D2A"/>
    <w:rsid w:val="00C335F2"/>
    <w:rsid w:val="00C33F90"/>
    <w:rsid w:val="00C35B2A"/>
    <w:rsid w:val="00C368C0"/>
    <w:rsid w:val="00C37B99"/>
    <w:rsid w:val="00C37DC4"/>
    <w:rsid w:val="00C432A7"/>
    <w:rsid w:val="00C44F7F"/>
    <w:rsid w:val="00C45C9C"/>
    <w:rsid w:val="00C45FB9"/>
    <w:rsid w:val="00C47288"/>
    <w:rsid w:val="00C47415"/>
    <w:rsid w:val="00C51229"/>
    <w:rsid w:val="00C52A02"/>
    <w:rsid w:val="00C55095"/>
    <w:rsid w:val="00C613A4"/>
    <w:rsid w:val="00C63A22"/>
    <w:rsid w:val="00C666F3"/>
    <w:rsid w:val="00C67A86"/>
    <w:rsid w:val="00C75F63"/>
    <w:rsid w:val="00C7642D"/>
    <w:rsid w:val="00C80B4A"/>
    <w:rsid w:val="00C83BA4"/>
    <w:rsid w:val="00C8698C"/>
    <w:rsid w:val="00C90E10"/>
    <w:rsid w:val="00C914DE"/>
    <w:rsid w:val="00C92230"/>
    <w:rsid w:val="00C93068"/>
    <w:rsid w:val="00C93DBA"/>
    <w:rsid w:val="00C973DA"/>
    <w:rsid w:val="00CA4134"/>
    <w:rsid w:val="00CA44FC"/>
    <w:rsid w:val="00CA7A00"/>
    <w:rsid w:val="00CB5202"/>
    <w:rsid w:val="00CB556E"/>
    <w:rsid w:val="00CB6136"/>
    <w:rsid w:val="00CB634F"/>
    <w:rsid w:val="00CB7F80"/>
    <w:rsid w:val="00CC1325"/>
    <w:rsid w:val="00CC1B04"/>
    <w:rsid w:val="00CD1D8B"/>
    <w:rsid w:val="00CD3BEC"/>
    <w:rsid w:val="00CD41B4"/>
    <w:rsid w:val="00CD472A"/>
    <w:rsid w:val="00CD5754"/>
    <w:rsid w:val="00CD6756"/>
    <w:rsid w:val="00CE0218"/>
    <w:rsid w:val="00CE2985"/>
    <w:rsid w:val="00CE5A71"/>
    <w:rsid w:val="00CF094D"/>
    <w:rsid w:val="00CF1679"/>
    <w:rsid w:val="00CF26C4"/>
    <w:rsid w:val="00CF3458"/>
    <w:rsid w:val="00CF76E8"/>
    <w:rsid w:val="00CF7CE4"/>
    <w:rsid w:val="00D00D00"/>
    <w:rsid w:val="00D01D91"/>
    <w:rsid w:val="00D01EDD"/>
    <w:rsid w:val="00D10561"/>
    <w:rsid w:val="00D1271C"/>
    <w:rsid w:val="00D1311C"/>
    <w:rsid w:val="00D14B39"/>
    <w:rsid w:val="00D15DC7"/>
    <w:rsid w:val="00D2734D"/>
    <w:rsid w:val="00D32435"/>
    <w:rsid w:val="00D339A3"/>
    <w:rsid w:val="00D40FB2"/>
    <w:rsid w:val="00D426E7"/>
    <w:rsid w:val="00D44B5C"/>
    <w:rsid w:val="00D4588E"/>
    <w:rsid w:val="00D4597F"/>
    <w:rsid w:val="00D46D7A"/>
    <w:rsid w:val="00D47F5D"/>
    <w:rsid w:val="00D52970"/>
    <w:rsid w:val="00D54990"/>
    <w:rsid w:val="00D54F29"/>
    <w:rsid w:val="00D57AD5"/>
    <w:rsid w:val="00D61191"/>
    <w:rsid w:val="00D63C57"/>
    <w:rsid w:val="00D65C30"/>
    <w:rsid w:val="00D6670A"/>
    <w:rsid w:val="00D71F16"/>
    <w:rsid w:val="00D73CD8"/>
    <w:rsid w:val="00D81604"/>
    <w:rsid w:val="00D90F1C"/>
    <w:rsid w:val="00D91A6D"/>
    <w:rsid w:val="00D91D80"/>
    <w:rsid w:val="00D94CCC"/>
    <w:rsid w:val="00D95631"/>
    <w:rsid w:val="00D9777E"/>
    <w:rsid w:val="00D97E0B"/>
    <w:rsid w:val="00D97F9A"/>
    <w:rsid w:val="00DA0588"/>
    <w:rsid w:val="00DA3638"/>
    <w:rsid w:val="00DA4644"/>
    <w:rsid w:val="00DA491E"/>
    <w:rsid w:val="00DA73FE"/>
    <w:rsid w:val="00DB3E79"/>
    <w:rsid w:val="00DB70C4"/>
    <w:rsid w:val="00DB7968"/>
    <w:rsid w:val="00DB7D4C"/>
    <w:rsid w:val="00DC332A"/>
    <w:rsid w:val="00DC3F21"/>
    <w:rsid w:val="00DC3F78"/>
    <w:rsid w:val="00DC41DE"/>
    <w:rsid w:val="00DD2AC4"/>
    <w:rsid w:val="00DD3F35"/>
    <w:rsid w:val="00DE2A7B"/>
    <w:rsid w:val="00DE64A9"/>
    <w:rsid w:val="00DF40ED"/>
    <w:rsid w:val="00DF4A65"/>
    <w:rsid w:val="00E01CEC"/>
    <w:rsid w:val="00E0265D"/>
    <w:rsid w:val="00E0391A"/>
    <w:rsid w:val="00E03A9E"/>
    <w:rsid w:val="00E041E0"/>
    <w:rsid w:val="00E07172"/>
    <w:rsid w:val="00E120D0"/>
    <w:rsid w:val="00E229A3"/>
    <w:rsid w:val="00E23D10"/>
    <w:rsid w:val="00E26BA3"/>
    <w:rsid w:val="00E33ABF"/>
    <w:rsid w:val="00E347E3"/>
    <w:rsid w:val="00E50EEB"/>
    <w:rsid w:val="00E51BC9"/>
    <w:rsid w:val="00E55AAB"/>
    <w:rsid w:val="00E55E11"/>
    <w:rsid w:val="00E564E8"/>
    <w:rsid w:val="00E65FE2"/>
    <w:rsid w:val="00E71056"/>
    <w:rsid w:val="00E718BD"/>
    <w:rsid w:val="00E722AF"/>
    <w:rsid w:val="00E80CEE"/>
    <w:rsid w:val="00E82C12"/>
    <w:rsid w:val="00E84A38"/>
    <w:rsid w:val="00E95529"/>
    <w:rsid w:val="00E95E35"/>
    <w:rsid w:val="00EA01AC"/>
    <w:rsid w:val="00EA0B33"/>
    <w:rsid w:val="00EA100C"/>
    <w:rsid w:val="00EA1161"/>
    <w:rsid w:val="00EA5777"/>
    <w:rsid w:val="00EB4DF2"/>
    <w:rsid w:val="00EB5C29"/>
    <w:rsid w:val="00EC10FD"/>
    <w:rsid w:val="00EC1254"/>
    <w:rsid w:val="00EC14FC"/>
    <w:rsid w:val="00EC4686"/>
    <w:rsid w:val="00ED07DF"/>
    <w:rsid w:val="00ED0B9A"/>
    <w:rsid w:val="00ED0D88"/>
    <w:rsid w:val="00ED3D74"/>
    <w:rsid w:val="00ED7B90"/>
    <w:rsid w:val="00EE1282"/>
    <w:rsid w:val="00EE2D47"/>
    <w:rsid w:val="00EE37D3"/>
    <w:rsid w:val="00EE439B"/>
    <w:rsid w:val="00EF0350"/>
    <w:rsid w:val="00EF0F77"/>
    <w:rsid w:val="00F00E4D"/>
    <w:rsid w:val="00F0503A"/>
    <w:rsid w:val="00F07436"/>
    <w:rsid w:val="00F078AC"/>
    <w:rsid w:val="00F10AF7"/>
    <w:rsid w:val="00F12497"/>
    <w:rsid w:val="00F21E75"/>
    <w:rsid w:val="00F266D3"/>
    <w:rsid w:val="00F26C6C"/>
    <w:rsid w:val="00F26E96"/>
    <w:rsid w:val="00F2739F"/>
    <w:rsid w:val="00F30797"/>
    <w:rsid w:val="00F35A52"/>
    <w:rsid w:val="00F41CD5"/>
    <w:rsid w:val="00F43570"/>
    <w:rsid w:val="00F45A80"/>
    <w:rsid w:val="00F4720B"/>
    <w:rsid w:val="00F47D34"/>
    <w:rsid w:val="00F525C6"/>
    <w:rsid w:val="00F52F1D"/>
    <w:rsid w:val="00F53BD0"/>
    <w:rsid w:val="00F54766"/>
    <w:rsid w:val="00F65356"/>
    <w:rsid w:val="00F65883"/>
    <w:rsid w:val="00F775A7"/>
    <w:rsid w:val="00F81AB7"/>
    <w:rsid w:val="00F83718"/>
    <w:rsid w:val="00F84042"/>
    <w:rsid w:val="00F84B08"/>
    <w:rsid w:val="00F85133"/>
    <w:rsid w:val="00F9092C"/>
    <w:rsid w:val="00F93BC7"/>
    <w:rsid w:val="00F94421"/>
    <w:rsid w:val="00F946ED"/>
    <w:rsid w:val="00F965BC"/>
    <w:rsid w:val="00FA226B"/>
    <w:rsid w:val="00FA2A4F"/>
    <w:rsid w:val="00FA2CCF"/>
    <w:rsid w:val="00FA3740"/>
    <w:rsid w:val="00FA3A1B"/>
    <w:rsid w:val="00FB0857"/>
    <w:rsid w:val="00FB13A9"/>
    <w:rsid w:val="00FB265C"/>
    <w:rsid w:val="00FB556D"/>
    <w:rsid w:val="00FC033B"/>
    <w:rsid w:val="00FC0B62"/>
    <w:rsid w:val="00FC2011"/>
    <w:rsid w:val="00FC2B90"/>
    <w:rsid w:val="00FC4A2E"/>
    <w:rsid w:val="00FC6726"/>
    <w:rsid w:val="00FD4385"/>
    <w:rsid w:val="00FD46C6"/>
    <w:rsid w:val="00FD5FBD"/>
    <w:rsid w:val="00FE2CB7"/>
    <w:rsid w:val="00FE4969"/>
    <w:rsid w:val="00FE5B14"/>
    <w:rsid w:val="00FF07C1"/>
    <w:rsid w:val="00FF2B51"/>
    <w:rsid w:val="00FF45F4"/>
    <w:rsid w:val="00FF5EC5"/>
    <w:rsid w:val="00FF61E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2049"/>
    <o:shapelayout v:ext="edit">
      <o:idmap v:ext="edit" data="1"/>
    </o:shapelayout>
  </w:shapeDefaults>
  <w:decimalSymbol w:val="."/>
  <w:listSeparator w:val=","/>
  <w15:docId w15:val="{EC5612D4-B7D1-40A0-AEE7-0B0F20E1D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7A0A"/>
    <w:rPr>
      <w:rFonts w:ascii="Arial" w:hAnsi="Arial" w:cs="Arial"/>
      <w:sz w:val="22"/>
    </w:rPr>
  </w:style>
  <w:style w:type="paragraph" w:styleId="Heading1">
    <w:name w:val="heading 1"/>
    <w:basedOn w:val="Normal"/>
    <w:next w:val="Normal"/>
    <w:link w:val="Heading1Char"/>
    <w:qFormat/>
    <w:rsid w:val="00BD2B44"/>
    <w:pPr>
      <w:tabs>
        <w:tab w:val="center" w:pos="4153"/>
      </w:tabs>
      <w:spacing w:line="240" w:lineRule="exact"/>
      <w:ind w:right="-680"/>
      <w:jc w:val="right"/>
      <w:outlineLvl w:val="0"/>
    </w:pPr>
    <w:rPr>
      <w:rFonts w:cs="Times New Roman"/>
      <w:sz w:val="18"/>
      <w:szCs w:val="18"/>
    </w:rPr>
  </w:style>
  <w:style w:type="paragraph" w:styleId="Heading2">
    <w:name w:val="heading 2"/>
    <w:basedOn w:val="Heading1"/>
    <w:next w:val="Normal"/>
    <w:link w:val="Heading2Char"/>
    <w:qFormat/>
    <w:rsid w:val="00BD2B44"/>
    <w:pPr>
      <w:outlineLvl w:val="1"/>
    </w:pPr>
    <w:rPr>
      <w:b/>
    </w:rPr>
  </w:style>
  <w:style w:type="paragraph" w:styleId="Heading4">
    <w:name w:val="heading 4"/>
    <w:basedOn w:val="Normal"/>
    <w:next w:val="Normal"/>
    <w:qFormat/>
    <w:rsid w:val="00890996"/>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qFormat/>
    <w:rsid w:val="00890996"/>
    <w:pPr>
      <w:spacing w:before="240" w:after="60"/>
      <w:outlineLvl w:val="4"/>
    </w:pPr>
    <w:rPr>
      <w:b/>
      <w:bCs/>
      <w:i/>
      <w:iCs/>
      <w:sz w:val="26"/>
      <w:szCs w:val="26"/>
    </w:rPr>
  </w:style>
  <w:style w:type="paragraph" w:styleId="Heading6">
    <w:name w:val="heading 6"/>
    <w:basedOn w:val="Normal"/>
    <w:next w:val="Normal"/>
    <w:qFormat/>
    <w:rsid w:val="00890996"/>
    <w:pPr>
      <w:spacing w:before="240" w:after="60"/>
      <w:outlineLvl w:val="5"/>
    </w:pPr>
    <w:rPr>
      <w:rFonts w:ascii="Times New Roman" w:hAnsi="Times New Roman" w:cs="Times New Roman"/>
      <w:b/>
      <w:bCs/>
      <w:szCs w:val="22"/>
    </w:rPr>
  </w:style>
  <w:style w:type="paragraph" w:styleId="Heading7">
    <w:name w:val="heading 7"/>
    <w:basedOn w:val="Normal"/>
    <w:next w:val="Normal"/>
    <w:qFormat/>
    <w:rsid w:val="00890996"/>
    <w:pPr>
      <w:spacing w:before="240" w:after="60"/>
      <w:outlineLvl w:val="6"/>
    </w:pPr>
    <w:rPr>
      <w:rFonts w:ascii="Times New Roman" w:hAnsi="Times New Roman" w:cs="Times New Roman"/>
      <w:sz w:val="24"/>
      <w:szCs w:val="24"/>
    </w:rPr>
  </w:style>
  <w:style w:type="paragraph" w:styleId="Heading8">
    <w:name w:val="heading 8"/>
    <w:basedOn w:val="Normal"/>
    <w:next w:val="Normal"/>
    <w:qFormat/>
    <w:rsid w:val="00890996"/>
    <w:pPr>
      <w:spacing w:before="240" w:after="60"/>
      <w:outlineLvl w:val="7"/>
    </w:pPr>
    <w:rPr>
      <w:rFonts w:ascii="Times New Roman" w:hAnsi="Times New Roman" w:cs="Times New Roman"/>
      <w:i/>
      <w:iCs/>
      <w:sz w:val="24"/>
      <w:szCs w:val="24"/>
    </w:rPr>
  </w:style>
  <w:style w:type="paragraph" w:styleId="Heading9">
    <w:name w:val="heading 9"/>
    <w:basedOn w:val="Normal"/>
    <w:next w:val="Normal"/>
    <w:qFormat/>
    <w:rsid w:val="00890996"/>
    <w:pPr>
      <w:spacing w:before="240" w:after="6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184B7C"/>
    <w:pPr>
      <w:tabs>
        <w:tab w:val="center" w:pos="4153"/>
        <w:tab w:val="right" w:pos="8306"/>
      </w:tabs>
    </w:pPr>
  </w:style>
  <w:style w:type="paragraph" w:styleId="Header">
    <w:name w:val="header"/>
    <w:basedOn w:val="Normal"/>
    <w:link w:val="HeaderChar"/>
    <w:uiPriority w:val="99"/>
    <w:rsid w:val="00184B7C"/>
    <w:pPr>
      <w:tabs>
        <w:tab w:val="center" w:pos="4153"/>
        <w:tab w:val="right" w:pos="8306"/>
      </w:tabs>
    </w:pPr>
  </w:style>
  <w:style w:type="paragraph" w:styleId="BalloonText">
    <w:name w:val="Balloon Text"/>
    <w:basedOn w:val="Normal"/>
    <w:semiHidden/>
    <w:rsid w:val="00CB5202"/>
    <w:rPr>
      <w:rFonts w:ascii="Tahoma" w:hAnsi="Tahoma" w:cs="Tahoma"/>
      <w:sz w:val="16"/>
      <w:szCs w:val="16"/>
    </w:rPr>
  </w:style>
  <w:style w:type="paragraph" w:customStyle="1" w:styleId="NTTHeaderInfo">
    <w:name w:val="NTT Header Info"/>
    <w:rsid w:val="00713E0D"/>
    <w:pPr>
      <w:spacing w:line="240" w:lineRule="exact"/>
      <w:jc w:val="right"/>
    </w:pPr>
    <w:rPr>
      <w:rFonts w:ascii="Arial" w:hAnsi="Arial"/>
      <w:sz w:val="18"/>
      <w:szCs w:val="18"/>
    </w:rPr>
  </w:style>
  <w:style w:type="character" w:customStyle="1" w:styleId="Heading1Char">
    <w:name w:val="Heading 1 Char"/>
    <w:link w:val="Heading1"/>
    <w:rsid w:val="00BD2B44"/>
    <w:rPr>
      <w:rFonts w:ascii="Arial" w:hAnsi="Arial"/>
      <w:sz w:val="18"/>
      <w:szCs w:val="18"/>
      <w:lang w:val="en-AU" w:eastAsia="en-AU" w:bidi="ar-SA"/>
    </w:rPr>
  </w:style>
  <w:style w:type="character" w:customStyle="1" w:styleId="Heading2Char">
    <w:name w:val="Heading 2 Char"/>
    <w:link w:val="Heading2"/>
    <w:rsid w:val="00BD2B44"/>
    <w:rPr>
      <w:rFonts w:ascii="Arial" w:hAnsi="Arial"/>
      <w:b/>
      <w:sz w:val="18"/>
      <w:szCs w:val="18"/>
      <w:lang w:val="en-AU" w:eastAsia="en-AU" w:bidi="ar-SA"/>
    </w:rPr>
  </w:style>
  <w:style w:type="paragraph" w:customStyle="1" w:styleId="NTTBodyText">
    <w:name w:val="NTT Body Text"/>
    <w:rsid w:val="00E51BC9"/>
    <w:pPr>
      <w:spacing w:after="120" w:line="300" w:lineRule="exact"/>
    </w:pPr>
    <w:rPr>
      <w:rFonts w:ascii="Arial" w:hAnsi="Arial"/>
      <w:sz w:val="22"/>
      <w:szCs w:val="24"/>
    </w:rPr>
  </w:style>
  <w:style w:type="character" w:styleId="PageNumber">
    <w:name w:val="page number"/>
    <w:basedOn w:val="DefaultParagraphFont"/>
    <w:rsid w:val="0019571B"/>
  </w:style>
  <w:style w:type="paragraph" w:customStyle="1" w:styleId="NTTBodyTextTitle">
    <w:name w:val="NTT Body Text Title"/>
    <w:basedOn w:val="NTTBodyText"/>
    <w:rsid w:val="001D7DC4"/>
    <w:rPr>
      <w:b/>
      <w:bCs/>
    </w:rPr>
  </w:style>
  <w:style w:type="table" w:styleId="TableGrid">
    <w:name w:val="Table Grid"/>
    <w:basedOn w:val="TableNormal"/>
    <w:rsid w:val="00C27A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One">
    <w:name w:val="Heading One"/>
    <w:basedOn w:val="Normal"/>
    <w:rsid w:val="00364D5F"/>
    <w:pPr>
      <w:spacing w:after="120"/>
      <w:jc w:val="center"/>
    </w:pPr>
    <w:rPr>
      <w:rFonts w:cs="Times New Roman"/>
      <w:b/>
      <w:bCs/>
      <w:sz w:val="32"/>
    </w:rPr>
  </w:style>
  <w:style w:type="paragraph" w:customStyle="1" w:styleId="HeadingTwo">
    <w:name w:val="Heading Two"/>
    <w:basedOn w:val="Normal"/>
    <w:rsid w:val="00B24316"/>
    <w:pPr>
      <w:keepNext/>
      <w:keepLines/>
      <w:pBdr>
        <w:bottom w:val="single" w:sz="4" w:space="1" w:color="auto"/>
      </w:pBdr>
      <w:spacing w:before="360" w:after="120"/>
    </w:pPr>
    <w:rPr>
      <w:rFonts w:cs="Times New Roman"/>
      <w:b/>
      <w:bCs/>
    </w:rPr>
  </w:style>
  <w:style w:type="numbering" w:customStyle="1" w:styleId="Text">
    <w:name w:val="Text"/>
    <w:rsid w:val="00545D20"/>
    <w:pPr>
      <w:numPr>
        <w:numId w:val="33"/>
      </w:numPr>
    </w:pPr>
  </w:style>
  <w:style w:type="character" w:styleId="Hyperlink">
    <w:name w:val="Hyperlink"/>
    <w:rsid w:val="00545D20"/>
    <w:rPr>
      <w:color w:val="0000FF"/>
      <w:u w:val="single"/>
    </w:rPr>
  </w:style>
  <w:style w:type="paragraph" w:styleId="BlockText">
    <w:name w:val="Block Text"/>
    <w:basedOn w:val="ListNumber"/>
    <w:link w:val="BlockTextChar"/>
    <w:rsid w:val="004135B0"/>
    <w:pPr>
      <w:keepLines/>
      <w:numPr>
        <w:numId w:val="3"/>
      </w:numPr>
      <w:tabs>
        <w:tab w:val="clear" w:pos="567"/>
      </w:tabs>
      <w:spacing w:after="120"/>
      <w:jc w:val="both"/>
    </w:pPr>
  </w:style>
  <w:style w:type="paragraph" w:customStyle="1" w:styleId="HeadingThree">
    <w:name w:val="Heading Three"/>
    <w:basedOn w:val="HeadingTwo"/>
    <w:rsid w:val="00545D20"/>
    <w:pPr>
      <w:pBdr>
        <w:bottom w:val="none" w:sz="0" w:space="0" w:color="auto"/>
      </w:pBdr>
    </w:pPr>
    <w:rPr>
      <w:i/>
      <w:iCs/>
    </w:rPr>
  </w:style>
  <w:style w:type="paragraph" w:customStyle="1" w:styleId="HeadingFour">
    <w:name w:val="Heading Four"/>
    <w:basedOn w:val="HeadingThree"/>
    <w:rsid w:val="006034B6"/>
    <w:rPr>
      <w:b w:val="0"/>
      <w:bCs w:val="0"/>
      <w:u w:val="single"/>
    </w:rPr>
  </w:style>
  <w:style w:type="paragraph" w:styleId="BodyText2">
    <w:name w:val="Body Text 2"/>
    <w:basedOn w:val="Normal"/>
    <w:rsid w:val="00513926"/>
    <w:pPr>
      <w:spacing w:after="120"/>
      <w:jc w:val="both"/>
    </w:pPr>
    <w:rPr>
      <w:rFonts w:ascii="Tahoma" w:hAnsi="Tahoma" w:cs="Times New Roman"/>
      <w:b/>
    </w:rPr>
  </w:style>
  <w:style w:type="paragraph" w:styleId="ListNumber">
    <w:name w:val="List Number"/>
    <w:basedOn w:val="Normal"/>
    <w:link w:val="ListNumberChar"/>
    <w:rsid w:val="00890996"/>
    <w:pPr>
      <w:numPr>
        <w:numId w:val="8"/>
      </w:numPr>
    </w:pPr>
  </w:style>
  <w:style w:type="paragraph" w:customStyle="1" w:styleId="ExampleBox">
    <w:name w:val="Example Box"/>
    <w:rsid w:val="00F65356"/>
    <w:pPr>
      <w:pBdr>
        <w:top w:val="single" w:sz="4" w:space="1" w:color="auto"/>
        <w:left w:val="single" w:sz="4" w:space="4" w:color="auto"/>
        <w:bottom w:val="single" w:sz="4" w:space="1" w:color="auto"/>
        <w:right w:val="single" w:sz="4" w:space="4" w:color="auto"/>
      </w:pBdr>
      <w:shd w:val="clear" w:color="auto" w:fill="F3F3F3"/>
      <w:spacing w:before="120" w:after="120"/>
    </w:pPr>
    <w:rPr>
      <w:rFonts w:ascii="Arial" w:hAnsi="Arial"/>
      <w:sz w:val="22"/>
    </w:rPr>
  </w:style>
  <w:style w:type="paragraph" w:customStyle="1" w:styleId="Subheading1">
    <w:name w:val="Subheading 1"/>
    <w:basedOn w:val="Normal"/>
    <w:rsid w:val="004135B0"/>
    <w:pPr>
      <w:spacing w:before="360" w:line="300" w:lineRule="exact"/>
    </w:pPr>
    <w:rPr>
      <w:rFonts w:cs="Times New Roman"/>
      <w:sz w:val="28"/>
      <w:szCs w:val="28"/>
    </w:rPr>
  </w:style>
  <w:style w:type="paragraph" w:styleId="FootnoteText">
    <w:name w:val="footnote text"/>
    <w:basedOn w:val="Normal"/>
    <w:semiHidden/>
    <w:rsid w:val="004135B0"/>
    <w:rPr>
      <w:rFonts w:ascii="Times New Roman" w:hAnsi="Times New Roman" w:cs="Times New Roman"/>
      <w:sz w:val="20"/>
    </w:rPr>
  </w:style>
  <w:style w:type="character" w:styleId="FootnoteReference">
    <w:name w:val="footnote reference"/>
    <w:semiHidden/>
    <w:rsid w:val="004135B0"/>
    <w:rPr>
      <w:vertAlign w:val="superscript"/>
    </w:rPr>
  </w:style>
  <w:style w:type="paragraph" w:customStyle="1" w:styleId="Section">
    <w:name w:val="Section"/>
    <w:basedOn w:val="Normal"/>
    <w:rsid w:val="004135B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Pr>
      <w:rFonts w:ascii="Times New Roman" w:hAnsi="Times New Roman" w:cs="Times New Roman"/>
      <w:spacing w:val="-3"/>
      <w:sz w:val="26"/>
      <w:lang w:val="en-GB"/>
    </w:rPr>
  </w:style>
  <w:style w:type="paragraph" w:customStyle="1" w:styleId="BodyText">
    <w:name w:val="Body Text."/>
    <w:basedOn w:val="Normal"/>
    <w:link w:val="BodyTextChar"/>
    <w:rsid w:val="004135B0"/>
    <w:pPr>
      <w:spacing w:before="240" w:line="260" w:lineRule="exact"/>
    </w:pPr>
    <w:rPr>
      <w:rFonts w:cs="Times New Roman"/>
    </w:rPr>
  </w:style>
  <w:style w:type="character" w:customStyle="1" w:styleId="BodyTextChar">
    <w:name w:val="Body Text. Char"/>
    <w:link w:val="BodyText"/>
    <w:rsid w:val="004135B0"/>
    <w:rPr>
      <w:rFonts w:ascii="Arial" w:hAnsi="Arial"/>
      <w:sz w:val="22"/>
      <w:lang w:val="en-AU" w:eastAsia="en-AU" w:bidi="ar-SA"/>
    </w:rPr>
  </w:style>
  <w:style w:type="character" w:customStyle="1" w:styleId="ListNumberChar">
    <w:name w:val="List Number Char"/>
    <w:link w:val="ListNumber"/>
    <w:rsid w:val="004135B0"/>
    <w:rPr>
      <w:rFonts w:ascii="Arial" w:hAnsi="Arial" w:cs="Arial"/>
      <w:sz w:val="22"/>
      <w:lang w:val="en-AU" w:eastAsia="en-AU" w:bidi="ar-SA"/>
    </w:rPr>
  </w:style>
  <w:style w:type="character" w:customStyle="1" w:styleId="BlockTextChar">
    <w:name w:val="Block Text Char"/>
    <w:basedOn w:val="ListNumberChar"/>
    <w:link w:val="BlockText"/>
    <w:rsid w:val="004135B0"/>
    <w:rPr>
      <w:rFonts w:ascii="Arial" w:hAnsi="Arial" w:cs="Arial"/>
      <w:sz w:val="22"/>
      <w:lang w:val="en-AU" w:eastAsia="en-AU" w:bidi="ar-SA"/>
    </w:rPr>
  </w:style>
  <w:style w:type="character" w:customStyle="1" w:styleId="HeaderChar">
    <w:name w:val="Header Char"/>
    <w:link w:val="Header"/>
    <w:uiPriority w:val="99"/>
    <w:rsid w:val="00F0503A"/>
    <w:rPr>
      <w:rFonts w:ascii="Arial" w:hAnsi="Arial" w:cs="Arial"/>
      <w:sz w:val="22"/>
    </w:rPr>
  </w:style>
  <w:style w:type="character" w:styleId="FollowedHyperlink">
    <w:name w:val="FollowedHyperlink"/>
    <w:rsid w:val="00BE6E46"/>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treasury.nt.gov.au/PMS/Publications/TaxesRoyaltiesGrants/StampDuty/CG-SD-001.pdf" TargetMode="External"/><Relationship Id="rId18" Type="http://schemas.openxmlformats.org/officeDocument/2006/relationships/hyperlink" Target="http://www.treasury.nt.gov.au/PMS/Publications/TaxesRoyaltiesGrants/GeneralAdmin/CG-GEN-001.pdf"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www.revenue.nt.gov.au/" TargetMode="External"/><Relationship Id="rId7" Type="http://schemas.openxmlformats.org/officeDocument/2006/relationships/webSettings" Target="webSettings.xml"/><Relationship Id="rId12" Type="http://schemas.openxmlformats.org/officeDocument/2006/relationships/hyperlink" Target="http://www.revenue.nt.gov.au" TargetMode="External"/><Relationship Id="rId17" Type="http://schemas.openxmlformats.org/officeDocument/2006/relationships/hyperlink" Target="http://www.treasury.nt.gov.au/PMS/Publications/TaxesRoyaltiesGrants/GeneralAdmin/CG-GEN-005.pdf"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www.treasury.nt.gov.au/PMS/Publications/TaxesRoyaltiesGrants/PayrollTax/I-PRT-001.pdf" TargetMode="External"/><Relationship Id="rId20" Type="http://schemas.openxmlformats.org/officeDocument/2006/relationships/hyperlink" Target="mailto:ntrevenue@nt.gov.au"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treasury.nt.gov.au/PMS/Publications/TaxesRoyaltiesGrants/HomeOwnerIncent/CG-HI-002.pdf" TargetMode="External"/><Relationship Id="rId24"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www.treasury.nt.gov.au/PMS/Publications/TaxesRoyaltiesGrants/StampDuty/CG-SD-010.pdf" TargetMode="External"/><Relationship Id="rId23" Type="http://schemas.openxmlformats.org/officeDocument/2006/relationships/header" Target="header2.xml"/><Relationship Id="rId28" Type="http://schemas.openxmlformats.org/officeDocument/2006/relationships/theme" Target="theme/theme1.xml"/><Relationship Id="rId10" Type="http://schemas.openxmlformats.org/officeDocument/2006/relationships/hyperlink" Target="http://www.treasury.nt.gov.au/PMS/Publications/TaxesRoyaltiesGrants/StampDuty/CG-SD-001.pdf" TargetMode="External"/><Relationship Id="rId19"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treasury.nt.gov.au/PMS/Publications/TaxesRoyaltiesGrants/GeneralAdmin/CG-GEN-005.pdf" TargetMode="External"/><Relationship Id="rId22" Type="http://schemas.openxmlformats.org/officeDocument/2006/relationships/header" Target="header1.xm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treasury.nt.gov.au/PMS/Publications/TaxesRoyaltiesGrants/StampDuty/CG-SD-010.pd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E1D68356F7FB54A917EB6B48522F7AB" ma:contentTypeVersion="18" ma:contentTypeDescription="Create a new document." ma:contentTypeScope="" ma:versionID="5968df1a67298019036e2d468f0f57eb">
  <xsd:schema xmlns:xsd="http://www.w3.org/2001/XMLSchema" xmlns:xs="http://www.w3.org/2001/XMLSchema" xmlns:p="http://schemas.microsoft.com/office/2006/metadata/properties" xmlns:ns2="378e824e-6e02-4c0d-8321-dd86fba681ee" targetNamespace="http://schemas.microsoft.com/office/2006/metadata/properties" ma:root="true" ma:fieldsID="016a859d0580dde8c3c2ff3f02387ef4" ns2:_="">
    <xsd:import namespace="378e824e-6e02-4c0d-8321-dd86fba681ee"/>
    <xsd:element name="properties">
      <xsd:complexType>
        <xsd:sequence>
          <xsd:element name="documentManagement">
            <xsd:complexType>
              <xsd:all>
                <xsd:element ref="ns2:Main_x0020_Category"/>
                <xsd:element ref="ns2:Sub_x0020_Category"/>
                <xsd:element ref="ns2:Sub_x0020_Sub_x0020_Category" minOccurs="0"/>
                <xsd:element ref="ns2:Notify" minOccurs="0"/>
                <xsd:element ref="ns2:Details" minOccurs="0"/>
                <xsd:element ref="ns2:Identifier" minOccurs="0"/>
                <xsd:element ref="ns2:Release_x0020_Date" minOccurs="0"/>
                <xsd:element ref="ns2:Publication_x0020_Title" minOccurs="0"/>
                <xsd:element ref="ns2:Publication_x0020_Type" minOccurs="0"/>
                <xsd:element ref="ns2:Tax_x0020_Type" minOccurs="0"/>
                <xsd:element ref="ns2:Tax_x0020_Type_x0020_Topi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8e824e-6e02-4c0d-8321-dd86fba681ee" elementFormDefault="qualified">
    <xsd:import namespace="http://schemas.microsoft.com/office/2006/documentManagement/types"/>
    <xsd:import namespace="http://schemas.microsoft.com/office/infopath/2007/PartnerControls"/>
    <xsd:element name="Main_x0020_Category" ma:index="8" ma:displayName="Main Category" ma:list="{b3b53843-a8d9-4b92-b7ee-c4efc7605b88}" ma:internalName="Main_x0020_Category" ma:showField="Title" ma:web="ea3f2675-7e45-4831-bae2-8579175e0c68">
      <xsd:simpleType>
        <xsd:restriction base="dms:Lookup"/>
      </xsd:simpleType>
    </xsd:element>
    <xsd:element name="Sub_x0020_Category" ma:index="9" ma:displayName="Sub Category" ma:list="{edf90873-dc2d-4c00-9444-d26c07edafe2}" ma:internalName="Sub_x0020_Category" ma:showField="Title" ma:web="ea3f2675-7e45-4831-bae2-8579175e0c68">
      <xsd:simpleType>
        <xsd:restriction base="dms:Lookup"/>
      </xsd:simpleType>
    </xsd:element>
    <xsd:element name="Sub_x0020_Sub_x0020_Category" ma:index="10" nillable="true" ma:displayName="Sub Sub Category" ma:list="{0fe7fff1-af8b-412b-8409-b42850d3ea63}" ma:internalName="Sub_x0020_Sub_x0020_Category" ma:readOnly="false" ma:showField="Title" ma:web="ea3f2675-7e45-4831-bae2-8579175e0c68">
      <xsd:simpleType>
        <xsd:restriction base="dms:Lookup"/>
      </xsd:simpleType>
    </xsd:element>
    <xsd:element name="Notify" ma:index="11" nillable="true" ma:displayName="Notify On Check In" ma:default="0" ma:description="Check this box if you would like to notify all subscribers about this document once you check it in." ma:internalName="Notify">
      <xsd:simpleType>
        <xsd:restriction base="dms:Boolean"/>
      </xsd:simpleType>
    </xsd:element>
    <xsd:element name="Details" ma:index="12" nillable="true" ma:displayName="Details" ma:internalName="Details">
      <xsd:simpleType>
        <xsd:restriction base="dms:Text">
          <xsd:maxLength value="255"/>
        </xsd:restriction>
      </xsd:simpleType>
    </xsd:element>
    <xsd:element name="Identifier" ma:index="13" nillable="true" ma:displayName="Identifier" ma:internalName="Identifier">
      <xsd:simpleType>
        <xsd:restriction base="dms:Text">
          <xsd:maxLength value="255"/>
        </xsd:restriction>
      </xsd:simpleType>
    </xsd:element>
    <xsd:element name="Release_x0020_Date" ma:index="14" nillable="true" ma:displayName="Release Date" ma:format="DateOnly" ma:internalName="Release_x0020_Date">
      <xsd:simpleType>
        <xsd:restriction base="dms:DateTime"/>
      </xsd:simpleType>
    </xsd:element>
    <xsd:element name="Publication_x0020_Title" ma:index="15" nillable="true" ma:displayName="Publication Name" ma:description="Use for Taxes, Royalties and Grants publications." ma:internalName="Publication_x0020_Title">
      <xsd:simpleType>
        <xsd:restriction base="dms:Text">
          <xsd:maxLength value="255"/>
        </xsd:restriction>
      </xsd:simpleType>
    </xsd:element>
    <xsd:element name="Publication_x0020_Type" ma:index="16" nillable="true" ma:displayName="Publication Type" ma:description="Use for Taxes, Royalties and Grants publications." ma:format="Dropdown" ma:internalName="Publication_x0020_Type">
      <xsd:simpleType>
        <xsd:restriction base="dms:Choice">
          <xsd:enumeration value="Form (F)"/>
          <xsd:enumeration value="Information (I)"/>
          <xsd:enumeration value="Electronic Returns (RET)"/>
          <xsd:enumeration value="Revenue Circulars (RC)"/>
          <xsd:enumeration value="Payroll Tax Rulings (PTA)"/>
          <xsd:enumeration value="Commissioner's Guidelines (CG)"/>
          <xsd:enumeration value="Royalty Guideline (RG)"/>
          <xsd:enumeration value="Mineral Royalty Forms and Returns (RF)"/>
        </xsd:restriction>
      </xsd:simpleType>
    </xsd:element>
    <xsd:element name="Tax_x0020_Type" ma:index="17" nillable="true" ma:displayName="Tax Type" ma:description="Use for Taxes, Royalties and Grants publications." ma:format="Dropdown" ma:internalName="Tax_x0020_Type">
      <xsd:simpleType>
        <xsd:restriction base="dms:Choice">
          <xsd:enumeration value="General (G)"/>
          <xsd:enumeration value="Home Incentives (HI)"/>
          <xsd:enumeration value="Income Tax Equivalent (IT)"/>
          <xsd:enumeration value="Mineral Royalties"/>
          <xsd:enumeration value="Payroll Tax (PRT)"/>
          <xsd:enumeration value="Stamp Duty (SD)"/>
          <xsd:enumeration value="Unclaimed Money (UM)"/>
        </xsd:restriction>
      </xsd:simpleType>
    </xsd:element>
    <xsd:element name="Tax_x0020_Type_x0020_Topic" ma:index="18" nillable="true" ma:displayName="Tax Type Topic" ma:description="Use for Taxes, Royalties and Grants publications." ma:format="Dropdown" ma:internalName="Tax_x0020_Type_x0020_Topic">
      <xsd:simpleType>
        <xsd:restriction base="dms:Choice">
          <xsd:enumeration value="Allowances"/>
          <xsd:enumeration value="Contractors"/>
          <xsd:enumeration value="Employment Agencies"/>
          <xsd:enumeration value="Exemptions"/>
          <xsd:enumeration value="Fringe Benefits"/>
          <xsd:enumeration value="General"/>
          <xsd:enumeration value="Grouping"/>
          <xsd:enumeration value="NT Payroll Tax Liability"/>
          <xsd:enumeration value="Termination Payments"/>
          <xsd:enumeration value="Wages"/>
          <xsd:enumeration value="Conveyance"/>
          <xsd:enumeration value="Insurance"/>
          <xsd:enumeration value="Leases"/>
          <xsd:enumeration value="Motor Vehicl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_x0020_Type_x0020_Topic xmlns="378e824e-6e02-4c0d-8321-dd86fba681ee" xsi:nil="true"/>
    <Main_x0020_Category xmlns="378e824e-6e02-4c0d-8321-dd86fba681ee">6</Main_x0020_Category>
    <Tax_x0020_Type xmlns="378e824e-6e02-4c0d-8321-dd86fba681ee" xsi:nil="true"/>
    <Publication_x0020_Title xmlns="378e824e-6e02-4c0d-8321-dd86fba681ee">Interest and penalty tax</Publication_x0020_Title>
    <Details xmlns="378e824e-6e02-4c0d-8321-dd86fba681ee" xsi:nil="true"/>
    <Identifier xmlns="378e824e-6e02-4c0d-8321-dd86fba681ee">CG-GEN-002</Identifier>
    <Publication_x0020_Type xmlns="378e824e-6e02-4c0d-8321-dd86fba681ee">Commissioner's Guidelines (CG)</Publication_x0020_Type>
    <Sub_x0020_Sub_x0020_Category xmlns="378e824e-6e02-4c0d-8321-dd86fba681ee" xsi:nil="true"/>
    <Release_x0020_Date xmlns="378e824e-6e02-4c0d-8321-dd86fba681ee">2016-05-23T14:30:00+00:00</Release_x0020_Date>
    <Sub_x0020_Category xmlns="378e824e-6e02-4c0d-8321-dd86fba681ee">27</Sub_x0020_Category>
    <Notify xmlns="378e824e-6e02-4c0d-8321-dd86fba681ee">false</Notify>
  </documentManagement>
</p:properties>
</file>

<file path=customXml/itemProps1.xml><?xml version="1.0" encoding="utf-8"?>
<ds:datastoreItem xmlns:ds="http://schemas.openxmlformats.org/officeDocument/2006/customXml" ds:itemID="{C951DF9A-2C51-492F-ABF0-4D189C967655}">
  <ds:schemaRefs>
    <ds:schemaRef ds:uri="http://schemas.microsoft.com/sharepoint/v3/contenttype/forms"/>
  </ds:schemaRefs>
</ds:datastoreItem>
</file>

<file path=customXml/itemProps2.xml><?xml version="1.0" encoding="utf-8"?>
<ds:datastoreItem xmlns:ds="http://schemas.openxmlformats.org/officeDocument/2006/customXml" ds:itemID="{CDBD3CE0-20B8-4298-AD59-F7482DD985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8e824e-6e02-4c0d-8321-dd86fba681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9C7F0B2-46C2-46DE-AC5E-E7B3508CD1DC}">
  <ds:schemaRefs>
    <ds:schemaRef ds:uri="http://schemas.microsoft.com/office/2006/metadata/properties"/>
    <ds:schemaRef ds:uri="http://schemas.microsoft.com/office/infopath/2007/PartnerControls"/>
    <ds:schemaRef ds:uri="378e824e-6e02-4c0d-8321-dd86fba681e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4531</Words>
  <Characters>25830</Characters>
  <Application>Microsoft Office Word</Application>
  <DocSecurity>8</DocSecurity>
  <Lines>215</Lines>
  <Paragraphs>60</Paragraphs>
  <ScaleCrop>false</ScaleCrop>
  <HeadingPairs>
    <vt:vector size="2" baseType="variant">
      <vt:variant>
        <vt:lpstr>Title</vt:lpstr>
      </vt:variant>
      <vt:variant>
        <vt:i4>1</vt:i4>
      </vt:variant>
    </vt:vector>
  </HeadingPairs>
  <TitlesOfParts>
    <vt:vector size="1" baseType="lpstr">
      <vt:lpstr>Commissioner's guideline - interest and penalty tax - CG-GEN-002</vt:lpstr>
    </vt:vector>
  </TitlesOfParts>
  <Company>Northern Territory Government</Company>
  <LinksUpToDate>false</LinksUpToDate>
  <CharactersWithSpaces>30301</CharactersWithSpaces>
  <SharedDoc>false</SharedDoc>
  <HLinks>
    <vt:vector size="72" baseType="variant">
      <vt:variant>
        <vt:i4>5242895</vt:i4>
      </vt:variant>
      <vt:variant>
        <vt:i4>30</vt:i4>
      </vt:variant>
      <vt:variant>
        <vt:i4>0</vt:i4>
      </vt:variant>
      <vt:variant>
        <vt:i4>5</vt:i4>
      </vt:variant>
      <vt:variant>
        <vt:lpwstr>http://www.revenue.nt.gov.au/</vt:lpwstr>
      </vt:variant>
      <vt:variant>
        <vt:lpwstr/>
      </vt:variant>
      <vt:variant>
        <vt:i4>7798799</vt:i4>
      </vt:variant>
      <vt:variant>
        <vt:i4>27</vt:i4>
      </vt:variant>
      <vt:variant>
        <vt:i4>0</vt:i4>
      </vt:variant>
      <vt:variant>
        <vt:i4>5</vt:i4>
      </vt:variant>
      <vt:variant>
        <vt:lpwstr>mailto:ntrevenue@nt.gov.au</vt:lpwstr>
      </vt:variant>
      <vt:variant>
        <vt:lpwstr/>
      </vt:variant>
      <vt:variant>
        <vt:i4>2883638</vt:i4>
      </vt:variant>
      <vt:variant>
        <vt:i4>24</vt:i4>
      </vt:variant>
      <vt:variant>
        <vt:i4>0</vt:i4>
      </vt:variant>
      <vt:variant>
        <vt:i4>5</vt:i4>
      </vt:variant>
      <vt:variant>
        <vt:lpwstr>http://www.treasury.nt.gov.au/PMS/Publications/TaxesRoyaltiesGrants/GeneralAdmin/CG-GEN-001.pdf</vt:lpwstr>
      </vt:variant>
      <vt:variant>
        <vt:lpwstr/>
      </vt:variant>
      <vt:variant>
        <vt:i4>2883634</vt:i4>
      </vt:variant>
      <vt:variant>
        <vt:i4>21</vt:i4>
      </vt:variant>
      <vt:variant>
        <vt:i4>0</vt:i4>
      </vt:variant>
      <vt:variant>
        <vt:i4>5</vt:i4>
      </vt:variant>
      <vt:variant>
        <vt:lpwstr>http://www.treasury.nt.gov.au/PMS/Publications/TaxesRoyaltiesGrants/GeneralAdmin/CG-GEN-005.pdf</vt:lpwstr>
      </vt:variant>
      <vt:variant>
        <vt:lpwstr/>
      </vt:variant>
      <vt:variant>
        <vt:i4>5898320</vt:i4>
      </vt:variant>
      <vt:variant>
        <vt:i4>18</vt:i4>
      </vt:variant>
      <vt:variant>
        <vt:i4>0</vt:i4>
      </vt:variant>
      <vt:variant>
        <vt:i4>5</vt:i4>
      </vt:variant>
      <vt:variant>
        <vt:lpwstr>http://www.treasury.nt.gov.au/PMS/Publications/TaxesRoyaltiesGrants/PayrollTax/I-PRT-001.pdf</vt:lpwstr>
      </vt:variant>
      <vt:variant>
        <vt:lpwstr/>
      </vt:variant>
      <vt:variant>
        <vt:i4>3604520</vt:i4>
      </vt:variant>
      <vt:variant>
        <vt:i4>15</vt:i4>
      </vt:variant>
      <vt:variant>
        <vt:i4>0</vt:i4>
      </vt:variant>
      <vt:variant>
        <vt:i4>5</vt:i4>
      </vt:variant>
      <vt:variant>
        <vt:lpwstr>http://www.treasury.nt.gov.au/PMS/Publications/TaxesRoyaltiesGrants/StampDuty/CG-SD-010.pdf</vt:lpwstr>
      </vt:variant>
      <vt:variant>
        <vt:lpwstr/>
      </vt:variant>
      <vt:variant>
        <vt:i4>2883634</vt:i4>
      </vt:variant>
      <vt:variant>
        <vt:i4>12</vt:i4>
      </vt:variant>
      <vt:variant>
        <vt:i4>0</vt:i4>
      </vt:variant>
      <vt:variant>
        <vt:i4>5</vt:i4>
      </vt:variant>
      <vt:variant>
        <vt:lpwstr>http://www.treasury.nt.gov.au/PMS/Publications/TaxesRoyaltiesGrants/GeneralAdmin/CG-GEN-005.pdf</vt:lpwstr>
      </vt:variant>
      <vt:variant>
        <vt:lpwstr/>
      </vt:variant>
      <vt:variant>
        <vt:i4>3538985</vt:i4>
      </vt:variant>
      <vt:variant>
        <vt:i4>9</vt:i4>
      </vt:variant>
      <vt:variant>
        <vt:i4>0</vt:i4>
      </vt:variant>
      <vt:variant>
        <vt:i4>5</vt:i4>
      </vt:variant>
      <vt:variant>
        <vt:lpwstr>http://www.treasury.nt.gov.au/PMS/Publications/TaxesRoyaltiesGrants/StampDuty/CG-SD-001.pdf</vt:lpwstr>
      </vt:variant>
      <vt:variant>
        <vt:lpwstr/>
      </vt:variant>
      <vt:variant>
        <vt:i4>5242895</vt:i4>
      </vt:variant>
      <vt:variant>
        <vt:i4>6</vt:i4>
      </vt:variant>
      <vt:variant>
        <vt:i4>0</vt:i4>
      </vt:variant>
      <vt:variant>
        <vt:i4>5</vt:i4>
      </vt:variant>
      <vt:variant>
        <vt:lpwstr>http://www.revenue.nt.gov.au/</vt:lpwstr>
      </vt:variant>
      <vt:variant>
        <vt:lpwstr/>
      </vt:variant>
      <vt:variant>
        <vt:i4>5767232</vt:i4>
      </vt:variant>
      <vt:variant>
        <vt:i4>3</vt:i4>
      </vt:variant>
      <vt:variant>
        <vt:i4>0</vt:i4>
      </vt:variant>
      <vt:variant>
        <vt:i4>5</vt:i4>
      </vt:variant>
      <vt:variant>
        <vt:lpwstr>http://www.treasury.nt.gov.au/PMS/Publications/TaxesRoyaltiesGrants/HomeOwnerIncent/CG-HI-002.pdf</vt:lpwstr>
      </vt:variant>
      <vt:variant>
        <vt:lpwstr/>
      </vt:variant>
      <vt:variant>
        <vt:i4>3538985</vt:i4>
      </vt:variant>
      <vt:variant>
        <vt:i4>0</vt:i4>
      </vt:variant>
      <vt:variant>
        <vt:i4>0</vt:i4>
      </vt:variant>
      <vt:variant>
        <vt:i4>5</vt:i4>
      </vt:variant>
      <vt:variant>
        <vt:lpwstr>http://www.treasury.nt.gov.au/PMS/Publications/TaxesRoyaltiesGrants/StampDuty/CG-SD-001.pdf</vt:lpwstr>
      </vt:variant>
      <vt:variant>
        <vt:lpwstr/>
      </vt:variant>
      <vt:variant>
        <vt:i4>3604520</vt:i4>
      </vt:variant>
      <vt:variant>
        <vt:i4>0</vt:i4>
      </vt:variant>
      <vt:variant>
        <vt:i4>0</vt:i4>
      </vt:variant>
      <vt:variant>
        <vt:i4>5</vt:i4>
      </vt:variant>
      <vt:variant>
        <vt:lpwstr>http://www.treasury.nt.gov.au/PMS/Publications/TaxesRoyaltiesGrants/StampDuty/CG-SD-010.pdf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Commissioner's guideline interest and penalty tax CG-GEN-002</dc:title>
  <dc:creator>Northern Territory Government</dc:creator>
  <cp:lastModifiedBy>Shona Needham</cp:lastModifiedBy>
  <cp:revision>2</cp:revision>
  <cp:lastPrinted>2012-12-07T00:18:00Z</cp:lastPrinted>
  <dcterms:created xsi:type="dcterms:W3CDTF">2018-02-19T01:54:00Z</dcterms:created>
  <dcterms:modified xsi:type="dcterms:W3CDTF">2018-02-19T01:54:00Z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0x010100AE1D68356F7FB54A917EB6B48522F7AB</vt:lpwstr>
  </property>
</Properties>
</file>