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7D" w:rsidRDefault="000E757D" w:rsidP="000E757D">
      <w:pPr>
        <w:tabs>
          <w:tab w:val="left" w:pos="6946"/>
        </w:tabs>
        <w:spacing w:before="200"/>
        <w:rPr>
          <w:b/>
          <w:bCs/>
          <w:color w:val="C00000"/>
          <w:szCs w:val="22"/>
        </w:rPr>
      </w:pPr>
      <w:r w:rsidRPr="00DE581D">
        <w:rPr>
          <w:b/>
          <w:bCs/>
          <w:sz w:val="32"/>
          <w:szCs w:val="32"/>
        </w:rPr>
        <w:t>Guidance Note No:</w:t>
      </w:r>
      <w:r w:rsidRPr="000E757D">
        <w:rPr>
          <w:b/>
          <w:sz w:val="32"/>
          <w:szCs w:val="32"/>
        </w:rPr>
        <w:t xml:space="preserve"> </w:t>
      </w:r>
      <w:r w:rsidRPr="00A61DF7">
        <w:rPr>
          <w:b/>
          <w:sz w:val="32"/>
          <w:szCs w:val="32"/>
        </w:rPr>
        <w:t>31/97</w:t>
      </w:r>
      <w:r w:rsidRPr="000E757D">
        <w:rPr>
          <w:b/>
          <w:sz w:val="32"/>
          <w:szCs w:val="32"/>
        </w:rPr>
        <w:t xml:space="preserve"> </w:t>
      </w:r>
      <w:r>
        <w:rPr>
          <w:b/>
          <w:sz w:val="32"/>
          <w:szCs w:val="32"/>
        </w:rPr>
        <w:tab/>
      </w:r>
      <w:r w:rsidRPr="00A61DF7">
        <w:rPr>
          <w:b/>
          <w:sz w:val="32"/>
          <w:szCs w:val="32"/>
        </w:rPr>
        <w:t>Revision No:</w:t>
      </w:r>
      <w:r w:rsidRPr="000E757D">
        <w:rPr>
          <w:b/>
          <w:sz w:val="32"/>
          <w:szCs w:val="32"/>
        </w:rPr>
        <w:t xml:space="preserve"> </w:t>
      </w:r>
      <w:r w:rsidRPr="00A61DF7">
        <w:rPr>
          <w:b/>
          <w:sz w:val="32"/>
          <w:szCs w:val="32"/>
        </w:rPr>
        <w:t>1</w:t>
      </w:r>
    </w:p>
    <w:p w:rsidR="00365273" w:rsidRPr="00365273" w:rsidRDefault="00365273" w:rsidP="00365273">
      <w:pPr>
        <w:spacing w:before="200"/>
        <w:rPr>
          <w:b/>
          <w:bCs/>
          <w:color w:val="C00000"/>
          <w:szCs w:val="22"/>
        </w:rPr>
      </w:pPr>
      <w:r w:rsidRPr="00365273">
        <w:rPr>
          <w:b/>
          <w:bCs/>
          <w:color w:val="C00000"/>
          <w:szCs w:val="22"/>
        </w:rPr>
        <w:t>This Guidance Notice only applies to vessels that were operating commercially on 30 June 2013</w:t>
      </w:r>
    </w:p>
    <w:p w:rsidR="00365273" w:rsidRPr="00A95BAF" w:rsidRDefault="00365273" w:rsidP="00365273">
      <w:pPr>
        <w:pStyle w:val="Heading1"/>
      </w:pPr>
      <w:r w:rsidRPr="0070722F">
        <w:t>Navigation</w:t>
      </w:r>
      <w:r w:rsidR="00BF090E" w:rsidRPr="0070722F">
        <w:t xml:space="preserve"> and fishing lights for small commercial fishing vessels</w:t>
      </w:r>
    </w:p>
    <w:p w:rsidR="00365273" w:rsidRPr="0070722F" w:rsidRDefault="00365273" w:rsidP="00365273">
      <w:r w:rsidRPr="0070722F">
        <w:t>The International Regulations for Preventing Collisions at Sea 1972 contains regulatory details for lights, shapes and the conduct of vessels of all types internationally. These Regulations are contained in Section 16 of the Uniform Shipping Laws (USL) Code and are called up as the Marine (Prevention of Collision) Regulations in the Northern Territory’s legislation.</w:t>
      </w:r>
    </w:p>
    <w:p w:rsidR="00365273" w:rsidRPr="0070722F" w:rsidRDefault="00365273" w:rsidP="00365273">
      <w:r w:rsidRPr="0070722F">
        <w:t xml:space="preserve">In order to clarify the lights required for </w:t>
      </w:r>
      <w:r w:rsidR="001B59AB" w:rsidRPr="001B59AB">
        <w:rPr>
          <w:b/>
        </w:rPr>
        <w:t>commercial fishing vessels</w:t>
      </w:r>
      <w:r w:rsidRPr="0070722F">
        <w:t xml:space="preserve"> specifically, this Guidance Note illustrates the position and type specification of navigation and fishing lights for smaller sizes of vessels, namely:</w:t>
      </w:r>
    </w:p>
    <w:p w:rsidR="00365273" w:rsidRPr="0070722F" w:rsidRDefault="00365273" w:rsidP="00A95BAF">
      <w:pPr>
        <w:pStyle w:val="ListParagraph"/>
        <w:numPr>
          <w:ilvl w:val="0"/>
          <w:numId w:val="9"/>
        </w:numPr>
      </w:pPr>
      <w:r w:rsidRPr="0070722F">
        <w:t>Fishing Vessels LESS than 7 metres in length.</w:t>
      </w:r>
    </w:p>
    <w:p w:rsidR="00365273" w:rsidRPr="0070722F" w:rsidRDefault="00365273" w:rsidP="00A95BAF">
      <w:pPr>
        <w:pStyle w:val="ListParagraph"/>
        <w:numPr>
          <w:ilvl w:val="0"/>
          <w:numId w:val="9"/>
        </w:numPr>
      </w:pPr>
      <w:r w:rsidRPr="0070722F">
        <w:t xml:space="preserve">Seagoing Fishing Vessels of </w:t>
      </w:r>
      <w:r w:rsidR="001B59AB" w:rsidRPr="001B59AB">
        <w:rPr>
          <w:b/>
        </w:rPr>
        <w:t xml:space="preserve">between </w:t>
      </w:r>
      <w:r w:rsidRPr="0070722F">
        <w:t>7 and 12 metres in length.</w:t>
      </w:r>
    </w:p>
    <w:p w:rsidR="00365273" w:rsidRPr="0070722F" w:rsidRDefault="00365273" w:rsidP="00A95BAF">
      <w:pPr>
        <w:pStyle w:val="ListParagraph"/>
        <w:numPr>
          <w:ilvl w:val="0"/>
          <w:numId w:val="9"/>
        </w:numPr>
      </w:pPr>
      <w:r w:rsidRPr="0070722F">
        <w:t xml:space="preserve">Seagoing Fishing Vessels of </w:t>
      </w:r>
      <w:r w:rsidR="001B59AB" w:rsidRPr="001B59AB">
        <w:rPr>
          <w:b/>
        </w:rPr>
        <w:t>between</w:t>
      </w:r>
      <w:r w:rsidRPr="0070722F">
        <w:t xml:space="preserve"> 12 and 20 metres in length.</w:t>
      </w:r>
    </w:p>
    <w:p w:rsidR="00365273" w:rsidRPr="0070722F" w:rsidRDefault="00365273" w:rsidP="00A95BAF">
      <w:pPr>
        <w:pStyle w:val="ListParagraph"/>
        <w:numPr>
          <w:ilvl w:val="0"/>
          <w:numId w:val="9"/>
        </w:numPr>
      </w:pPr>
      <w:r w:rsidRPr="0070722F">
        <w:t xml:space="preserve">Seagoing Fishing Vessels of </w:t>
      </w:r>
      <w:r w:rsidR="001B59AB" w:rsidRPr="001B59AB">
        <w:rPr>
          <w:b/>
        </w:rPr>
        <w:t>between</w:t>
      </w:r>
      <w:r w:rsidRPr="0070722F">
        <w:t xml:space="preserve"> 20 and 50 metres in </w:t>
      </w:r>
      <w:bookmarkStart w:id="0" w:name="_GoBack"/>
      <w:bookmarkEnd w:id="0"/>
      <w:r w:rsidRPr="0070722F">
        <w:t>length.</w:t>
      </w:r>
    </w:p>
    <w:p w:rsidR="00365273" w:rsidRPr="0070722F" w:rsidRDefault="00365273" w:rsidP="00365273">
      <w:r w:rsidRPr="0070722F">
        <w:t>Specifications and positioning details are attached for NOT UNDER COMMAND and FISHING day shapes and lights as applicable to the types of vessel noted [a] to [d] above.</w:t>
      </w:r>
    </w:p>
    <w:p w:rsidR="00365273" w:rsidRPr="0070722F" w:rsidRDefault="00365273" w:rsidP="00365273">
      <w:r w:rsidRPr="0070722F">
        <w:t>Should any difficulty be experienced in the positioning of lights in compliance with the foregoing guidelines, the Marine Adviser (Nautical) and Surveyors of Marine Safety Branch are available to assist owners in interpreting the requirements of the Regulations.</w:t>
      </w:r>
    </w:p>
    <w:p w:rsidR="00365273" w:rsidRPr="0070722F" w:rsidRDefault="00365273" w:rsidP="00365273">
      <w:r w:rsidRPr="0070722F">
        <w:t>Nothing in this Guidance Note should be considered in any way to amend or override the contents or interpretation of the International Regulations for Preventing Collisions at Sea.</w:t>
      </w:r>
    </w:p>
    <w:p w:rsidR="00365273" w:rsidRDefault="00365273" w:rsidP="00086A5F">
      <w:pPr>
        <w:pStyle w:val="NoSpacing"/>
      </w:pPr>
    </w:p>
    <w:p w:rsidR="00365273" w:rsidRDefault="00365273" w:rsidP="00A95BAF">
      <w:pPr>
        <w:rPr>
          <w:rFonts w:eastAsiaTheme="majorEastAsia"/>
          <w:lang w:eastAsia="en-US"/>
        </w:rPr>
      </w:pPr>
      <w:r>
        <w:rPr>
          <w:lang w:eastAsia="en-US"/>
        </w:rPr>
        <w:br w:type="page"/>
      </w:r>
    </w:p>
    <w:p w:rsidR="00365273" w:rsidRPr="00A95BAF" w:rsidRDefault="00365273" w:rsidP="00A95BAF">
      <w:pPr>
        <w:pStyle w:val="Heading2"/>
      </w:pPr>
      <w:r w:rsidRPr="00A95BAF">
        <w:lastRenderedPageBreak/>
        <w:t xml:space="preserve">Navigation </w:t>
      </w:r>
      <w:r w:rsidR="00BF090E" w:rsidRPr="0070722F">
        <w:rPr>
          <w:lang w:eastAsia="en-US"/>
        </w:rPr>
        <w:t>and fishing lights</w:t>
      </w:r>
      <w:r w:rsidR="00BF090E">
        <w:rPr>
          <w:lang w:eastAsia="en-US"/>
        </w:rPr>
        <w:t xml:space="preserve"> – </w:t>
      </w:r>
      <w:r w:rsidRPr="00A95BAF">
        <w:t xml:space="preserve">Small </w:t>
      </w:r>
      <w:r w:rsidR="00BF090E" w:rsidRPr="0070722F">
        <w:rPr>
          <w:lang w:eastAsia="en-US"/>
        </w:rPr>
        <w:t>fishing vessels under 7m</w:t>
      </w:r>
    </w:p>
    <w:p w:rsidR="00365273" w:rsidRPr="00A95BAF" w:rsidRDefault="00365273" w:rsidP="00A95BAF">
      <w:pPr>
        <w:rPr>
          <w:color w:val="auto"/>
        </w:rPr>
      </w:pPr>
      <w:r>
        <w:rPr>
          <w:noProof/>
          <w:color w:val="auto"/>
        </w:rPr>
        <w:drawing>
          <wp:inline distT="0" distB="0" distL="0" distR="0" wp14:anchorId="739E047E" wp14:editId="101F3CA7">
            <wp:extent cx="6286500" cy="5324475"/>
            <wp:effectExtent l="0" t="0" r="0" b="9525"/>
            <wp:docPr id="5" name="Picture 5" descr="Navigation and fishing lights – Small fishing vessels under 7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der 7 meter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5324475"/>
                    </a:xfrm>
                    <a:prstGeom prst="rect">
                      <a:avLst/>
                    </a:prstGeom>
                    <a:noFill/>
                    <a:ln>
                      <a:noFill/>
                    </a:ln>
                  </pic:spPr>
                </pic:pic>
              </a:graphicData>
            </a:graphic>
          </wp:inline>
        </w:drawing>
      </w:r>
      <w:r w:rsidRPr="0070722F">
        <w:t>Daylight Fishing Signal is either one basket or 2 cones as per 12-20m fishing vessels.  See Table for more information</w:t>
      </w:r>
      <w:r w:rsidR="00A95BAF">
        <w:t>.</w:t>
      </w:r>
    </w:p>
    <w:p w:rsidR="00365273" w:rsidRDefault="00365273" w:rsidP="00A95BAF">
      <w:r>
        <w:br w:type="page"/>
      </w:r>
    </w:p>
    <w:p w:rsidR="00365273" w:rsidRDefault="00365273" w:rsidP="00A95BAF">
      <w:pPr>
        <w:sectPr w:rsidR="00365273" w:rsidSect="00FD51B9">
          <w:headerReference w:type="even" r:id="rId10"/>
          <w:headerReference w:type="default" r:id="rId11"/>
          <w:footerReference w:type="even" r:id="rId12"/>
          <w:footerReference w:type="default" r:id="rId13"/>
          <w:headerReference w:type="first" r:id="rId14"/>
          <w:footerReference w:type="first" r:id="rId15"/>
          <w:pgSz w:w="11906" w:h="16838" w:code="9"/>
          <w:pgMar w:top="992" w:right="1134" w:bottom="1134" w:left="1418" w:header="709" w:footer="397" w:gutter="0"/>
          <w:cols w:space="708"/>
          <w:titlePg/>
          <w:docGrid w:linePitch="360"/>
        </w:sectPr>
      </w:pPr>
    </w:p>
    <w:p w:rsidR="00BF090E" w:rsidRPr="00A95BAF" w:rsidRDefault="00BF090E" w:rsidP="00A95BAF">
      <w:pPr>
        <w:pStyle w:val="Heading2"/>
      </w:pPr>
      <w:r w:rsidRPr="00A95BAF">
        <w:lastRenderedPageBreak/>
        <w:t xml:space="preserve">Navigation </w:t>
      </w:r>
      <w:r w:rsidRPr="0070722F">
        <w:t xml:space="preserve">and fishing lights for seagoing fishing vessels less than 12m </w:t>
      </w:r>
    </w:p>
    <w:p w:rsidR="00BF090E" w:rsidRPr="0070722F" w:rsidRDefault="00BF090E" w:rsidP="00A95BAF">
      <w:pPr>
        <w:rPr>
          <w:color w:val="auto"/>
        </w:rPr>
      </w:pPr>
      <w:r>
        <w:rPr>
          <w:noProof/>
          <w:color w:val="auto"/>
        </w:rPr>
        <w:drawing>
          <wp:inline distT="0" distB="0" distL="0" distR="0" wp14:anchorId="19669548" wp14:editId="0F79B0FE">
            <wp:extent cx="8743950" cy="2905125"/>
            <wp:effectExtent l="0" t="0" r="0" b="9525"/>
            <wp:docPr id="7" name="Picture 7" descr="Navigation and fishing lights for seagoing fishing vessels less than 12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der 12m "/>
                    <pic:cNvPicPr>
                      <a:picLocks noChangeAspect="1" noChangeArrowheads="1"/>
                    </pic:cNvPicPr>
                  </pic:nvPicPr>
                  <pic:blipFill rotWithShape="1">
                    <a:blip r:embed="rId16">
                      <a:extLst>
                        <a:ext uri="{28A0092B-C50C-407E-A947-70E740481C1C}">
                          <a14:useLocalDpi xmlns:a14="http://schemas.microsoft.com/office/drawing/2010/main" val="0"/>
                        </a:ext>
                      </a:extLst>
                    </a:blip>
                    <a:srcRect t="6087" b="5507"/>
                    <a:stretch/>
                  </pic:blipFill>
                  <pic:spPr bwMode="auto">
                    <a:xfrm>
                      <a:off x="0" y="0"/>
                      <a:ext cx="8743950" cy="2905125"/>
                    </a:xfrm>
                    <a:prstGeom prst="rect">
                      <a:avLst/>
                    </a:prstGeom>
                    <a:noFill/>
                    <a:ln>
                      <a:noFill/>
                    </a:ln>
                    <a:extLst>
                      <a:ext uri="{53640926-AAD7-44D8-BBD7-CCE9431645EC}">
                        <a14:shadowObscured xmlns:a14="http://schemas.microsoft.com/office/drawing/2010/main"/>
                      </a:ext>
                    </a:extLst>
                  </pic:spPr>
                </pic:pic>
              </a:graphicData>
            </a:graphic>
          </wp:inline>
        </w:drawing>
      </w:r>
    </w:p>
    <w:p w:rsidR="00422CD7" w:rsidRDefault="00BF090E" w:rsidP="00A95BAF">
      <w:r w:rsidRPr="0070722F">
        <w:t xml:space="preserve">Daylight Fishing Signal is either one basket or 2 cones </w:t>
      </w:r>
      <w:r w:rsidR="00A95BAF">
        <w:t xml:space="preserve">as per 12-20m fishing vessels. </w:t>
      </w:r>
      <w:r w:rsidRPr="0070722F">
        <w:t>See Table for more information</w:t>
      </w:r>
      <w:r w:rsidR="00A95BAF">
        <w:t>.</w:t>
      </w:r>
    </w:p>
    <w:p w:rsidR="00422CD7" w:rsidRDefault="00422CD7" w:rsidP="00A95BAF">
      <w:r>
        <w:br w:type="page"/>
      </w:r>
    </w:p>
    <w:p w:rsidR="00422CD7" w:rsidRDefault="00422CD7" w:rsidP="00A95BAF">
      <w:pPr>
        <w:pStyle w:val="Heading2"/>
      </w:pPr>
      <w:r w:rsidRPr="00A95BAF">
        <w:lastRenderedPageBreak/>
        <w:t>Navigation</w:t>
      </w:r>
      <w:r>
        <w:t xml:space="preserve"> and fishing lights </w:t>
      </w:r>
      <w:r w:rsidR="00A95BAF">
        <w:t>&amp; D</w:t>
      </w:r>
      <w:r w:rsidRPr="0070722F">
        <w:t>ay shapes for seagoing fishing vessels 12-20m</w:t>
      </w:r>
    </w:p>
    <w:p w:rsidR="00422CD7" w:rsidRPr="00422CD7" w:rsidRDefault="00422CD7" w:rsidP="00A95BAF">
      <w:r>
        <w:rPr>
          <w:noProof/>
          <w:color w:val="auto"/>
        </w:rPr>
        <w:drawing>
          <wp:inline distT="0" distB="0" distL="0" distR="0" wp14:anchorId="4A87BED7" wp14:editId="54B10B48">
            <wp:extent cx="8585339" cy="5543550"/>
            <wp:effectExtent l="0" t="0" r="6350" b="0"/>
            <wp:docPr id="8" name="Picture 8" descr="Navigation and fishing lights &amp; Day shapes for seagoing fishing vessels 12-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m-20m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5339" cy="5543550"/>
                    </a:xfrm>
                    <a:prstGeom prst="rect">
                      <a:avLst/>
                    </a:prstGeom>
                    <a:noFill/>
                    <a:ln>
                      <a:noFill/>
                    </a:ln>
                  </pic:spPr>
                </pic:pic>
              </a:graphicData>
            </a:graphic>
          </wp:inline>
        </w:drawing>
      </w:r>
    </w:p>
    <w:p w:rsidR="00422CD7" w:rsidRDefault="00422CD7" w:rsidP="00A95BAF">
      <w:pPr>
        <w:pStyle w:val="Heading2"/>
      </w:pPr>
      <w:r w:rsidRPr="00A95BAF">
        <w:lastRenderedPageBreak/>
        <w:t xml:space="preserve">Navigation </w:t>
      </w:r>
      <w:r>
        <w:t xml:space="preserve">and fishing lights </w:t>
      </w:r>
      <w:r w:rsidR="00A95BAF">
        <w:t>&amp; D</w:t>
      </w:r>
      <w:r w:rsidRPr="0070722F">
        <w:t>ay shapes for seagoing fishing vessels 20-50m</w:t>
      </w:r>
    </w:p>
    <w:p w:rsidR="00A95BAF" w:rsidRDefault="00422CD7" w:rsidP="00A95BAF">
      <w:pPr>
        <w:sectPr w:rsidR="00A95BAF" w:rsidSect="00365273">
          <w:footerReference w:type="default" r:id="rId18"/>
          <w:headerReference w:type="first" r:id="rId19"/>
          <w:footerReference w:type="first" r:id="rId20"/>
          <w:pgSz w:w="16838" w:h="11906" w:orient="landscape" w:code="9"/>
          <w:pgMar w:top="1418" w:right="992" w:bottom="1134" w:left="1134" w:header="709" w:footer="397" w:gutter="0"/>
          <w:cols w:space="708"/>
          <w:titlePg/>
          <w:docGrid w:linePitch="360"/>
        </w:sectPr>
      </w:pPr>
      <w:r>
        <w:rPr>
          <w:noProof/>
        </w:rPr>
        <w:drawing>
          <wp:inline distT="0" distB="0" distL="0" distR="0" wp14:anchorId="270AA672" wp14:editId="5EA01C5C">
            <wp:extent cx="8574235" cy="5229225"/>
            <wp:effectExtent l="0" t="0" r="0" b="0"/>
            <wp:docPr id="9" name="Picture 9" descr="Navigation and fishing lights &amp; Day shapes for seagoing fishing vessels 20-5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m-50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4235" cy="5229225"/>
                    </a:xfrm>
                    <a:prstGeom prst="rect">
                      <a:avLst/>
                    </a:prstGeom>
                    <a:noFill/>
                    <a:ln>
                      <a:noFill/>
                    </a:ln>
                  </pic:spPr>
                </pic:pic>
              </a:graphicData>
            </a:graphic>
          </wp:inline>
        </w:drawing>
      </w:r>
    </w:p>
    <w:p w:rsidR="00A95BAF" w:rsidRPr="0070722F" w:rsidRDefault="00A95BAF" w:rsidP="00A95BAF">
      <w:pPr>
        <w:pStyle w:val="Heading2"/>
      </w:pPr>
      <w:r w:rsidRPr="0070722F">
        <w:lastRenderedPageBreak/>
        <w:t>Table for daylight NUC signals</w:t>
      </w:r>
      <w:r>
        <w:t xml:space="preserve"> </w:t>
      </w:r>
      <w:r w:rsidRPr="0070722F">
        <w:t>&amp;</w:t>
      </w:r>
      <w:r>
        <w:t xml:space="preserve"> </w:t>
      </w:r>
      <w:r w:rsidRPr="0070722F">
        <w:t>Daylight fishing signals</w:t>
      </w:r>
    </w:p>
    <w:p w:rsidR="00A95BAF" w:rsidRPr="0070722F" w:rsidRDefault="00A95BAF" w:rsidP="00A95BAF">
      <w:r>
        <w:rPr>
          <w:noProof/>
        </w:rPr>
        <w:drawing>
          <wp:inline distT="0" distB="0" distL="0" distR="0" wp14:anchorId="25BDF521" wp14:editId="0371AC8A">
            <wp:extent cx="4314825" cy="3190875"/>
            <wp:effectExtent l="0" t="0" r="9525" b="9525"/>
            <wp:docPr id="13" name="Picture 13" descr="Daylight NUC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UC signals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4825" cy="3190875"/>
                    </a:xfrm>
                    <a:prstGeom prst="rect">
                      <a:avLst/>
                    </a:prstGeom>
                    <a:noFill/>
                    <a:ln>
                      <a:noFill/>
                    </a:ln>
                  </pic:spPr>
                </pic:pic>
              </a:graphicData>
            </a:graphic>
          </wp:inline>
        </w:drawing>
      </w:r>
    </w:p>
    <w:p w:rsidR="00A95BAF" w:rsidRDefault="00A95BAF" w:rsidP="00A95BAF">
      <w:r>
        <w:rPr>
          <w:noProof/>
        </w:rPr>
        <w:drawing>
          <wp:inline distT="0" distB="0" distL="0" distR="0" wp14:anchorId="3AF4CA6D" wp14:editId="5C069C73">
            <wp:extent cx="5067300" cy="2095500"/>
            <wp:effectExtent l="0" t="0" r="0" b="0"/>
            <wp:docPr id="12" name="Picture 12" descr="Daylight fishing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ishing con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095500"/>
                    </a:xfrm>
                    <a:prstGeom prst="rect">
                      <a:avLst/>
                    </a:prstGeom>
                    <a:noFill/>
                    <a:ln>
                      <a:noFill/>
                    </a:ln>
                  </pic:spPr>
                </pic:pic>
              </a:graphicData>
            </a:graphic>
          </wp:inline>
        </w:drawing>
      </w:r>
    </w:p>
    <w:tbl>
      <w:tblPr>
        <w:tblStyle w:val="TableGrid"/>
        <w:tblW w:w="0" w:type="auto"/>
        <w:tblInd w:w="108" w:type="dxa"/>
        <w:tblCellMar>
          <w:top w:w="28" w:type="dxa"/>
          <w:bottom w:w="28" w:type="dxa"/>
        </w:tblCellMar>
        <w:tblLook w:val="04A0" w:firstRow="1" w:lastRow="0" w:firstColumn="1" w:lastColumn="0" w:noHBand="0" w:noVBand="1"/>
        <w:tblDescription w:val="Table for daylight NUC signals &amp; Daylight fishing signals"/>
      </w:tblPr>
      <w:tblGrid>
        <w:gridCol w:w="1985"/>
        <w:gridCol w:w="1843"/>
        <w:gridCol w:w="2268"/>
      </w:tblGrid>
      <w:tr w:rsidR="008645CE" w:rsidTr="000E757D">
        <w:trPr>
          <w:cantSplit/>
          <w:tblHeader/>
        </w:trPr>
        <w:tc>
          <w:tcPr>
            <w:tcW w:w="1985" w:type="dxa"/>
          </w:tcPr>
          <w:p w:rsidR="008645CE" w:rsidRPr="008645CE" w:rsidRDefault="008645CE" w:rsidP="008645CE">
            <w:pPr>
              <w:pStyle w:val="NoSpacing"/>
              <w:spacing w:before="0" w:after="0" w:line="240" w:lineRule="auto"/>
              <w:jc w:val="center"/>
              <w:rPr>
                <w:b/>
              </w:rPr>
            </w:pPr>
            <w:r w:rsidRPr="008645CE">
              <w:rPr>
                <w:b/>
              </w:rPr>
              <w:t>Length of Vessels (metres)</w:t>
            </w:r>
          </w:p>
        </w:tc>
        <w:tc>
          <w:tcPr>
            <w:tcW w:w="1843" w:type="dxa"/>
          </w:tcPr>
          <w:p w:rsidR="008645CE" w:rsidRPr="008645CE" w:rsidRDefault="008645CE" w:rsidP="008645CE">
            <w:pPr>
              <w:pStyle w:val="NoSpacing"/>
              <w:spacing w:before="0" w:after="0" w:line="240" w:lineRule="auto"/>
              <w:jc w:val="center"/>
              <w:rPr>
                <w:b/>
              </w:rPr>
            </w:pPr>
            <w:r w:rsidRPr="008645CE">
              <w:rPr>
                <w:b/>
              </w:rPr>
              <w:t>Diameter (d) mm</w:t>
            </w:r>
          </w:p>
        </w:tc>
        <w:tc>
          <w:tcPr>
            <w:tcW w:w="2268" w:type="dxa"/>
          </w:tcPr>
          <w:p w:rsidR="008645CE" w:rsidRPr="008645CE" w:rsidRDefault="008645CE" w:rsidP="008645CE">
            <w:pPr>
              <w:pStyle w:val="NoSpacing"/>
              <w:spacing w:before="0" w:after="0" w:line="240" w:lineRule="auto"/>
              <w:jc w:val="center"/>
              <w:rPr>
                <w:b/>
              </w:rPr>
            </w:pPr>
            <w:r w:rsidRPr="008645CE">
              <w:rPr>
                <w:b/>
              </w:rPr>
              <w:t xml:space="preserve">Distance Apart </w:t>
            </w:r>
            <w:r>
              <w:rPr>
                <w:b/>
              </w:rPr>
              <w:br/>
            </w:r>
            <w:r w:rsidRPr="008645CE">
              <w:rPr>
                <w:b/>
              </w:rPr>
              <w:t>mm</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12.00</w:t>
            </w:r>
          </w:p>
        </w:tc>
        <w:tc>
          <w:tcPr>
            <w:tcW w:w="1843" w:type="dxa"/>
          </w:tcPr>
          <w:p w:rsidR="008645CE" w:rsidRPr="009D6008" w:rsidRDefault="008645CE" w:rsidP="008645CE">
            <w:pPr>
              <w:pStyle w:val="NoSpacing"/>
              <w:spacing w:before="0" w:after="0" w:line="240" w:lineRule="auto"/>
              <w:jc w:val="center"/>
            </w:pPr>
            <w:r w:rsidRPr="009D6008">
              <w:t>360</w:t>
            </w:r>
          </w:p>
        </w:tc>
        <w:tc>
          <w:tcPr>
            <w:tcW w:w="2268" w:type="dxa"/>
          </w:tcPr>
          <w:p w:rsidR="008645CE" w:rsidRPr="009D6008" w:rsidRDefault="008645CE" w:rsidP="008645CE">
            <w:pPr>
              <w:pStyle w:val="NoSpacing"/>
              <w:spacing w:before="0" w:after="0" w:line="240" w:lineRule="auto"/>
              <w:jc w:val="center"/>
            </w:pPr>
            <w:r w:rsidRPr="009D6008">
              <w:t>900</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13.00</w:t>
            </w:r>
          </w:p>
        </w:tc>
        <w:tc>
          <w:tcPr>
            <w:tcW w:w="1843" w:type="dxa"/>
          </w:tcPr>
          <w:p w:rsidR="008645CE" w:rsidRPr="009D6008" w:rsidRDefault="008645CE" w:rsidP="008645CE">
            <w:pPr>
              <w:pStyle w:val="NoSpacing"/>
              <w:spacing w:before="0" w:after="0" w:line="240" w:lineRule="auto"/>
              <w:jc w:val="center"/>
            </w:pPr>
            <w:r w:rsidRPr="009D6008">
              <w:t>390</w:t>
            </w:r>
          </w:p>
        </w:tc>
        <w:tc>
          <w:tcPr>
            <w:tcW w:w="2268" w:type="dxa"/>
          </w:tcPr>
          <w:p w:rsidR="008645CE" w:rsidRPr="009D6008" w:rsidRDefault="008645CE" w:rsidP="008645CE">
            <w:pPr>
              <w:pStyle w:val="NoSpacing"/>
              <w:spacing w:before="0" w:after="0" w:line="240" w:lineRule="auto"/>
              <w:jc w:val="center"/>
            </w:pPr>
            <w:r w:rsidRPr="009D6008">
              <w:t>975</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14.00</w:t>
            </w:r>
          </w:p>
        </w:tc>
        <w:tc>
          <w:tcPr>
            <w:tcW w:w="1843" w:type="dxa"/>
          </w:tcPr>
          <w:p w:rsidR="008645CE" w:rsidRPr="009D6008" w:rsidRDefault="008645CE" w:rsidP="008645CE">
            <w:pPr>
              <w:pStyle w:val="NoSpacing"/>
              <w:spacing w:before="0" w:after="0" w:line="240" w:lineRule="auto"/>
              <w:jc w:val="center"/>
            </w:pPr>
            <w:r w:rsidRPr="009D6008">
              <w:t>420</w:t>
            </w:r>
          </w:p>
        </w:tc>
        <w:tc>
          <w:tcPr>
            <w:tcW w:w="2268" w:type="dxa"/>
          </w:tcPr>
          <w:p w:rsidR="008645CE" w:rsidRPr="009D6008" w:rsidRDefault="008645CE" w:rsidP="008645CE">
            <w:pPr>
              <w:pStyle w:val="NoSpacing"/>
              <w:spacing w:before="0" w:after="0" w:line="240" w:lineRule="auto"/>
              <w:jc w:val="center"/>
            </w:pPr>
            <w:r w:rsidRPr="009D6008">
              <w:t>1050</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15.00</w:t>
            </w:r>
          </w:p>
        </w:tc>
        <w:tc>
          <w:tcPr>
            <w:tcW w:w="1843" w:type="dxa"/>
          </w:tcPr>
          <w:p w:rsidR="008645CE" w:rsidRPr="009D6008" w:rsidRDefault="008645CE" w:rsidP="008645CE">
            <w:pPr>
              <w:pStyle w:val="NoSpacing"/>
              <w:spacing w:before="0" w:after="0" w:line="240" w:lineRule="auto"/>
              <w:jc w:val="center"/>
            </w:pPr>
            <w:r w:rsidRPr="009D6008">
              <w:t>450</w:t>
            </w:r>
          </w:p>
        </w:tc>
        <w:tc>
          <w:tcPr>
            <w:tcW w:w="2268" w:type="dxa"/>
          </w:tcPr>
          <w:p w:rsidR="008645CE" w:rsidRPr="009D6008" w:rsidRDefault="008645CE" w:rsidP="008645CE">
            <w:pPr>
              <w:pStyle w:val="NoSpacing"/>
              <w:spacing w:before="0" w:after="0" w:line="240" w:lineRule="auto"/>
              <w:jc w:val="center"/>
            </w:pPr>
            <w:r w:rsidRPr="009D6008">
              <w:t>1125</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16.00</w:t>
            </w:r>
          </w:p>
        </w:tc>
        <w:tc>
          <w:tcPr>
            <w:tcW w:w="1843" w:type="dxa"/>
          </w:tcPr>
          <w:p w:rsidR="008645CE" w:rsidRPr="009D6008" w:rsidRDefault="008645CE" w:rsidP="008645CE">
            <w:pPr>
              <w:pStyle w:val="NoSpacing"/>
              <w:spacing w:before="0" w:after="0" w:line="240" w:lineRule="auto"/>
              <w:jc w:val="center"/>
            </w:pPr>
            <w:r w:rsidRPr="009D6008">
              <w:t>480</w:t>
            </w:r>
          </w:p>
        </w:tc>
        <w:tc>
          <w:tcPr>
            <w:tcW w:w="2268" w:type="dxa"/>
          </w:tcPr>
          <w:p w:rsidR="008645CE" w:rsidRPr="009D6008" w:rsidRDefault="008645CE" w:rsidP="008645CE">
            <w:pPr>
              <w:pStyle w:val="NoSpacing"/>
              <w:spacing w:before="0" w:after="0" w:line="240" w:lineRule="auto"/>
              <w:jc w:val="center"/>
            </w:pPr>
            <w:r w:rsidRPr="009D6008">
              <w:t>1200</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17.00</w:t>
            </w:r>
          </w:p>
        </w:tc>
        <w:tc>
          <w:tcPr>
            <w:tcW w:w="1843" w:type="dxa"/>
          </w:tcPr>
          <w:p w:rsidR="008645CE" w:rsidRPr="009D6008" w:rsidRDefault="008645CE" w:rsidP="008645CE">
            <w:pPr>
              <w:pStyle w:val="NoSpacing"/>
              <w:spacing w:before="0" w:after="0" w:line="240" w:lineRule="auto"/>
              <w:jc w:val="center"/>
            </w:pPr>
            <w:r w:rsidRPr="009D6008">
              <w:t>510</w:t>
            </w:r>
          </w:p>
        </w:tc>
        <w:tc>
          <w:tcPr>
            <w:tcW w:w="2268" w:type="dxa"/>
          </w:tcPr>
          <w:p w:rsidR="008645CE" w:rsidRPr="009D6008" w:rsidRDefault="008645CE" w:rsidP="008645CE">
            <w:pPr>
              <w:pStyle w:val="NoSpacing"/>
              <w:spacing w:before="0" w:after="0" w:line="240" w:lineRule="auto"/>
              <w:jc w:val="center"/>
            </w:pPr>
            <w:r w:rsidRPr="009D6008">
              <w:t>1275</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18.00</w:t>
            </w:r>
          </w:p>
        </w:tc>
        <w:tc>
          <w:tcPr>
            <w:tcW w:w="1843" w:type="dxa"/>
          </w:tcPr>
          <w:p w:rsidR="008645CE" w:rsidRPr="009D6008" w:rsidRDefault="008645CE" w:rsidP="008645CE">
            <w:pPr>
              <w:pStyle w:val="NoSpacing"/>
              <w:spacing w:before="0" w:after="0" w:line="240" w:lineRule="auto"/>
              <w:jc w:val="center"/>
            </w:pPr>
            <w:r w:rsidRPr="009D6008">
              <w:t>540</w:t>
            </w:r>
          </w:p>
        </w:tc>
        <w:tc>
          <w:tcPr>
            <w:tcW w:w="2268" w:type="dxa"/>
          </w:tcPr>
          <w:p w:rsidR="008645CE" w:rsidRPr="009D6008" w:rsidRDefault="008645CE" w:rsidP="008645CE">
            <w:pPr>
              <w:pStyle w:val="NoSpacing"/>
              <w:spacing w:before="0" w:after="0" w:line="240" w:lineRule="auto"/>
              <w:jc w:val="center"/>
            </w:pPr>
            <w:r w:rsidRPr="009D6008">
              <w:t>1350</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19.00</w:t>
            </w:r>
          </w:p>
        </w:tc>
        <w:tc>
          <w:tcPr>
            <w:tcW w:w="1843" w:type="dxa"/>
          </w:tcPr>
          <w:p w:rsidR="008645CE" w:rsidRPr="009D6008" w:rsidRDefault="008645CE" w:rsidP="008645CE">
            <w:pPr>
              <w:pStyle w:val="NoSpacing"/>
              <w:spacing w:before="0" w:after="0" w:line="240" w:lineRule="auto"/>
              <w:jc w:val="center"/>
            </w:pPr>
            <w:r w:rsidRPr="009D6008">
              <w:t>570</w:t>
            </w:r>
          </w:p>
        </w:tc>
        <w:tc>
          <w:tcPr>
            <w:tcW w:w="2268" w:type="dxa"/>
          </w:tcPr>
          <w:p w:rsidR="008645CE" w:rsidRPr="009D6008" w:rsidRDefault="008645CE" w:rsidP="008645CE">
            <w:pPr>
              <w:pStyle w:val="NoSpacing"/>
              <w:spacing w:before="0" w:after="0" w:line="240" w:lineRule="auto"/>
              <w:jc w:val="center"/>
            </w:pPr>
            <w:r w:rsidRPr="009D6008">
              <w:t>1425</w:t>
            </w:r>
          </w:p>
        </w:tc>
      </w:tr>
      <w:tr w:rsidR="008645CE" w:rsidTr="000E757D">
        <w:trPr>
          <w:cantSplit/>
        </w:trPr>
        <w:tc>
          <w:tcPr>
            <w:tcW w:w="1985" w:type="dxa"/>
          </w:tcPr>
          <w:p w:rsidR="008645CE" w:rsidRPr="009D6008" w:rsidRDefault="008645CE" w:rsidP="008645CE">
            <w:pPr>
              <w:pStyle w:val="NoSpacing"/>
              <w:spacing w:before="0" w:after="0" w:line="240" w:lineRule="auto"/>
              <w:jc w:val="center"/>
            </w:pPr>
            <w:r w:rsidRPr="009D6008">
              <w:t>20.00</w:t>
            </w:r>
          </w:p>
        </w:tc>
        <w:tc>
          <w:tcPr>
            <w:tcW w:w="1843" w:type="dxa"/>
          </w:tcPr>
          <w:p w:rsidR="008645CE" w:rsidRPr="009D6008" w:rsidRDefault="008645CE" w:rsidP="008645CE">
            <w:pPr>
              <w:pStyle w:val="NoSpacing"/>
              <w:spacing w:before="0" w:after="0" w:line="240" w:lineRule="auto"/>
              <w:jc w:val="center"/>
            </w:pPr>
            <w:r w:rsidRPr="009D6008">
              <w:t>600</w:t>
            </w:r>
          </w:p>
        </w:tc>
        <w:tc>
          <w:tcPr>
            <w:tcW w:w="2268" w:type="dxa"/>
          </w:tcPr>
          <w:p w:rsidR="008645CE" w:rsidRDefault="008645CE" w:rsidP="008645CE">
            <w:pPr>
              <w:pStyle w:val="NoSpacing"/>
              <w:spacing w:before="0" w:after="0" w:line="240" w:lineRule="auto"/>
              <w:jc w:val="center"/>
            </w:pPr>
            <w:r w:rsidRPr="009D6008">
              <w:t>1500</w:t>
            </w:r>
          </w:p>
        </w:tc>
      </w:tr>
    </w:tbl>
    <w:p w:rsidR="00A77D3B" w:rsidRPr="0070722F" w:rsidRDefault="00A77D3B" w:rsidP="00A95BAF"/>
    <w:p w:rsidR="00A77D3B" w:rsidRDefault="00A77D3B" w:rsidP="009E43BD">
      <w:pPr>
        <w:rPr>
          <w:rFonts w:eastAsiaTheme="majorEastAsia"/>
        </w:rPr>
      </w:pPr>
      <w:r>
        <w:br w:type="page"/>
      </w:r>
    </w:p>
    <w:p w:rsidR="00A95BAF" w:rsidRPr="0070722F" w:rsidRDefault="00BB2FAF" w:rsidP="00BB2FAF">
      <w:pPr>
        <w:pStyle w:val="Heading2"/>
      </w:pPr>
      <w:r>
        <w:lastRenderedPageBreak/>
        <w:t>NUC l</w:t>
      </w:r>
      <w:r w:rsidR="00A95BAF" w:rsidRPr="0070722F">
        <w:t>ights</w:t>
      </w:r>
    </w:p>
    <w:p w:rsidR="00A95BAF" w:rsidRPr="0070722F" w:rsidRDefault="00A95BAF" w:rsidP="00A95BAF">
      <w:r w:rsidRPr="0070722F">
        <w:t>Portable lights to be displayed in a vertical line where they can best be seen</w:t>
      </w:r>
    </w:p>
    <w:p w:rsidR="00A95BAF" w:rsidRPr="0070722F" w:rsidRDefault="00A95BAF" w:rsidP="00A95BAF">
      <w:r>
        <w:rPr>
          <w:noProof/>
        </w:rPr>
        <w:drawing>
          <wp:inline distT="0" distB="0" distL="0" distR="0" wp14:anchorId="38FAE9E9" wp14:editId="0CEC6032">
            <wp:extent cx="5143500" cy="6391275"/>
            <wp:effectExtent l="0" t="0" r="0" b="9525"/>
            <wp:docPr id="14" name="Picture 14" descr="NU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UC LIGHTS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6391275"/>
                    </a:xfrm>
                    <a:prstGeom prst="rect">
                      <a:avLst/>
                    </a:prstGeom>
                    <a:noFill/>
                    <a:ln>
                      <a:noFill/>
                    </a:ln>
                  </pic:spPr>
                </pic:pic>
              </a:graphicData>
            </a:graphic>
          </wp:inline>
        </w:drawing>
      </w:r>
    </w:p>
    <w:p w:rsidR="00A95BAF" w:rsidRPr="00316396" w:rsidRDefault="00A95BAF" w:rsidP="00A95BAF"/>
    <w:p w:rsidR="00A95BAF" w:rsidRDefault="00A95BAF" w:rsidP="00A95BAF">
      <w:r>
        <w:br w:type="page"/>
      </w:r>
    </w:p>
    <w:p w:rsidR="00A95BAF" w:rsidRPr="005F674F" w:rsidRDefault="00A95BAF" w:rsidP="00BB2FAF">
      <w:pPr>
        <w:spacing w:after="1000"/>
      </w:pPr>
      <w:r w:rsidRPr="00A00B18">
        <w:lastRenderedPageBreak/>
        <w:t xml:space="preserve">Signed by: </w:t>
      </w:r>
      <w:r>
        <w:t xml:space="preserve"> Sri Srinivas</w:t>
      </w:r>
      <w:r w:rsidR="00BB2FAF">
        <w:br/>
      </w:r>
      <w:r w:rsidRPr="00A00B18">
        <w:t xml:space="preserve">Date Issued:  </w:t>
      </w:r>
      <w:r>
        <w:t>23 March 2009</w:t>
      </w:r>
    </w:p>
    <w:tbl>
      <w:tblPr>
        <w:tblW w:w="9356" w:type="dxa"/>
        <w:tblInd w:w="108" w:type="dxa"/>
        <w:tblLayout w:type="fixed"/>
        <w:tblCellMar>
          <w:top w:w="28" w:type="dxa"/>
          <w:bottom w:w="28" w:type="dxa"/>
        </w:tblCellMar>
        <w:tblLook w:val="0000" w:firstRow="0" w:lastRow="0" w:firstColumn="0" w:lastColumn="0" w:noHBand="0" w:noVBand="0"/>
        <w:tblDescription w:val="Contacts"/>
      </w:tblPr>
      <w:tblGrid>
        <w:gridCol w:w="9356"/>
      </w:tblGrid>
      <w:tr w:rsidR="00A95BAF" w:rsidRPr="005B334B" w:rsidTr="00271859">
        <w:trPr>
          <w:cantSplit/>
          <w:tblHeader/>
        </w:trPr>
        <w:tc>
          <w:tcPr>
            <w:tcW w:w="9356" w:type="dxa"/>
            <w:tcBorders>
              <w:top w:val="single" w:sz="18" w:space="0" w:color="auto"/>
            </w:tcBorders>
          </w:tcPr>
          <w:p w:rsidR="00A95BAF" w:rsidRPr="00BB2FAF" w:rsidRDefault="00A95BAF" w:rsidP="00BB2FAF">
            <w:pPr>
              <w:pStyle w:val="NoSpacing"/>
              <w:jc w:val="center"/>
              <w:rPr>
                <w:b/>
                <w:sz w:val="18"/>
                <w:szCs w:val="18"/>
              </w:rPr>
            </w:pPr>
            <w:r w:rsidRPr="00BB2FAF">
              <w:rPr>
                <w:b/>
                <w:sz w:val="18"/>
                <w:szCs w:val="18"/>
              </w:rPr>
              <w:t>For further information contact Marine Safety Branch:</w:t>
            </w:r>
          </w:p>
        </w:tc>
      </w:tr>
      <w:tr w:rsidR="00A95BAF" w:rsidRPr="005B334B" w:rsidTr="000E757D">
        <w:trPr>
          <w:cantSplit/>
        </w:trPr>
        <w:tc>
          <w:tcPr>
            <w:tcW w:w="9356" w:type="dxa"/>
          </w:tcPr>
          <w:p w:rsidR="00A95BAF" w:rsidRPr="00BB2FAF" w:rsidRDefault="00A95BAF" w:rsidP="00BB2FAF">
            <w:pPr>
              <w:pStyle w:val="NoSpacing"/>
              <w:jc w:val="center"/>
              <w:rPr>
                <w:sz w:val="18"/>
                <w:szCs w:val="18"/>
              </w:rPr>
            </w:pPr>
            <w:r w:rsidRPr="00BB2FAF">
              <w:rPr>
                <w:sz w:val="18"/>
                <w:szCs w:val="18"/>
              </w:rPr>
              <w:t xml:space="preserve">2nd Floor, Energy House, 18-20 </w:t>
            </w:r>
            <w:proofErr w:type="spellStart"/>
            <w:r w:rsidRPr="00BB2FAF">
              <w:rPr>
                <w:sz w:val="18"/>
                <w:szCs w:val="18"/>
              </w:rPr>
              <w:t>Cavenagh</w:t>
            </w:r>
            <w:proofErr w:type="spellEnd"/>
            <w:r w:rsidRPr="00BB2FAF">
              <w:rPr>
                <w:sz w:val="18"/>
                <w:szCs w:val="18"/>
              </w:rPr>
              <w:t>, Darwin   NT  0800, GPO Box 2520, Darwin  NT  0801</w:t>
            </w:r>
          </w:p>
        </w:tc>
      </w:tr>
      <w:tr w:rsidR="00A95BAF" w:rsidRPr="005B334B" w:rsidTr="000E757D">
        <w:trPr>
          <w:cantSplit/>
        </w:trPr>
        <w:tc>
          <w:tcPr>
            <w:tcW w:w="9356" w:type="dxa"/>
          </w:tcPr>
          <w:p w:rsidR="00A95BAF" w:rsidRPr="00BB2FAF" w:rsidRDefault="00A95BAF" w:rsidP="00BB2FAF">
            <w:pPr>
              <w:pStyle w:val="NoSpacing"/>
              <w:jc w:val="center"/>
              <w:rPr>
                <w:sz w:val="18"/>
                <w:szCs w:val="18"/>
              </w:rPr>
            </w:pPr>
            <w:r w:rsidRPr="00BB2FAF">
              <w:rPr>
                <w:sz w:val="18"/>
                <w:szCs w:val="18"/>
              </w:rPr>
              <w:t>Telephone:  08 8924 7100, Facsimile: 08 8924 7009</w:t>
            </w:r>
          </w:p>
        </w:tc>
      </w:tr>
      <w:tr w:rsidR="00A95BAF" w:rsidRPr="005B334B" w:rsidTr="000E757D">
        <w:trPr>
          <w:cantSplit/>
        </w:trPr>
        <w:tc>
          <w:tcPr>
            <w:tcW w:w="9356" w:type="dxa"/>
            <w:tcBorders>
              <w:bottom w:val="single" w:sz="18" w:space="0" w:color="auto"/>
            </w:tcBorders>
          </w:tcPr>
          <w:p w:rsidR="00A95BAF" w:rsidRPr="00BB2FAF" w:rsidRDefault="00A95BAF" w:rsidP="00BB2FAF">
            <w:pPr>
              <w:pStyle w:val="NoSpacing"/>
              <w:jc w:val="center"/>
              <w:rPr>
                <w:sz w:val="18"/>
                <w:szCs w:val="18"/>
              </w:rPr>
            </w:pPr>
            <w:r w:rsidRPr="00BB2FAF">
              <w:rPr>
                <w:sz w:val="18"/>
                <w:szCs w:val="18"/>
              </w:rPr>
              <w:t>Email: marinesafety@nt.gov.au</w:t>
            </w:r>
          </w:p>
        </w:tc>
      </w:tr>
    </w:tbl>
    <w:p w:rsidR="00027DB8" w:rsidRPr="009E43BD" w:rsidRDefault="00BB2FAF" w:rsidP="009E43BD">
      <w:pPr>
        <w:pStyle w:val="NoSpacing"/>
        <w:spacing w:before="200"/>
        <w:rPr>
          <w:sz w:val="18"/>
          <w:szCs w:val="18"/>
        </w:rPr>
      </w:pPr>
      <w:r w:rsidRPr="00BB2FAF">
        <w:rPr>
          <w:b/>
          <w:sz w:val="18"/>
          <w:szCs w:val="18"/>
        </w:rPr>
        <w:t>Disclaimer:</w:t>
      </w:r>
      <w:r w:rsidR="00A95BAF" w:rsidRPr="00BB2FAF">
        <w:rPr>
          <w:sz w:val="18"/>
          <w:szCs w:val="18"/>
        </w:rPr>
        <w:t xml:space="preserve"> 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sectPr w:rsidR="00027DB8" w:rsidRPr="009E43BD" w:rsidSect="00A95BAF">
      <w:footerReference w:type="default" r:id="rId25"/>
      <w:footerReference w:type="first" r:id="rId26"/>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73" w:rsidRDefault="00365273" w:rsidP="00293A72">
      <w:r>
        <w:separator/>
      </w:r>
    </w:p>
  </w:endnote>
  <w:endnote w:type="continuationSeparator" w:id="0">
    <w:p w:rsidR="00365273" w:rsidRDefault="0036527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EA" w:rsidRDefault="005B4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A77D2B">
      <w:rPr>
        <w:sz w:val="18"/>
        <w:szCs w:val="18"/>
      </w:rPr>
      <w:t>23/03/2009</w:t>
    </w:r>
  </w:p>
  <w:p w:rsidR="00EB77F9" w:rsidRPr="00FD51B9" w:rsidRDefault="00EB77F9" w:rsidP="00EB77F9">
    <w:pPr>
      <w:pStyle w:val="Footer"/>
      <w:rPr>
        <w:rFonts w:cs="Times New Roman"/>
        <w:sz w:val="18"/>
        <w:szCs w:val="18"/>
      </w:rPr>
    </w:pPr>
    <w:r>
      <w:rPr>
        <w:rFonts w:cs="Times New Roman"/>
        <w:szCs w:val="20"/>
      </w:rPr>
      <w:t xml:space="preserve">Department of </w:t>
    </w:r>
    <w:r w:rsidR="00A77D2B">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1B59AB">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1B59AB">
          <w:rPr>
            <w:bCs/>
            <w:noProof/>
            <w:sz w:val="18"/>
            <w:szCs w:val="18"/>
          </w:rPr>
          <w:t>4</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A77D2B">
      <w:rPr>
        <w:sz w:val="18"/>
        <w:szCs w:val="18"/>
      </w:rPr>
      <w:t>23/03/2009</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A77D2B">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1B59AB">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1B59AB">
          <w:rPr>
            <w:bCs/>
            <w:noProof/>
            <w:sz w:val="18"/>
            <w:szCs w:val="18"/>
          </w:rPr>
          <w:t>8</w:t>
        </w:r>
        <w:r w:rsidR="00FD51B9" w:rsidRPr="00FD51B9">
          <w:rPr>
            <w:bCs/>
            <w:sz w:val="18"/>
            <w:szCs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EA" w:rsidRDefault="005B44EA" w:rsidP="005B44EA">
    <w:pPr>
      <w:pStyle w:val="Footer"/>
      <w:tabs>
        <w:tab w:val="clear" w:pos="9639"/>
      </w:tabs>
    </w:pPr>
    <w:r>
      <w:tab/>
    </w:r>
    <w:r>
      <w:rPr>
        <w:sz w:val="18"/>
        <w:szCs w:val="18"/>
      </w:rPr>
      <w:t>23/03/2009</w:t>
    </w:r>
  </w:p>
  <w:p w:rsidR="005B44EA" w:rsidRPr="00FD51B9" w:rsidRDefault="005B44EA" w:rsidP="005B44EA">
    <w:pPr>
      <w:pStyle w:val="Footer"/>
      <w:tabs>
        <w:tab w:val="clear" w:pos="9639"/>
      </w:tabs>
      <w:rPr>
        <w:rFonts w:cs="Times New Roman"/>
        <w:sz w:val="18"/>
        <w:szCs w:val="18"/>
      </w:rPr>
    </w:pPr>
    <w:r>
      <w:rPr>
        <w:rFonts w:cs="Times New Roman"/>
        <w:szCs w:val="20"/>
      </w:rPr>
      <w:t xml:space="preserve">Department of </w:t>
    </w:r>
    <w:r>
      <w:rPr>
        <w:rFonts w:cs="Times New Roman"/>
        <w:b/>
        <w:szCs w:val="20"/>
      </w:rPr>
      <w:t>Transport</w:t>
    </w:r>
    <w:r w:rsidRPr="00FD51B9">
      <w:rPr>
        <w:sz w:val="18"/>
        <w:szCs w:val="18"/>
      </w:rPr>
      <w:tab/>
    </w:r>
    <w:sdt>
      <w:sdtPr>
        <w:rPr>
          <w:sz w:val="18"/>
          <w:szCs w:val="18"/>
        </w:rPr>
        <w:id w:val="-2109037588"/>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1B59AB">
          <w:rPr>
            <w:bCs/>
            <w:noProof/>
            <w:sz w:val="18"/>
            <w:szCs w:val="18"/>
          </w:rPr>
          <w:t>5</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1B59AB">
          <w:rPr>
            <w:bCs/>
            <w:noProof/>
            <w:sz w:val="18"/>
            <w:szCs w:val="18"/>
          </w:rPr>
          <w:t>5</w:t>
        </w:r>
        <w:r w:rsidRPr="00FD51B9">
          <w:rPr>
            <w:bCs/>
            <w:sz w:val="18"/>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EA" w:rsidRDefault="005B44EA" w:rsidP="005B44EA">
    <w:pPr>
      <w:pStyle w:val="Footer"/>
      <w:tabs>
        <w:tab w:val="clear" w:pos="9639"/>
      </w:tabs>
    </w:pPr>
    <w:r>
      <w:tab/>
    </w:r>
    <w:r>
      <w:rPr>
        <w:sz w:val="18"/>
        <w:szCs w:val="18"/>
      </w:rPr>
      <w:t>23/03/2009</w:t>
    </w:r>
  </w:p>
  <w:p w:rsidR="005B44EA" w:rsidRPr="00FD51B9" w:rsidRDefault="005B44EA" w:rsidP="005B44EA">
    <w:pPr>
      <w:pStyle w:val="Footer"/>
      <w:tabs>
        <w:tab w:val="clear" w:pos="9639"/>
      </w:tabs>
      <w:rPr>
        <w:rFonts w:cs="Times New Roman"/>
        <w:sz w:val="18"/>
        <w:szCs w:val="18"/>
      </w:rPr>
    </w:pPr>
    <w:r>
      <w:rPr>
        <w:rFonts w:cs="Times New Roman"/>
        <w:szCs w:val="20"/>
      </w:rPr>
      <w:t xml:space="preserve">Department of </w:t>
    </w:r>
    <w:r>
      <w:rPr>
        <w:rFonts w:cs="Times New Roman"/>
        <w:b/>
        <w:szCs w:val="20"/>
      </w:rPr>
      <w:t>Transport</w:t>
    </w:r>
    <w:r w:rsidRPr="00FD51B9">
      <w:rPr>
        <w:sz w:val="18"/>
        <w:szCs w:val="18"/>
      </w:rPr>
      <w:tab/>
    </w:r>
    <w:sdt>
      <w:sdtPr>
        <w:rPr>
          <w:sz w:val="18"/>
          <w:szCs w:val="18"/>
        </w:rPr>
        <w:id w:val="-791438992"/>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1B59AB">
          <w:rPr>
            <w:bCs/>
            <w:noProof/>
            <w:sz w:val="18"/>
            <w:szCs w:val="18"/>
          </w:rPr>
          <w:t>3</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1B59AB">
          <w:rPr>
            <w:bCs/>
            <w:noProof/>
            <w:sz w:val="18"/>
            <w:szCs w:val="18"/>
          </w:rPr>
          <w:t>3</w:t>
        </w:r>
        <w:r w:rsidRPr="00FD51B9">
          <w:rPr>
            <w:bCs/>
            <w:sz w:val="18"/>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EA" w:rsidRDefault="005B44EA" w:rsidP="00EB77F9">
    <w:pPr>
      <w:pStyle w:val="Footer"/>
    </w:pPr>
    <w:r>
      <w:tab/>
    </w:r>
    <w:r>
      <w:rPr>
        <w:sz w:val="18"/>
        <w:szCs w:val="18"/>
      </w:rPr>
      <w:t>23/03/2009</w:t>
    </w:r>
  </w:p>
  <w:p w:rsidR="005B44EA" w:rsidRPr="00FD51B9" w:rsidRDefault="005B44EA" w:rsidP="00EB77F9">
    <w:pPr>
      <w:pStyle w:val="Footer"/>
      <w:rPr>
        <w:rFonts w:cs="Times New Roman"/>
        <w:sz w:val="18"/>
        <w:szCs w:val="18"/>
      </w:rPr>
    </w:pPr>
    <w:r>
      <w:rPr>
        <w:rFonts w:cs="Times New Roman"/>
        <w:szCs w:val="20"/>
      </w:rPr>
      <w:t xml:space="preserve">Department of </w:t>
    </w:r>
    <w:r>
      <w:rPr>
        <w:rFonts w:cs="Times New Roman"/>
        <w:b/>
        <w:szCs w:val="20"/>
      </w:rPr>
      <w:t>Transport</w:t>
    </w:r>
    <w:r w:rsidRPr="00FD51B9">
      <w:rPr>
        <w:sz w:val="18"/>
        <w:szCs w:val="18"/>
      </w:rPr>
      <w:tab/>
    </w:r>
    <w:sdt>
      <w:sdtPr>
        <w:rPr>
          <w:sz w:val="18"/>
          <w:szCs w:val="18"/>
        </w:rPr>
        <w:id w:val="1773972659"/>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1B59AB">
          <w:rPr>
            <w:bCs/>
            <w:noProof/>
            <w:sz w:val="18"/>
            <w:szCs w:val="18"/>
          </w:rPr>
          <w:t>8</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1B59AB">
          <w:rPr>
            <w:bCs/>
            <w:noProof/>
            <w:sz w:val="18"/>
            <w:szCs w:val="18"/>
          </w:rPr>
          <w:t>8</w:t>
        </w:r>
        <w:r w:rsidRPr="00FD51B9">
          <w:rPr>
            <w:bCs/>
            <w:sz w:val="18"/>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EA" w:rsidRDefault="005B44EA" w:rsidP="00086A5F">
    <w:pPr>
      <w:pStyle w:val="Footer"/>
    </w:pPr>
    <w:r>
      <w:tab/>
    </w:r>
    <w:r>
      <w:rPr>
        <w:sz w:val="18"/>
        <w:szCs w:val="18"/>
      </w:rPr>
      <w:t>23/03/2009</w:t>
    </w:r>
  </w:p>
  <w:p w:rsidR="005B44EA" w:rsidRPr="00FD51B9" w:rsidRDefault="005B44EA" w:rsidP="00FD51B9">
    <w:pPr>
      <w:pStyle w:val="Footer"/>
      <w:rPr>
        <w:rFonts w:cs="Times New Roman"/>
        <w:sz w:val="18"/>
        <w:szCs w:val="18"/>
      </w:rPr>
    </w:pPr>
    <w:r>
      <w:rPr>
        <w:rFonts w:cs="Times New Roman"/>
        <w:szCs w:val="20"/>
      </w:rPr>
      <w:t xml:space="preserve">Department of </w:t>
    </w:r>
    <w:r>
      <w:rPr>
        <w:rFonts w:cs="Times New Roman"/>
        <w:b/>
        <w:szCs w:val="20"/>
      </w:rPr>
      <w:t>Transport</w:t>
    </w:r>
    <w:r w:rsidRPr="00FD51B9">
      <w:rPr>
        <w:sz w:val="18"/>
        <w:szCs w:val="18"/>
      </w:rPr>
      <w:tab/>
    </w:r>
    <w:sdt>
      <w:sdtPr>
        <w:rPr>
          <w:sz w:val="18"/>
          <w:szCs w:val="18"/>
        </w:rPr>
        <w:id w:val="-238029264"/>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1B59AB">
          <w:rPr>
            <w:bCs/>
            <w:noProof/>
            <w:sz w:val="18"/>
            <w:szCs w:val="18"/>
          </w:rPr>
          <w:t>6</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1B59AB">
          <w:rPr>
            <w:bCs/>
            <w:noProof/>
            <w:sz w:val="18"/>
            <w:szCs w:val="18"/>
          </w:rPr>
          <w:t>6</w:t>
        </w:r>
        <w:r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73" w:rsidRDefault="00365273" w:rsidP="00293A72">
      <w:r>
        <w:separator/>
      </w:r>
    </w:p>
  </w:footnote>
  <w:footnote w:type="continuationSeparator" w:id="0">
    <w:p w:rsidR="00365273" w:rsidRDefault="0036527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EA" w:rsidRDefault="005B4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1B59AB" w:rsidP="00C62099">
    <w:pPr>
      <w:pStyle w:val="Header"/>
      <w:tabs>
        <w:tab w:val="clear" w:pos="4513"/>
        <w:tab w:val="clear" w:pos="9026"/>
      </w:tabs>
      <w:ind w:right="-285"/>
    </w:pPr>
    <w:r>
      <w:fldChar w:fldCharType="begin"/>
    </w:r>
    <w:r>
      <w:instrText xml:space="preserve"> TITLE  "Navigation and fishing lights for small commercial fishing vessels"  \* MERGEFORMAT </w:instrText>
    </w:r>
    <w:r>
      <w:fldChar w:fldCharType="separate"/>
    </w:r>
    <w:r w:rsidR="005B44EA">
      <w:t>Navigation and fishing lights for small commercial fishing vessels</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50A1EEAD" wp14:editId="6F4E4381">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73" w:rsidRDefault="00365273"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AC2"/>
    <w:multiLevelType w:val="singleLevel"/>
    <w:tmpl w:val="14288A14"/>
    <w:lvl w:ilvl="0">
      <w:start w:val="1"/>
      <w:numFmt w:val="lowerLetter"/>
      <w:lvlText w:val="%1)"/>
      <w:legacy w:legacy="1" w:legacySpace="0" w:legacyIndent="283"/>
      <w:lvlJc w:val="left"/>
      <w:pPr>
        <w:ind w:left="283" w:hanging="283"/>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652D2FB8"/>
    <w:multiLevelType w:val="hybridMultilevel"/>
    <w:tmpl w:val="BD4478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A30972"/>
    <w:multiLevelType w:val="hybridMultilevel"/>
    <w:tmpl w:val="FEB27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73"/>
    <w:rsid w:val="00027DB8"/>
    <w:rsid w:val="00051F45"/>
    <w:rsid w:val="0007259C"/>
    <w:rsid w:val="00086A5F"/>
    <w:rsid w:val="000E757D"/>
    <w:rsid w:val="00117743"/>
    <w:rsid w:val="00117F5B"/>
    <w:rsid w:val="00164A3E"/>
    <w:rsid w:val="001A2B7F"/>
    <w:rsid w:val="001B2B6C"/>
    <w:rsid w:val="001B59AB"/>
    <w:rsid w:val="00247343"/>
    <w:rsid w:val="00271859"/>
    <w:rsid w:val="00274D4B"/>
    <w:rsid w:val="00293A72"/>
    <w:rsid w:val="002A30C3"/>
    <w:rsid w:val="002D3A57"/>
    <w:rsid w:val="002F2885"/>
    <w:rsid w:val="00342283"/>
    <w:rsid w:val="003504FD"/>
    <w:rsid w:val="00350881"/>
    <w:rsid w:val="00357D55"/>
    <w:rsid w:val="00365273"/>
    <w:rsid w:val="00371DC7"/>
    <w:rsid w:val="00394AAF"/>
    <w:rsid w:val="003D42C0"/>
    <w:rsid w:val="0040222A"/>
    <w:rsid w:val="004047BC"/>
    <w:rsid w:val="00422CD7"/>
    <w:rsid w:val="00426E25"/>
    <w:rsid w:val="0045420A"/>
    <w:rsid w:val="004A2538"/>
    <w:rsid w:val="004B0C15"/>
    <w:rsid w:val="004D075F"/>
    <w:rsid w:val="004E019E"/>
    <w:rsid w:val="00502FB3"/>
    <w:rsid w:val="00507782"/>
    <w:rsid w:val="00512A04"/>
    <w:rsid w:val="005654B8"/>
    <w:rsid w:val="005762CC"/>
    <w:rsid w:val="005A4AC0"/>
    <w:rsid w:val="005B0FB7"/>
    <w:rsid w:val="005B44EA"/>
    <w:rsid w:val="005B5AC2"/>
    <w:rsid w:val="005E144D"/>
    <w:rsid w:val="00650F5B"/>
    <w:rsid w:val="006719EA"/>
    <w:rsid w:val="00722DDB"/>
    <w:rsid w:val="007408F5"/>
    <w:rsid w:val="00783A57"/>
    <w:rsid w:val="007B03F5"/>
    <w:rsid w:val="007C7035"/>
    <w:rsid w:val="00803A70"/>
    <w:rsid w:val="008313C4"/>
    <w:rsid w:val="00861DC3"/>
    <w:rsid w:val="008645CE"/>
    <w:rsid w:val="00885E9B"/>
    <w:rsid w:val="009616DF"/>
    <w:rsid w:val="00977919"/>
    <w:rsid w:val="009B1913"/>
    <w:rsid w:val="009B6657"/>
    <w:rsid w:val="009E175D"/>
    <w:rsid w:val="009E43BD"/>
    <w:rsid w:val="00A10655"/>
    <w:rsid w:val="00A25193"/>
    <w:rsid w:val="00A3739D"/>
    <w:rsid w:val="00A37DDA"/>
    <w:rsid w:val="00A61C10"/>
    <w:rsid w:val="00A61DF7"/>
    <w:rsid w:val="00A77D2B"/>
    <w:rsid w:val="00A77D3B"/>
    <w:rsid w:val="00A925EC"/>
    <w:rsid w:val="00A95BAF"/>
    <w:rsid w:val="00B12A0D"/>
    <w:rsid w:val="00B14CD6"/>
    <w:rsid w:val="00B20E8B"/>
    <w:rsid w:val="00B343CC"/>
    <w:rsid w:val="00B614F7"/>
    <w:rsid w:val="00B61B26"/>
    <w:rsid w:val="00B96513"/>
    <w:rsid w:val="00BB2FAF"/>
    <w:rsid w:val="00BB6464"/>
    <w:rsid w:val="00BC1BB8"/>
    <w:rsid w:val="00BF090E"/>
    <w:rsid w:val="00BF2ABB"/>
    <w:rsid w:val="00C61AFA"/>
    <w:rsid w:val="00C62099"/>
    <w:rsid w:val="00C75E81"/>
    <w:rsid w:val="00D71D84"/>
    <w:rsid w:val="00D975C0"/>
    <w:rsid w:val="00DC5DD9"/>
    <w:rsid w:val="00DE33B5"/>
    <w:rsid w:val="00DE581D"/>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F7"/>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A95BAF"/>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A95BAF"/>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5CE"/>
    <w:rPr>
      <w:rFonts w:ascii="Arial" w:hAnsi="Arial"/>
      <w:sz w:val="22"/>
    </w:rPr>
  </w:style>
  <w:style w:type="character" w:customStyle="1" w:styleId="Heading1Char">
    <w:name w:val="Heading 1 Char"/>
    <w:basedOn w:val="DefaultParagraphFont"/>
    <w:link w:val="Heading1"/>
    <w:rsid w:val="00A95BAF"/>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A95BAF"/>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rsid w:val="00365273"/>
    <w:pPr>
      <w:spacing w:before="210" w:after="210" w:line="300" w:lineRule="auto"/>
    </w:pPr>
    <w:rPr>
      <w:rFonts w:ascii="Times" w:eastAsia="Times New Roman" w:hAnsi="Times"/>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ptBefore0ptAfter0ptLinespacingsingle">
    <w:name w:val="Style 0 pt Before:  0 pt After:  0 pt Line spacing:  single"/>
    <w:basedOn w:val="Normal"/>
    <w:rsid w:val="00365273"/>
    <w:pPr>
      <w:spacing w:after="0"/>
    </w:pPr>
    <w:rPr>
      <w:color w:val="000000"/>
      <w:sz w:val="24"/>
      <w:szCs w:val="20"/>
    </w:rPr>
  </w:style>
  <w:style w:type="paragraph" w:styleId="ListParagraph">
    <w:name w:val="List Paragraph"/>
    <w:basedOn w:val="Normal"/>
    <w:uiPriority w:val="34"/>
    <w:qFormat/>
    <w:rsid w:val="00365273"/>
    <w:pPr>
      <w:ind w:left="720"/>
      <w:contextualSpacing/>
    </w:pPr>
  </w:style>
  <w:style w:type="character" w:styleId="Hyperlink">
    <w:name w:val="Hyperlink"/>
    <w:basedOn w:val="DefaultParagraphFont"/>
    <w:rsid w:val="00A95B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F7"/>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A95BAF"/>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A95BAF"/>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5CE"/>
    <w:rPr>
      <w:rFonts w:ascii="Arial" w:hAnsi="Arial"/>
      <w:sz w:val="22"/>
    </w:rPr>
  </w:style>
  <w:style w:type="character" w:customStyle="1" w:styleId="Heading1Char">
    <w:name w:val="Heading 1 Char"/>
    <w:basedOn w:val="DefaultParagraphFont"/>
    <w:link w:val="Heading1"/>
    <w:rsid w:val="00A95BAF"/>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A95BAF"/>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rsid w:val="00365273"/>
    <w:pPr>
      <w:spacing w:before="210" w:after="210" w:line="300" w:lineRule="auto"/>
    </w:pPr>
    <w:rPr>
      <w:rFonts w:ascii="Times" w:eastAsia="Times New Roman" w:hAnsi="Times"/>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ptBefore0ptAfter0ptLinespacingsingle">
    <w:name w:val="Style 0 pt Before:  0 pt After:  0 pt Line spacing:  single"/>
    <w:basedOn w:val="Normal"/>
    <w:rsid w:val="00365273"/>
    <w:pPr>
      <w:spacing w:after="0"/>
    </w:pPr>
    <w:rPr>
      <w:color w:val="000000"/>
      <w:sz w:val="24"/>
      <w:szCs w:val="20"/>
    </w:rPr>
  </w:style>
  <w:style w:type="paragraph" w:styleId="ListParagraph">
    <w:name w:val="List Paragraph"/>
    <w:basedOn w:val="Normal"/>
    <w:uiPriority w:val="34"/>
    <w:qFormat/>
    <w:rsid w:val="00365273"/>
    <w:pPr>
      <w:ind w:left="720"/>
      <w:contextualSpacing/>
    </w:pPr>
  </w:style>
  <w:style w:type="character" w:styleId="Hyperlink">
    <w:name w:val="Hyperlink"/>
    <w:basedOn w:val="DefaultParagraphFont"/>
    <w:rsid w:val="00A95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1387-F01D-4E10-BC7E-95D80277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140</TotalTime>
  <Pages>8</Pages>
  <Words>585</Words>
  <Characters>3066</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Navigation and fishing lights for small commercial fishing vessels</vt:lpstr>
    </vt:vector>
  </TitlesOfParts>
  <Company>Northern Territory Government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and fishing lights for small commercial fishing vessels</dc:title>
  <dc:subject/>
  <dc:creator>Northern Territory Government</dc:creator>
  <cp:keywords/>
  <cp:lastModifiedBy>Jiraporn Homngam</cp:lastModifiedBy>
  <cp:revision>15</cp:revision>
  <dcterms:created xsi:type="dcterms:W3CDTF">2015-03-09T01:50:00Z</dcterms:created>
  <dcterms:modified xsi:type="dcterms:W3CDTF">2015-03-12T01:11:00Z</dcterms:modified>
</cp:coreProperties>
</file>