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2560" w14:textId="77777777" w:rsidR="00D941C0" w:rsidRDefault="00D941C0" w:rsidP="00D941C0">
      <w:pPr>
        <w:pStyle w:val="Heading1"/>
        <w:rPr>
          <w:lang w:eastAsia="en-AU"/>
        </w:rPr>
      </w:pPr>
      <w:r>
        <w:rPr>
          <w:lang w:eastAsia="en-AU"/>
        </w:rPr>
        <w:t>Introduction</w:t>
      </w:r>
    </w:p>
    <w:p w14:paraId="178CC4A5" w14:textId="77777777" w:rsidR="00D941C0" w:rsidRDefault="00D941C0" w:rsidP="00D941C0">
      <w:pPr>
        <w:pStyle w:val="Heading2"/>
        <w:rPr>
          <w:lang w:eastAsia="en-AU"/>
        </w:rPr>
      </w:pPr>
      <w:r>
        <w:rPr>
          <w:lang w:eastAsia="en-AU"/>
        </w:rPr>
        <w:t>1.1</w:t>
      </w:r>
      <w:r>
        <w:rPr>
          <w:lang w:eastAsia="en-AU"/>
        </w:rPr>
        <w:tab/>
        <w:t>Purpose</w:t>
      </w:r>
    </w:p>
    <w:p w14:paraId="0E60AF95" w14:textId="77777777" w:rsidR="00D941C0" w:rsidRPr="002F7753" w:rsidRDefault="00D941C0" w:rsidP="00D941C0">
      <w:pPr>
        <w:jc w:val="both"/>
        <w:rPr>
          <w:rFonts w:asciiTheme="minorHAnsi" w:hAnsiTheme="minorHAnsi"/>
          <w:lang w:eastAsia="en-AU"/>
        </w:rPr>
      </w:pPr>
      <w:r w:rsidRPr="002F7753">
        <w:rPr>
          <w:rFonts w:asciiTheme="minorHAnsi" w:hAnsiTheme="minorHAnsi"/>
          <w:lang w:eastAsia="en-AU"/>
        </w:rPr>
        <w:t>The ‘Northern Territory Government Competitive Tendering Guidelines’ (</w:t>
      </w:r>
      <w:r>
        <w:rPr>
          <w:rFonts w:asciiTheme="minorHAnsi" w:hAnsiTheme="minorHAnsi"/>
          <w:lang w:eastAsia="en-AU"/>
        </w:rPr>
        <w:t>the g</w:t>
      </w:r>
      <w:r w:rsidRPr="002F7753">
        <w:rPr>
          <w:rFonts w:asciiTheme="minorHAnsi" w:hAnsiTheme="minorHAnsi"/>
          <w:lang w:eastAsia="en-AU"/>
        </w:rPr>
        <w:t xml:space="preserve">uidelines) are to assist government entities </w:t>
      </w:r>
      <w:r>
        <w:rPr>
          <w:rFonts w:asciiTheme="minorHAnsi" w:hAnsiTheme="minorHAnsi"/>
          <w:lang w:eastAsia="en-AU"/>
        </w:rPr>
        <w:t>responding</w:t>
      </w:r>
      <w:r w:rsidRPr="002F7753">
        <w:rPr>
          <w:rFonts w:asciiTheme="minorHAnsi" w:hAnsiTheme="minorHAnsi"/>
          <w:lang w:eastAsia="en-AU"/>
        </w:rPr>
        <w:t xml:space="preserve"> to Northern Territory</w:t>
      </w:r>
      <w:r>
        <w:rPr>
          <w:rFonts w:asciiTheme="minorHAnsi" w:hAnsiTheme="minorHAnsi"/>
          <w:lang w:eastAsia="en-AU"/>
        </w:rPr>
        <w:t xml:space="preserve"> </w:t>
      </w:r>
      <w:r w:rsidRPr="002F7753">
        <w:rPr>
          <w:rFonts w:asciiTheme="minorHAnsi" w:hAnsiTheme="minorHAnsi"/>
          <w:lang w:eastAsia="en-AU"/>
        </w:rPr>
        <w:t xml:space="preserve">Government </w:t>
      </w:r>
      <w:r>
        <w:rPr>
          <w:rFonts w:asciiTheme="minorHAnsi" w:hAnsiTheme="minorHAnsi"/>
          <w:lang w:eastAsia="en-AU"/>
        </w:rPr>
        <w:t xml:space="preserve">(NT Government) </w:t>
      </w:r>
      <w:r w:rsidRPr="002F7753">
        <w:rPr>
          <w:rFonts w:asciiTheme="minorHAnsi" w:hAnsiTheme="minorHAnsi"/>
          <w:lang w:eastAsia="en-AU"/>
        </w:rPr>
        <w:t xml:space="preserve">tenders. </w:t>
      </w:r>
      <w:r>
        <w:rPr>
          <w:rFonts w:asciiTheme="minorHAnsi" w:hAnsiTheme="minorHAnsi"/>
          <w:lang w:eastAsia="en-AU"/>
        </w:rPr>
        <w:t>A</w:t>
      </w:r>
      <w:r w:rsidRPr="00DB3C14">
        <w:rPr>
          <w:rFonts w:asciiTheme="minorHAnsi" w:hAnsiTheme="minorHAnsi"/>
          <w:lang w:eastAsia="en-AU"/>
        </w:rPr>
        <w:t xml:space="preserve"> government</w:t>
      </w:r>
      <w:r>
        <w:rPr>
          <w:rFonts w:asciiTheme="minorHAnsi" w:hAnsiTheme="minorHAnsi"/>
          <w:lang w:eastAsia="en-AU"/>
        </w:rPr>
        <w:t xml:space="preserve"> </w:t>
      </w:r>
      <w:r w:rsidRPr="00DB3C14">
        <w:rPr>
          <w:rFonts w:asciiTheme="minorHAnsi" w:hAnsiTheme="minorHAnsi"/>
          <w:lang w:eastAsia="en-AU"/>
        </w:rPr>
        <w:t>entity could be a government-owned business</w:t>
      </w:r>
      <w:r>
        <w:rPr>
          <w:rFonts w:asciiTheme="minorHAnsi" w:hAnsiTheme="minorHAnsi"/>
          <w:lang w:eastAsia="en-AU"/>
        </w:rPr>
        <w:t xml:space="preserve"> or </w:t>
      </w:r>
      <w:r w:rsidRPr="00DB3C14">
        <w:rPr>
          <w:rFonts w:asciiTheme="minorHAnsi" w:hAnsiTheme="minorHAnsi"/>
          <w:lang w:eastAsia="en-AU"/>
        </w:rPr>
        <w:t xml:space="preserve">a local, </w:t>
      </w:r>
      <w:r>
        <w:rPr>
          <w:rFonts w:asciiTheme="minorHAnsi" w:hAnsiTheme="minorHAnsi"/>
          <w:lang w:eastAsia="en-AU"/>
        </w:rPr>
        <w:t>T</w:t>
      </w:r>
      <w:r w:rsidRPr="00DB3C14">
        <w:rPr>
          <w:rFonts w:asciiTheme="minorHAnsi" w:hAnsiTheme="minorHAnsi"/>
          <w:lang w:eastAsia="en-AU"/>
        </w:rPr>
        <w:t>erritory</w:t>
      </w:r>
      <w:r>
        <w:rPr>
          <w:rFonts w:asciiTheme="minorHAnsi" w:hAnsiTheme="minorHAnsi"/>
          <w:lang w:eastAsia="en-AU"/>
        </w:rPr>
        <w:t>,</w:t>
      </w:r>
      <w:r w:rsidRPr="00DB3C14">
        <w:rPr>
          <w:rFonts w:asciiTheme="minorHAnsi" w:hAnsiTheme="minorHAnsi"/>
          <w:lang w:eastAsia="en-AU"/>
        </w:rPr>
        <w:t xml:space="preserve"> </w:t>
      </w:r>
      <w:r>
        <w:rPr>
          <w:rFonts w:asciiTheme="minorHAnsi" w:hAnsiTheme="minorHAnsi"/>
          <w:lang w:eastAsia="en-AU"/>
        </w:rPr>
        <w:t>S</w:t>
      </w:r>
      <w:r w:rsidRPr="00DB3C14">
        <w:rPr>
          <w:rFonts w:asciiTheme="minorHAnsi" w:hAnsiTheme="minorHAnsi"/>
          <w:lang w:eastAsia="en-AU"/>
        </w:rPr>
        <w:t xml:space="preserve">tate </w:t>
      </w:r>
      <w:r>
        <w:rPr>
          <w:rFonts w:asciiTheme="minorHAnsi" w:hAnsiTheme="minorHAnsi"/>
          <w:lang w:eastAsia="en-AU"/>
        </w:rPr>
        <w:t xml:space="preserve">or Commonwealth </w:t>
      </w:r>
      <w:r w:rsidRPr="00DB3C14">
        <w:rPr>
          <w:rFonts w:asciiTheme="minorHAnsi" w:hAnsiTheme="minorHAnsi"/>
          <w:lang w:eastAsia="en-AU"/>
        </w:rPr>
        <w:t>government agenc</w:t>
      </w:r>
      <w:r>
        <w:rPr>
          <w:rFonts w:asciiTheme="minorHAnsi" w:hAnsiTheme="minorHAnsi"/>
          <w:lang w:eastAsia="en-AU"/>
        </w:rPr>
        <w:t>y.</w:t>
      </w:r>
    </w:p>
    <w:p w14:paraId="2E3C9F1A" w14:textId="77777777" w:rsidR="00D941C0" w:rsidRDefault="00D941C0" w:rsidP="00D941C0">
      <w:pPr>
        <w:jc w:val="both"/>
        <w:rPr>
          <w:rFonts w:asciiTheme="minorHAnsi" w:hAnsiTheme="minorHAnsi"/>
          <w:lang w:eastAsia="en-AU"/>
        </w:rPr>
      </w:pPr>
      <w:r w:rsidRPr="002F7753">
        <w:rPr>
          <w:rFonts w:asciiTheme="minorHAnsi" w:hAnsiTheme="minorHAnsi"/>
          <w:lang w:eastAsia="en-AU"/>
        </w:rPr>
        <w:t>The guidelines are be read in conjunction with the ‘</w:t>
      </w:r>
      <w:hyperlink r:id="rId9" w:history="1">
        <w:r w:rsidRPr="002F7753">
          <w:rPr>
            <w:rStyle w:val="Hyperlink"/>
            <w:rFonts w:asciiTheme="minorHAnsi" w:hAnsiTheme="minorHAnsi"/>
            <w:lang w:eastAsia="en-AU"/>
          </w:rPr>
          <w:t>Northern Territory Government Policy Statement on Competitive Neutrality</w:t>
        </w:r>
      </w:hyperlink>
      <w:r w:rsidRPr="002F7753">
        <w:rPr>
          <w:rFonts w:asciiTheme="minorHAnsi" w:hAnsiTheme="minorHAnsi"/>
          <w:lang w:eastAsia="en-AU"/>
        </w:rPr>
        <w:t>’</w:t>
      </w:r>
      <w:r>
        <w:rPr>
          <w:rFonts w:asciiTheme="minorHAnsi" w:hAnsiTheme="minorHAnsi"/>
          <w:lang w:eastAsia="en-AU"/>
        </w:rPr>
        <w:t xml:space="preserve"> (the statement) which is available on the NT Government’s Department of Treasury and Finance website. The statement</w:t>
      </w:r>
      <w:r w:rsidRPr="002F7753">
        <w:rPr>
          <w:rFonts w:asciiTheme="minorHAnsi" w:hAnsiTheme="minorHAnsi"/>
          <w:lang w:eastAsia="en-AU"/>
        </w:rPr>
        <w:t xml:space="preserve"> provide</w:t>
      </w:r>
      <w:r>
        <w:rPr>
          <w:rFonts w:asciiTheme="minorHAnsi" w:hAnsiTheme="minorHAnsi"/>
          <w:lang w:eastAsia="en-AU"/>
        </w:rPr>
        <w:t>s</w:t>
      </w:r>
      <w:r w:rsidRPr="002F7753">
        <w:rPr>
          <w:rFonts w:asciiTheme="minorHAnsi" w:hAnsiTheme="minorHAnsi"/>
          <w:lang w:eastAsia="en-AU"/>
        </w:rPr>
        <w:t xml:space="preserve"> information on competitive neutrality and the </w:t>
      </w:r>
      <w:r>
        <w:rPr>
          <w:rFonts w:asciiTheme="minorHAnsi" w:hAnsiTheme="minorHAnsi"/>
          <w:lang w:eastAsia="en-AU"/>
        </w:rPr>
        <w:t>NT Government’s</w:t>
      </w:r>
      <w:r w:rsidRPr="002F7753">
        <w:rPr>
          <w:rFonts w:asciiTheme="minorHAnsi" w:hAnsiTheme="minorHAnsi"/>
          <w:lang w:eastAsia="en-AU"/>
        </w:rPr>
        <w:t xml:space="preserve"> commitment to the competitive neutrality principles. </w:t>
      </w:r>
    </w:p>
    <w:p w14:paraId="66B07638" w14:textId="77777777" w:rsidR="00D941C0" w:rsidRDefault="00D941C0" w:rsidP="00D941C0">
      <w:pPr>
        <w:pStyle w:val="Heading2"/>
        <w:rPr>
          <w:lang w:eastAsia="en-AU"/>
        </w:rPr>
      </w:pPr>
      <w:r>
        <w:rPr>
          <w:lang w:eastAsia="en-AU"/>
        </w:rPr>
        <w:t>1.2</w:t>
      </w:r>
      <w:r>
        <w:rPr>
          <w:lang w:eastAsia="en-AU"/>
        </w:rPr>
        <w:tab/>
        <w:t>Who is required to submit a competitive neutral tender?</w:t>
      </w:r>
    </w:p>
    <w:p w14:paraId="1AB43104" w14:textId="1DBF6B58" w:rsidR="00D941C0" w:rsidRDefault="00D941C0" w:rsidP="00D941C0">
      <w:pPr>
        <w:jc w:val="both"/>
        <w:rPr>
          <w:rFonts w:asciiTheme="minorHAnsi" w:hAnsiTheme="minorHAnsi"/>
          <w:lang w:eastAsia="en-AU"/>
        </w:rPr>
      </w:pPr>
      <w:r>
        <w:rPr>
          <w:rFonts w:asciiTheme="minorHAnsi" w:hAnsiTheme="minorHAnsi"/>
          <w:lang w:eastAsia="en-AU"/>
        </w:rPr>
        <w:t>If you are</w:t>
      </w:r>
      <w:r w:rsidR="00C33BD4">
        <w:rPr>
          <w:rFonts w:asciiTheme="minorHAnsi" w:hAnsiTheme="minorHAnsi"/>
          <w:lang w:eastAsia="en-AU"/>
        </w:rPr>
        <w:t xml:space="preserve"> a</w:t>
      </w:r>
      <w:r>
        <w:rPr>
          <w:rFonts w:asciiTheme="minorHAnsi" w:hAnsiTheme="minorHAnsi"/>
          <w:lang w:eastAsia="en-AU"/>
        </w:rPr>
        <w:t xml:space="preserve">: </w:t>
      </w:r>
    </w:p>
    <w:p w14:paraId="0DC924CC" w14:textId="4FF9362A" w:rsidR="00D941C0" w:rsidRPr="00787DB3" w:rsidRDefault="00D941C0" w:rsidP="00D941C0">
      <w:pPr>
        <w:pStyle w:val="ListParagraph"/>
        <w:numPr>
          <w:ilvl w:val="0"/>
          <w:numId w:val="9"/>
        </w:numPr>
        <w:jc w:val="both"/>
        <w:rPr>
          <w:rFonts w:asciiTheme="minorHAnsi" w:hAnsiTheme="minorHAnsi"/>
          <w:lang w:eastAsia="en-AU"/>
        </w:rPr>
      </w:pPr>
      <w:r w:rsidRPr="00787DB3">
        <w:rPr>
          <w:rFonts w:asciiTheme="minorHAnsi" w:hAnsiTheme="minorHAnsi"/>
          <w:lang w:eastAsia="en-AU"/>
        </w:rPr>
        <w:t xml:space="preserve">government business division or </w:t>
      </w:r>
    </w:p>
    <w:p w14:paraId="78955E61" w14:textId="7354F81D" w:rsidR="00D941C0" w:rsidRPr="00787DB3" w:rsidRDefault="00C33BD4" w:rsidP="00D941C0">
      <w:pPr>
        <w:pStyle w:val="ListParagraph"/>
        <w:numPr>
          <w:ilvl w:val="0"/>
          <w:numId w:val="9"/>
        </w:numPr>
        <w:jc w:val="both"/>
        <w:rPr>
          <w:rFonts w:asciiTheme="minorHAnsi" w:hAnsiTheme="minorHAnsi"/>
          <w:lang w:eastAsia="en-AU"/>
        </w:rPr>
      </w:pPr>
      <w:r>
        <w:rPr>
          <w:rFonts w:asciiTheme="minorHAnsi" w:hAnsiTheme="minorHAnsi"/>
          <w:lang w:eastAsia="en-AU"/>
        </w:rPr>
        <w:t>g</w:t>
      </w:r>
      <w:r w:rsidR="00D941C0" w:rsidRPr="007532CA">
        <w:rPr>
          <w:rFonts w:asciiTheme="minorHAnsi" w:hAnsiTheme="minorHAnsi"/>
          <w:lang w:eastAsia="en-AU"/>
        </w:rPr>
        <w:t>overnment entity</w:t>
      </w:r>
      <w:r w:rsidR="00D941C0" w:rsidRPr="00787DB3">
        <w:rPr>
          <w:rFonts w:asciiTheme="minorHAnsi" w:hAnsiTheme="minorHAnsi"/>
          <w:lang w:eastAsia="en-AU"/>
        </w:rPr>
        <w:t xml:space="preserve"> undertaking significant business activities </w:t>
      </w:r>
    </w:p>
    <w:p w14:paraId="155298E4" w14:textId="77777777" w:rsidR="00D941C0" w:rsidRDefault="00D941C0" w:rsidP="00D941C0">
      <w:pPr>
        <w:jc w:val="both"/>
        <w:rPr>
          <w:rFonts w:asciiTheme="minorHAnsi" w:hAnsiTheme="minorHAnsi"/>
          <w:lang w:eastAsia="en-AU"/>
        </w:rPr>
      </w:pPr>
      <w:r>
        <w:rPr>
          <w:rFonts w:asciiTheme="minorHAnsi" w:hAnsiTheme="minorHAnsi"/>
          <w:lang w:eastAsia="en-AU"/>
        </w:rPr>
        <w:t xml:space="preserve">Then you are required to submit a competitive neutral tender. </w:t>
      </w:r>
    </w:p>
    <w:p w14:paraId="1CC01ACD" w14:textId="77777777" w:rsidR="00D941C0" w:rsidRDefault="00D941C0" w:rsidP="00D941C0">
      <w:pPr>
        <w:jc w:val="both"/>
        <w:rPr>
          <w:rFonts w:asciiTheme="minorHAnsi" w:hAnsiTheme="minorHAnsi"/>
          <w:lang w:eastAsia="en-AU"/>
        </w:rPr>
      </w:pPr>
      <w:r>
        <w:rPr>
          <w:rFonts w:asciiTheme="minorHAnsi" w:hAnsiTheme="minorHAnsi"/>
          <w:lang w:eastAsia="en-AU"/>
        </w:rPr>
        <w:t xml:space="preserve">Significant business activities are determined by considering the size of your business activity in relation to the size of the relevant market. You should read the statement for more information on determining significant </w:t>
      </w:r>
      <w:r w:rsidRPr="00BA7ACE">
        <w:rPr>
          <w:rFonts w:asciiTheme="minorHAnsi" w:hAnsiTheme="minorHAnsi"/>
          <w:lang w:eastAsia="en-AU"/>
        </w:rPr>
        <w:t>business activities</w:t>
      </w:r>
      <w:r>
        <w:rPr>
          <w:rFonts w:asciiTheme="minorHAnsi" w:hAnsiTheme="minorHAnsi"/>
          <w:lang w:eastAsia="en-AU"/>
        </w:rPr>
        <w:t xml:space="preserve">. </w:t>
      </w:r>
    </w:p>
    <w:p w14:paraId="10D0F840" w14:textId="77777777" w:rsidR="00D941C0" w:rsidRDefault="00D941C0" w:rsidP="00D941C0">
      <w:pPr>
        <w:jc w:val="both"/>
        <w:rPr>
          <w:rFonts w:asciiTheme="minorHAnsi" w:hAnsiTheme="minorHAnsi"/>
          <w:lang w:eastAsia="en-AU"/>
        </w:rPr>
      </w:pPr>
      <w:r>
        <w:rPr>
          <w:rFonts w:asciiTheme="minorHAnsi" w:hAnsiTheme="minorHAnsi"/>
          <w:lang w:eastAsia="en-AU"/>
        </w:rPr>
        <w:t xml:space="preserve">Government Owned Corporations (GOC) are not required </w:t>
      </w:r>
      <w:r w:rsidRPr="002F7753">
        <w:rPr>
          <w:rFonts w:asciiTheme="minorHAnsi" w:hAnsiTheme="minorHAnsi"/>
          <w:lang w:eastAsia="en-AU"/>
        </w:rPr>
        <w:t>to submit competitive</w:t>
      </w:r>
      <w:r>
        <w:rPr>
          <w:rFonts w:asciiTheme="minorHAnsi" w:hAnsiTheme="minorHAnsi"/>
          <w:lang w:eastAsia="en-AU"/>
        </w:rPr>
        <w:t>ly</w:t>
      </w:r>
      <w:r w:rsidRPr="002F7753">
        <w:rPr>
          <w:rFonts w:asciiTheme="minorHAnsi" w:hAnsiTheme="minorHAnsi"/>
          <w:lang w:eastAsia="en-AU"/>
        </w:rPr>
        <w:t xml:space="preserve"> neutral </w:t>
      </w:r>
      <w:r>
        <w:rPr>
          <w:rFonts w:asciiTheme="minorHAnsi" w:hAnsiTheme="minorHAnsi"/>
          <w:lang w:eastAsia="en-AU"/>
        </w:rPr>
        <w:t xml:space="preserve">pricing in their </w:t>
      </w:r>
      <w:r w:rsidRPr="002F7753">
        <w:rPr>
          <w:rFonts w:asciiTheme="minorHAnsi" w:hAnsiTheme="minorHAnsi"/>
          <w:lang w:eastAsia="en-AU"/>
        </w:rPr>
        <w:t>tender</w:t>
      </w:r>
      <w:r>
        <w:rPr>
          <w:rFonts w:asciiTheme="minorHAnsi" w:hAnsiTheme="minorHAnsi"/>
          <w:lang w:eastAsia="en-AU"/>
        </w:rPr>
        <w:t>. As</w:t>
      </w:r>
      <w:r w:rsidRPr="00F36FB3">
        <w:rPr>
          <w:rFonts w:asciiTheme="minorHAnsi" w:hAnsiTheme="minorHAnsi"/>
          <w:lang w:eastAsia="en-AU"/>
        </w:rPr>
        <w:t xml:space="preserve"> </w:t>
      </w:r>
      <w:r>
        <w:rPr>
          <w:rFonts w:asciiTheme="minorHAnsi" w:hAnsiTheme="minorHAnsi"/>
          <w:lang w:eastAsia="en-AU"/>
        </w:rPr>
        <w:t xml:space="preserve">GOCs are </w:t>
      </w:r>
      <w:r w:rsidRPr="00CB399F">
        <w:rPr>
          <w:rFonts w:asciiTheme="minorHAnsi" w:hAnsiTheme="minorHAnsi"/>
          <w:lang w:eastAsia="en-AU"/>
        </w:rPr>
        <w:t>subject</w:t>
      </w:r>
      <w:r>
        <w:rPr>
          <w:rFonts w:asciiTheme="minorHAnsi" w:hAnsiTheme="minorHAnsi"/>
          <w:lang w:eastAsia="en-AU"/>
        </w:rPr>
        <w:t xml:space="preserve"> to</w:t>
      </w:r>
      <w:r w:rsidRPr="00CB399F">
        <w:rPr>
          <w:rFonts w:asciiTheme="minorHAnsi" w:hAnsiTheme="minorHAnsi"/>
          <w:lang w:eastAsia="en-AU"/>
        </w:rPr>
        <w:t xml:space="preserve"> government businesses to disciplines, incentives and</w:t>
      </w:r>
      <w:r>
        <w:rPr>
          <w:rFonts w:asciiTheme="minorHAnsi" w:hAnsiTheme="minorHAnsi"/>
          <w:lang w:eastAsia="en-AU"/>
        </w:rPr>
        <w:t xml:space="preserve"> </w:t>
      </w:r>
      <w:r w:rsidRPr="00CB399F">
        <w:rPr>
          <w:rFonts w:asciiTheme="minorHAnsi" w:hAnsiTheme="minorHAnsi"/>
          <w:lang w:eastAsia="en-AU"/>
        </w:rPr>
        <w:t>sanctions</w:t>
      </w:r>
      <w:r>
        <w:rPr>
          <w:rFonts w:asciiTheme="minorHAnsi" w:hAnsiTheme="minorHAnsi"/>
          <w:lang w:eastAsia="en-AU"/>
        </w:rPr>
        <w:t>;</w:t>
      </w:r>
      <w:r w:rsidRPr="00CB399F">
        <w:rPr>
          <w:rFonts w:asciiTheme="minorHAnsi" w:hAnsiTheme="minorHAnsi"/>
          <w:lang w:eastAsia="en-AU"/>
        </w:rPr>
        <w:t xml:space="preserve"> </w:t>
      </w:r>
      <w:r>
        <w:rPr>
          <w:rFonts w:asciiTheme="minorHAnsi" w:hAnsiTheme="minorHAnsi"/>
          <w:lang w:eastAsia="en-AU"/>
        </w:rPr>
        <w:t>identical</w:t>
      </w:r>
      <w:r w:rsidRPr="00CB399F">
        <w:rPr>
          <w:rFonts w:asciiTheme="minorHAnsi" w:hAnsiTheme="minorHAnsi"/>
          <w:lang w:eastAsia="en-AU"/>
        </w:rPr>
        <w:t xml:space="preserve"> </w:t>
      </w:r>
      <w:r>
        <w:rPr>
          <w:rFonts w:asciiTheme="minorHAnsi" w:hAnsiTheme="minorHAnsi"/>
          <w:lang w:eastAsia="en-AU"/>
        </w:rPr>
        <w:t xml:space="preserve">to </w:t>
      </w:r>
      <w:r w:rsidRPr="002F7753">
        <w:rPr>
          <w:rFonts w:asciiTheme="minorHAnsi" w:hAnsiTheme="minorHAnsi"/>
          <w:lang w:eastAsia="en-AU"/>
        </w:rPr>
        <w:t xml:space="preserve">private sector organisation </w:t>
      </w:r>
      <w:r>
        <w:rPr>
          <w:rFonts w:asciiTheme="minorHAnsi" w:hAnsiTheme="minorHAnsi"/>
          <w:lang w:eastAsia="en-AU"/>
        </w:rPr>
        <w:t xml:space="preserve">therefore do not receive any competitive advantage or disadvantage. </w:t>
      </w:r>
    </w:p>
    <w:p w14:paraId="3BD0778E" w14:textId="77777777" w:rsidR="00D941C0" w:rsidRDefault="00D941C0" w:rsidP="00D941C0">
      <w:pPr>
        <w:jc w:val="both"/>
        <w:rPr>
          <w:rFonts w:asciiTheme="minorHAnsi" w:hAnsiTheme="minorHAnsi"/>
          <w:lang w:eastAsia="en-AU"/>
        </w:rPr>
      </w:pPr>
      <w:r>
        <w:rPr>
          <w:rFonts w:asciiTheme="minorHAnsi" w:hAnsiTheme="minorHAnsi"/>
          <w:lang w:eastAsia="en-AU"/>
        </w:rPr>
        <w:t>If you are a government entity that joins</w:t>
      </w:r>
      <w:r w:rsidRPr="002F7753">
        <w:rPr>
          <w:rFonts w:asciiTheme="minorHAnsi" w:hAnsiTheme="minorHAnsi"/>
          <w:lang w:eastAsia="en-AU"/>
        </w:rPr>
        <w:t xml:space="preserve"> a business collaboration (e.g. joint venture, partnership or sub-contracting arrangement) with the intention of tendering for a </w:t>
      </w:r>
      <w:r>
        <w:rPr>
          <w:rFonts w:asciiTheme="minorHAnsi" w:hAnsiTheme="minorHAnsi"/>
          <w:lang w:eastAsia="en-AU"/>
        </w:rPr>
        <w:t>NT Government</w:t>
      </w:r>
      <w:r w:rsidRPr="002F7753">
        <w:rPr>
          <w:rFonts w:asciiTheme="minorHAnsi" w:hAnsiTheme="minorHAnsi"/>
          <w:lang w:eastAsia="en-AU"/>
        </w:rPr>
        <w:t xml:space="preserve"> </w:t>
      </w:r>
      <w:r>
        <w:rPr>
          <w:rFonts w:asciiTheme="minorHAnsi" w:hAnsiTheme="minorHAnsi"/>
          <w:lang w:eastAsia="en-AU"/>
        </w:rPr>
        <w:t>tender</w:t>
      </w:r>
      <w:r w:rsidRPr="002F7753">
        <w:rPr>
          <w:rFonts w:asciiTheme="minorHAnsi" w:hAnsiTheme="minorHAnsi"/>
          <w:lang w:eastAsia="en-AU"/>
        </w:rPr>
        <w:t xml:space="preserve">, </w:t>
      </w:r>
      <w:r>
        <w:rPr>
          <w:rFonts w:asciiTheme="minorHAnsi" w:hAnsiTheme="minorHAnsi"/>
          <w:lang w:eastAsia="en-AU"/>
        </w:rPr>
        <w:t xml:space="preserve">then the </w:t>
      </w:r>
      <w:r w:rsidRPr="002F7753">
        <w:rPr>
          <w:rFonts w:asciiTheme="minorHAnsi" w:hAnsiTheme="minorHAnsi"/>
          <w:lang w:eastAsia="en-AU"/>
        </w:rPr>
        <w:t xml:space="preserve">competitive neutrality principles </w:t>
      </w:r>
      <w:r>
        <w:rPr>
          <w:rFonts w:asciiTheme="minorHAnsi" w:hAnsiTheme="minorHAnsi"/>
          <w:lang w:eastAsia="en-AU"/>
        </w:rPr>
        <w:t xml:space="preserve">must be applied </w:t>
      </w:r>
      <w:r w:rsidRPr="002F7753">
        <w:rPr>
          <w:rFonts w:asciiTheme="minorHAnsi" w:hAnsiTheme="minorHAnsi"/>
          <w:lang w:eastAsia="en-AU"/>
        </w:rPr>
        <w:t>to a</w:t>
      </w:r>
      <w:r>
        <w:rPr>
          <w:rFonts w:asciiTheme="minorHAnsi" w:hAnsiTheme="minorHAnsi"/>
          <w:lang w:eastAsia="en-AU"/>
        </w:rPr>
        <w:t>ll</w:t>
      </w:r>
      <w:r w:rsidRPr="002F7753">
        <w:rPr>
          <w:rFonts w:asciiTheme="minorHAnsi" w:hAnsiTheme="minorHAnsi"/>
          <w:lang w:eastAsia="en-AU"/>
        </w:rPr>
        <w:t xml:space="preserve"> </w:t>
      </w:r>
      <w:r>
        <w:rPr>
          <w:rFonts w:asciiTheme="minorHAnsi" w:hAnsiTheme="minorHAnsi"/>
          <w:lang w:eastAsia="en-AU"/>
        </w:rPr>
        <w:t>components</w:t>
      </w:r>
      <w:r w:rsidRPr="002F7753">
        <w:rPr>
          <w:rFonts w:asciiTheme="minorHAnsi" w:hAnsiTheme="minorHAnsi"/>
          <w:lang w:eastAsia="en-AU"/>
        </w:rPr>
        <w:t xml:space="preserve"> of </w:t>
      </w:r>
      <w:r>
        <w:rPr>
          <w:rFonts w:asciiTheme="minorHAnsi" w:hAnsiTheme="minorHAnsi"/>
          <w:lang w:eastAsia="en-AU"/>
        </w:rPr>
        <w:t>your</w:t>
      </w:r>
      <w:r w:rsidRPr="002F7753">
        <w:rPr>
          <w:rFonts w:asciiTheme="minorHAnsi" w:hAnsiTheme="minorHAnsi"/>
          <w:lang w:eastAsia="en-AU"/>
        </w:rPr>
        <w:t xml:space="preserve"> tender.</w:t>
      </w:r>
      <w:r w:rsidRPr="00C5536B">
        <w:rPr>
          <w:rFonts w:asciiTheme="minorHAnsi" w:hAnsiTheme="minorHAnsi"/>
          <w:lang w:eastAsia="en-AU"/>
        </w:rPr>
        <w:t xml:space="preserve"> </w:t>
      </w:r>
    </w:p>
    <w:p w14:paraId="4787674A" w14:textId="77777777" w:rsidR="00D941C0" w:rsidRDefault="00D941C0" w:rsidP="00D941C0">
      <w:pPr>
        <w:pStyle w:val="Heading2"/>
        <w:rPr>
          <w:lang w:eastAsia="en-AU"/>
        </w:rPr>
      </w:pPr>
      <w:r w:rsidRPr="001E1446">
        <w:rPr>
          <w:lang w:eastAsia="en-AU"/>
        </w:rPr>
        <w:t>Compliance</w:t>
      </w:r>
    </w:p>
    <w:p w14:paraId="30926085" w14:textId="77777777" w:rsidR="00D941C0" w:rsidRDefault="00D941C0" w:rsidP="00D941C0">
      <w:pPr>
        <w:jc w:val="both"/>
        <w:rPr>
          <w:lang w:eastAsia="en-AU"/>
        </w:rPr>
      </w:pPr>
      <w:r>
        <w:rPr>
          <w:lang w:eastAsia="en-AU"/>
        </w:rPr>
        <w:t>The Competitive Neutrality clause is in the standard conditions of offer. As a tenderer you must comply with the conditions of offer. The clause details the requirement for government entities to submit a competitively neutral price in accordance with the guidelines.</w:t>
      </w:r>
    </w:p>
    <w:p w14:paraId="7A8D9199" w14:textId="77777777" w:rsidR="00D941C0" w:rsidRDefault="00D941C0" w:rsidP="00D941C0">
      <w:pPr>
        <w:pStyle w:val="Heading1"/>
        <w:rPr>
          <w:lang w:eastAsia="en-AU"/>
        </w:rPr>
      </w:pPr>
      <w:r>
        <w:rPr>
          <w:lang w:eastAsia="en-AU"/>
        </w:rPr>
        <w:t>2</w:t>
      </w:r>
      <w:r>
        <w:rPr>
          <w:lang w:eastAsia="en-AU"/>
        </w:rPr>
        <w:tab/>
        <w:t>Preparing to tender</w:t>
      </w:r>
    </w:p>
    <w:p w14:paraId="39409B44" w14:textId="73E5432E" w:rsidR="00D941C0" w:rsidRPr="00787DB3" w:rsidRDefault="00D941C0" w:rsidP="00D941C0">
      <w:pPr>
        <w:jc w:val="both"/>
        <w:rPr>
          <w:lang w:eastAsia="en-AU"/>
        </w:rPr>
      </w:pPr>
      <w:r w:rsidRPr="00787DB3">
        <w:rPr>
          <w:lang w:eastAsia="en-AU"/>
        </w:rPr>
        <w:t xml:space="preserve">As a government business division or government entity undertaking significant business activity you must submit two Pricing Schedules. This means providing two tender prices, an actual tender price and a competitively neutral tender price. </w:t>
      </w:r>
    </w:p>
    <w:p w14:paraId="7E915737" w14:textId="77777777" w:rsidR="00D941C0" w:rsidRDefault="00D941C0" w:rsidP="00D941C0">
      <w:pPr>
        <w:pStyle w:val="Heading2"/>
        <w:rPr>
          <w:lang w:eastAsia="en-AU"/>
        </w:rPr>
      </w:pPr>
      <w:r>
        <w:rPr>
          <w:lang w:eastAsia="en-AU"/>
        </w:rPr>
        <w:lastRenderedPageBreak/>
        <w:t>2.1</w:t>
      </w:r>
      <w:r>
        <w:rPr>
          <w:lang w:eastAsia="en-AU"/>
        </w:rPr>
        <w:tab/>
        <w:t>What is the actual tender price?</w:t>
      </w:r>
    </w:p>
    <w:p w14:paraId="28CBDF2E" w14:textId="77777777" w:rsidR="00D941C0" w:rsidRPr="002F7753" w:rsidRDefault="00D941C0" w:rsidP="00D941C0">
      <w:pPr>
        <w:jc w:val="both"/>
        <w:rPr>
          <w:rFonts w:asciiTheme="minorHAnsi" w:hAnsiTheme="minorHAnsi"/>
          <w:lang w:eastAsia="en-AU"/>
        </w:rPr>
      </w:pPr>
      <w:r w:rsidRPr="002F7753">
        <w:rPr>
          <w:rFonts w:asciiTheme="minorHAnsi" w:hAnsiTheme="minorHAnsi"/>
          <w:lang w:eastAsia="en-AU"/>
        </w:rPr>
        <w:t xml:space="preserve">The actual tender price is </w:t>
      </w:r>
      <w:r>
        <w:rPr>
          <w:rFonts w:asciiTheme="minorHAnsi" w:hAnsiTheme="minorHAnsi"/>
          <w:lang w:eastAsia="en-AU"/>
        </w:rPr>
        <w:t>the</w:t>
      </w:r>
      <w:r w:rsidRPr="002F7753">
        <w:rPr>
          <w:rFonts w:asciiTheme="minorHAnsi" w:hAnsiTheme="minorHAnsi"/>
          <w:lang w:eastAsia="en-AU"/>
        </w:rPr>
        <w:t xml:space="preserve"> full cost </w:t>
      </w:r>
      <w:r>
        <w:rPr>
          <w:rFonts w:asciiTheme="minorHAnsi" w:hAnsiTheme="minorHAnsi"/>
          <w:lang w:eastAsia="en-AU"/>
        </w:rPr>
        <w:t xml:space="preserve">price. If you as a government entity </w:t>
      </w:r>
      <w:r w:rsidRPr="002F7753">
        <w:rPr>
          <w:rFonts w:asciiTheme="minorHAnsi" w:hAnsiTheme="minorHAnsi"/>
          <w:lang w:eastAsia="en-AU"/>
        </w:rPr>
        <w:t xml:space="preserve">win the contract, </w:t>
      </w:r>
      <w:r>
        <w:rPr>
          <w:rFonts w:asciiTheme="minorHAnsi" w:hAnsiTheme="minorHAnsi"/>
          <w:lang w:eastAsia="en-AU"/>
        </w:rPr>
        <w:t xml:space="preserve">this price </w:t>
      </w:r>
      <w:r w:rsidRPr="002F7753">
        <w:rPr>
          <w:rFonts w:asciiTheme="minorHAnsi" w:hAnsiTheme="minorHAnsi"/>
          <w:lang w:eastAsia="en-AU"/>
        </w:rPr>
        <w:t>will become the contract price which is paid</w:t>
      </w:r>
      <w:r>
        <w:rPr>
          <w:rFonts w:asciiTheme="minorHAnsi" w:hAnsiTheme="minorHAnsi"/>
          <w:lang w:eastAsia="en-AU"/>
        </w:rPr>
        <w:t xml:space="preserve"> to you as a government entity</w:t>
      </w:r>
      <w:r w:rsidRPr="002F7753">
        <w:rPr>
          <w:rFonts w:asciiTheme="minorHAnsi" w:hAnsiTheme="minorHAnsi"/>
          <w:lang w:eastAsia="en-AU"/>
        </w:rPr>
        <w:t xml:space="preserve">. </w:t>
      </w:r>
    </w:p>
    <w:p w14:paraId="303DA77A" w14:textId="77777777" w:rsidR="00D941C0" w:rsidRDefault="00D941C0" w:rsidP="00D941C0">
      <w:pPr>
        <w:pStyle w:val="Heading2"/>
        <w:rPr>
          <w:lang w:eastAsia="en-AU"/>
        </w:rPr>
      </w:pPr>
      <w:r>
        <w:rPr>
          <w:lang w:eastAsia="en-AU"/>
        </w:rPr>
        <w:t>2.2</w:t>
      </w:r>
      <w:r>
        <w:rPr>
          <w:lang w:eastAsia="en-AU"/>
        </w:rPr>
        <w:tab/>
        <w:t>What is the competitively neutral tender price?</w:t>
      </w:r>
    </w:p>
    <w:p w14:paraId="484EBCE6" w14:textId="77777777" w:rsidR="00D941C0" w:rsidRPr="002F7753" w:rsidRDefault="00D941C0" w:rsidP="00D941C0">
      <w:pPr>
        <w:jc w:val="both"/>
        <w:rPr>
          <w:rFonts w:asciiTheme="minorHAnsi" w:hAnsiTheme="minorHAnsi"/>
          <w:lang w:eastAsia="en-AU"/>
        </w:rPr>
      </w:pPr>
      <w:r w:rsidRPr="002F7753">
        <w:rPr>
          <w:rFonts w:asciiTheme="minorHAnsi" w:hAnsiTheme="minorHAnsi"/>
          <w:lang w:eastAsia="en-AU"/>
        </w:rPr>
        <w:t>A competitively neutral tender price is based on the actual tender price</w:t>
      </w:r>
      <w:r>
        <w:rPr>
          <w:rFonts w:asciiTheme="minorHAnsi" w:hAnsiTheme="minorHAnsi"/>
          <w:lang w:eastAsia="en-AU"/>
        </w:rPr>
        <w:t xml:space="preserve"> with a</w:t>
      </w:r>
      <w:r w:rsidRPr="002F7753">
        <w:rPr>
          <w:rFonts w:asciiTheme="minorHAnsi" w:hAnsiTheme="minorHAnsi"/>
          <w:lang w:eastAsia="en-AU"/>
        </w:rPr>
        <w:t xml:space="preserve">djustments to offset any competitive advantage or disadvantage that </w:t>
      </w:r>
      <w:r>
        <w:rPr>
          <w:rFonts w:asciiTheme="minorHAnsi" w:hAnsiTheme="minorHAnsi"/>
          <w:lang w:eastAsia="en-AU"/>
        </w:rPr>
        <w:t>your</w:t>
      </w:r>
      <w:r w:rsidRPr="002F7753">
        <w:rPr>
          <w:rFonts w:asciiTheme="minorHAnsi" w:hAnsiTheme="minorHAnsi"/>
          <w:lang w:eastAsia="en-AU"/>
        </w:rPr>
        <w:t xml:space="preserve"> government </w:t>
      </w:r>
      <w:r>
        <w:rPr>
          <w:rFonts w:asciiTheme="minorHAnsi" w:hAnsiTheme="minorHAnsi"/>
          <w:lang w:eastAsia="en-AU"/>
        </w:rPr>
        <w:t>entity</w:t>
      </w:r>
      <w:r w:rsidRPr="002F7753">
        <w:rPr>
          <w:rFonts w:asciiTheme="minorHAnsi" w:hAnsiTheme="minorHAnsi"/>
          <w:lang w:eastAsia="en-AU"/>
        </w:rPr>
        <w:t xml:space="preserve"> receives compared to a private sector organisation in the same industry</w:t>
      </w:r>
      <w:r>
        <w:rPr>
          <w:rFonts w:asciiTheme="minorHAnsi" w:hAnsiTheme="minorHAnsi"/>
          <w:lang w:eastAsia="en-AU"/>
        </w:rPr>
        <w:t xml:space="preserve"> and size</w:t>
      </w:r>
      <w:r w:rsidRPr="002F7753">
        <w:rPr>
          <w:rFonts w:asciiTheme="minorHAnsi" w:hAnsiTheme="minorHAnsi"/>
          <w:lang w:eastAsia="en-AU"/>
        </w:rPr>
        <w:t xml:space="preserve">. </w:t>
      </w:r>
    </w:p>
    <w:p w14:paraId="0FB1ABA2" w14:textId="77777777" w:rsidR="00D941C0" w:rsidRDefault="00D941C0" w:rsidP="00D941C0">
      <w:pPr>
        <w:jc w:val="both"/>
        <w:rPr>
          <w:rFonts w:asciiTheme="minorHAnsi" w:hAnsiTheme="minorHAnsi"/>
          <w:lang w:eastAsia="en-AU"/>
        </w:rPr>
      </w:pPr>
      <w:r w:rsidRPr="002F7753">
        <w:rPr>
          <w:rFonts w:asciiTheme="minorHAnsi" w:hAnsiTheme="minorHAnsi"/>
          <w:lang w:eastAsia="en-AU"/>
        </w:rPr>
        <w:t xml:space="preserve">It is this competitively neutral tender price that will be used in the assessment and evaluation of tenders. </w:t>
      </w:r>
    </w:p>
    <w:p w14:paraId="2E1224CB" w14:textId="77777777" w:rsidR="00D941C0" w:rsidRDefault="00D941C0" w:rsidP="00D941C0">
      <w:pPr>
        <w:pStyle w:val="Heading3"/>
        <w:rPr>
          <w:lang w:eastAsia="en-AU"/>
        </w:rPr>
      </w:pPr>
      <w:r>
        <w:rPr>
          <w:lang w:eastAsia="en-AU"/>
        </w:rPr>
        <w:t>Preparing the competitively neutral tender price</w:t>
      </w:r>
    </w:p>
    <w:p w14:paraId="091A4967" w14:textId="77777777" w:rsidR="00D941C0" w:rsidRDefault="00D941C0" w:rsidP="00D941C0">
      <w:pPr>
        <w:jc w:val="both"/>
        <w:rPr>
          <w:rFonts w:asciiTheme="minorHAnsi" w:hAnsiTheme="minorHAnsi"/>
          <w:lang w:eastAsia="en-AU"/>
        </w:rPr>
      </w:pPr>
      <w:r>
        <w:rPr>
          <w:rFonts w:asciiTheme="minorHAnsi" w:hAnsiTheme="minorHAnsi"/>
          <w:lang w:eastAsia="en-AU"/>
        </w:rPr>
        <w:t>There are five key neutrality areas to consider:</w:t>
      </w:r>
    </w:p>
    <w:p w14:paraId="507EBD19" w14:textId="5197B203" w:rsidR="00D941C0" w:rsidRPr="00407F7B" w:rsidRDefault="00C33BD4" w:rsidP="00D941C0">
      <w:pPr>
        <w:pStyle w:val="ListParagraph"/>
        <w:numPr>
          <w:ilvl w:val="0"/>
          <w:numId w:val="10"/>
        </w:numPr>
        <w:jc w:val="both"/>
        <w:rPr>
          <w:rFonts w:asciiTheme="minorHAnsi" w:hAnsiTheme="minorHAnsi"/>
          <w:lang w:eastAsia="en-AU"/>
        </w:rPr>
      </w:pPr>
      <w:r>
        <w:rPr>
          <w:rFonts w:asciiTheme="minorHAnsi" w:hAnsiTheme="minorHAnsi"/>
          <w:lang w:eastAsia="en-AU"/>
        </w:rPr>
        <w:t>t</w:t>
      </w:r>
      <w:r w:rsidR="00D941C0" w:rsidRPr="00407F7B">
        <w:rPr>
          <w:rFonts w:asciiTheme="minorHAnsi" w:hAnsiTheme="minorHAnsi"/>
          <w:lang w:eastAsia="en-AU"/>
        </w:rPr>
        <w:t xml:space="preserve">axation neutrality </w:t>
      </w:r>
    </w:p>
    <w:p w14:paraId="29294944" w14:textId="442B21A2" w:rsidR="00D941C0" w:rsidRPr="00407F7B" w:rsidRDefault="00C33BD4" w:rsidP="00D941C0">
      <w:pPr>
        <w:pStyle w:val="ListParagraph"/>
        <w:numPr>
          <w:ilvl w:val="0"/>
          <w:numId w:val="10"/>
        </w:numPr>
        <w:jc w:val="both"/>
        <w:rPr>
          <w:rFonts w:asciiTheme="minorHAnsi" w:hAnsiTheme="minorHAnsi"/>
          <w:lang w:eastAsia="en-AU"/>
        </w:rPr>
      </w:pPr>
      <w:r>
        <w:rPr>
          <w:rFonts w:asciiTheme="minorHAnsi" w:hAnsiTheme="minorHAnsi"/>
          <w:lang w:eastAsia="en-AU"/>
        </w:rPr>
        <w:t>d</w:t>
      </w:r>
      <w:r w:rsidR="00D941C0" w:rsidRPr="00407F7B">
        <w:rPr>
          <w:rFonts w:asciiTheme="minorHAnsi" w:hAnsiTheme="minorHAnsi"/>
          <w:lang w:eastAsia="en-AU"/>
        </w:rPr>
        <w:t>ebt neutrality</w:t>
      </w:r>
    </w:p>
    <w:p w14:paraId="2FEC7FBC" w14:textId="77DFD27C" w:rsidR="00D941C0" w:rsidRPr="00407F7B" w:rsidRDefault="00C33BD4" w:rsidP="00D941C0">
      <w:pPr>
        <w:pStyle w:val="ListParagraph"/>
        <w:numPr>
          <w:ilvl w:val="0"/>
          <w:numId w:val="10"/>
        </w:numPr>
        <w:jc w:val="both"/>
        <w:rPr>
          <w:rFonts w:asciiTheme="minorHAnsi" w:hAnsiTheme="minorHAnsi"/>
          <w:lang w:eastAsia="en-AU"/>
        </w:rPr>
      </w:pPr>
      <w:r>
        <w:rPr>
          <w:rFonts w:asciiTheme="minorHAnsi" w:hAnsiTheme="minorHAnsi"/>
          <w:lang w:eastAsia="en-AU"/>
        </w:rPr>
        <w:t>r</w:t>
      </w:r>
      <w:r w:rsidR="00D941C0" w:rsidRPr="00407F7B">
        <w:rPr>
          <w:rFonts w:asciiTheme="minorHAnsi" w:hAnsiTheme="minorHAnsi"/>
          <w:lang w:eastAsia="en-AU"/>
        </w:rPr>
        <w:t>egulatory neutrality</w:t>
      </w:r>
    </w:p>
    <w:p w14:paraId="1EED1475" w14:textId="30342ED8" w:rsidR="00D941C0" w:rsidRPr="00407F7B" w:rsidRDefault="00C33BD4" w:rsidP="00D941C0">
      <w:pPr>
        <w:pStyle w:val="ListParagraph"/>
        <w:numPr>
          <w:ilvl w:val="0"/>
          <w:numId w:val="10"/>
        </w:numPr>
        <w:jc w:val="both"/>
        <w:rPr>
          <w:rFonts w:asciiTheme="minorHAnsi" w:hAnsiTheme="minorHAnsi"/>
          <w:lang w:eastAsia="en-AU"/>
        </w:rPr>
      </w:pPr>
      <w:r>
        <w:rPr>
          <w:rFonts w:asciiTheme="minorHAnsi" w:hAnsiTheme="minorHAnsi"/>
          <w:lang w:eastAsia="en-AU"/>
        </w:rPr>
        <w:t>r</w:t>
      </w:r>
      <w:r w:rsidR="00D941C0" w:rsidRPr="00407F7B">
        <w:rPr>
          <w:rFonts w:asciiTheme="minorHAnsi" w:hAnsiTheme="minorHAnsi"/>
          <w:lang w:eastAsia="en-AU"/>
        </w:rPr>
        <w:t>ate of return</w:t>
      </w:r>
    </w:p>
    <w:p w14:paraId="08369916" w14:textId="5F151D47" w:rsidR="00D941C0" w:rsidRPr="00407F7B" w:rsidRDefault="00C33BD4" w:rsidP="00D941C0">
      <w:pPr>
        <w:pStyle w:val="ListParagraph"/>
        <w:numPr>
          <w:ilvl w:val="0"/>
          <w:numId w:val="10"/>
        </w:numPr>
        <w:jc w:val="both"/>
        <w:rPr>
          <w:rFonts w:asciiTheme="minorHAnsi" w:hAnsiTheme="minorHAnsi"/>
          <w:lang w:eastAsia="en-AU"/>
        </w:rPr>
      </w:pPr>
      <w:r>
        <w:rPr>
          <w:rFonts w:asciiTheme="minorHAnsi" w:hAnsiTheme="minorHAnsi"/>
          <w:lang w:eastAsia="en-AU"/>
        </w:rPr>
        <w:t>c</w:t>
      </w:r>
      <w:r w:rsidR="00D941C0" w:rsidRPr="00407F7B">
        <w:rPr>
          <w:rFonts w:asciiTheme="minorHAnsi" w:hAnsiTheme="minorHAnsi"/>
          <w:lang w:eastAsia="en-AU"/>
        </w:rPr>
        <w:t xml:space="preserve">osting of shared resources. </w:t>
      </w:r>
    </w:p>
    <w:p w14:paraId="4B65FBB7" w14:textId="48112008" w:rsidR="00D50F86" w:rsidRPr="00C33BD4" w:rsidRDefault="00D941C0" w:rsidP="00C33BD4">
      <w:pPr>
        <w:jc w:val="both"/>
        <w:rPr>
          <w:rFonts w:asciiTheme="minorHAnsi" w:hAnsiTheme="minorHAnsi"/>
          <w:lang w:eastAsia="en-AU"/>
        </w:rPr>
      </w:pPr>
      <w:r>
        <w:rPr>
          <w:rFonts w:asciiTheme="minorHAnsi" w:hAnsiTheme="minorHAnsi"/>
          <w:lang w:eastAsia="en-AU"/>
        </w:rPr>
        <w:t xml:space="preserve">For </w:t>
      </w:r>
      <w:r w:rsidRPr="002F7753">
        <w:rPr>
          <w:rFonts w:asciiTheme="minorHAnsi" w:hAnsiTheme="minorHAnsi"/>
          <w:lang w:eastAsia="en-AU"/>
        </w:rPr>
        <w:t xml:space="preserve">more information on how to </w:t>
      </w:r>
      <w:r>
        <w:rPr>
          <w:rFonts w:asciiTheme="minorHAnsi" w:hAnsiTheme="minorHAnsi"/>
          <w:lang w:eastAsia="en-AU"/>
        </w:rPr>
        <w:t xml:space="preserve"> develop a</w:t>
      </w:r>
      <w:r w:rsidRPr="002F7753">
        <w:rPr>
          <w:rFonts w:asciiTheme="minorHAnsi" w:hAnsiTheme="minorHAnsi"/>
          <w:lang w:eastAsia="en-AU"/>
        </w:rPr>
        <w:t xml:space="preserve"> competitive</w:t>
      </w:r>
      <w:r>
        <w:rPr>
          <w:rFonts w:asciiTheme="minorHAnsi" w:hAnsiTheme="minorHAnsi"/>
          <w:lang w:eastAsia="en-AU"/>
        </w:rPr>
        <w:t>ly</w:t>
      </w:r>
      <w:r w:rsidRPr="002F7753">
        <w:rPr>
          <w:rFonts w:asciiTheme="minorHAnsi" w:hAnsiTheme="minorHAnsi"/>
          <w:lang w:eastAsia="en-AU"/>
        </w:rPr>
        <w:t xml:space="preserve"> neutral tender price please </w:t>
      </w:r>
      <w:r>
        <w:rPr>
          <w:rFonts w:asciiTheme="minorHAnsi" w:hAnsiTheme="minorHAnsi"/>
          <w:lang w:eastAsia="en-AU"/>
        </w:rPr>
        <w:t>read</w:t>
      </w:r>
      <w:r w:rsidRPr="002F7753">
        <w:rPr>
          <w:rFonts w:asciiTheme="minorHAnsi" w:hAnsiTheme="minorHAnsi"/>
          <w:lang w:eastAsia="en-AU"/>
        </w:rPr>
        <w:t xml:space="preserve"> the ‘</w:t>
      </w:r>
      <w:hyperlink r:id="rId10" w:history="1">
        <w:r w:rsidRPr="002F7753">
          <w:rPr>
            <w:rStyle w:val="Hyperlink"/>
            <w:rFonts w:asciiTheme="minorHAnsi" w:hAnsiTheme="minorHAnsi"/>
            <w:lang w:eastAsia="en-AU"/>
          </w:rPr>
          <w:t>Australian Government Competitive Neutrality Guidelines for Managers</w:t>
        </w:r>
      </w:hyperlink>
      <w:r w:rsidRPr="002F7753">
        <w:rPr>
          <w:rFonts w:asciiTheme="minorHAnsi" w:hAnsiTheme="minorHAnsi"/>
          <w:lang w:eastAsia="en-AU"/>
        </w:rPr>
        <w:t>’ found on the Australian Government, Treasury website. See</w:t>
      </w:r>
      <w:r>
        <w:rPr>
          <w:rFonts w:asciiTheme="minorHAnsi" w:hAnsiTheme="minorHAnsi"/>
          <w:lang w:eastAsia="en-AU"/>
        </w:rPr>
        <w:t>,</w:t>
      </w:r>
      <w:r w:rsidRPr="002F7753">
        <w:rPr>
          <w:rFonts w:asciiTheme="minorHAnsi" w:hAnsiTheme="minorHAnsi"/>
          <w:lang w:eastAsia="en-AU"/>
        </w:rPr>
        <w:t xml:space="preserve"> </w:t>
      </w:r>
      <w:r>
        <w:rPr>
          <w:rFonts w:asciiTheme="minorHAnsi" w:hAnsiTheme="minorHAnsi"/>
          <w:lang w:eastAsia="en-AU"/>
        </w:rPr>
        <w:t>S</w:t>
      </w:r>
      <w:r w:rsidRPr="002F7753">
        <w:rPr>
          <w:rFonts w:asciiTheme="minorHAnsi" w:hAnsiTheme="minorHAnsi"/>
          <w:lang w:eastAsia="en-AU"/>
        </w:rPr>
        <w:t xml:space="preserve">ection 4 ‘Application of Competitive Neutrality’ for details on what adjustments </w:t>
      </w:r>
      <w:r>
        <w:rPr>
          <w:rFonts w:asciiTheme="minorHAnsi" w:hAnsiTheme="minorHAnsi"/>
          <w:lang w:eastAsia="en-AU"/>
        </w:rPr>
        <w:t xml:space="preserve">you </w:t>
      </w:r>
      <w:r w:rsidRPr="002F7753">
        <w:rPr>
          <w:rFonts w:asciiTheme="minorHAnsi" w:hAnsiTheme="minorHAnsi"/>
          <w:lang w:eastAsia="en-AU"/>
        </w:rPr>
        <w:t>should consider</w:t>
      </w:r>
      <w:r>
        <w:rPr>
          <w:rFonts w:asciiTheme="minorHAnsi" w:hAnsiTheme="minorHAnsi"/>
          <w:lang w:eastAsia="en-AU"/>
        </w:rPr>
        <w:t xml:space="preserve"> </w:t>
      </w:r>
      <w:proofErr w:type="gramStart"/>
      <w:r>
        <w:rPr>
          <w:rFonts w:asciiTheme="minorHAnsi" w:hAnsiTheme="minorHAnsi"/>
          <w:lang w:eastAsia="en-AU"/>
        </w:rPr>
        <w:t>to offset</w:t>
      </w:r>
      <w:proofErr w:type="gramEnd"/>
      <w:r>
        <w:rPr>
          <w:rFonts w:asciiTheme="minorHAnsi" w:hAnsiTheme="minorHAnsi"/>
          <w:lang w:eastAsia="en-AU"/>
        </w:rPr>
        <w:t xml:space="preserve"> any competitive advantages or disadvantages you may have. </w:t>
      </w:r>
    </w:p>
    <w:sectPr w:rsidR="00D50F86" w:rsidRPr="00C33BD4" w:rsidSect="00CF5B6E">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DE85" w14:textId="77777777" w:rsidR="006525F9" w:rsidRDefault="006525F9" w:rsidP="007332FF">
      <w:r>
        <w:separator/>
      </w:r>
    </w:p>
  </w:endnote>
  <w:endnote w:type="continuationSeparator" w:id="0">
    <w:p w14:paraId="5CB0216B" w14:textId="77777777" w:rsidR="006525F9" w:rsidRDefault="006525F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0374" w14:textId="77777777" w:rsidR="00983000" w:rsidRDefault="00983000" w:rsidP="0045063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F5B6E" w:rsidRPr="00132658" w14:paraId="02F3784D" w14:textId="77777777" w:rsidTr="000B40F2">
      <w:trPr>
        <w:cantSplit/>
        <w:trHeight w:hRule="exact" w:val="1134"/>
      </w:trPr>
      <w:tc>
        <w:tcPr>
          <w:tcW w:w="7767" w:type="dxa"/>
          <w:vAlign w:val="bottom"/>
        </w:tcPr>
        <w:p w14:paraId="4BC0524E" w14:textId="141295E0" w:rsidR="00CF5B6E" w:rsidRDefault="00CF5B6E" w:rsidP="00CF5B6E">
          <w:pPr>
            <w:spacing w:after="0"/>
            <w:rPr>
              <w:rStyle w:val="PageNumber"/>
              <w:b/>
            </w:rPr>
          </w:pPr>
          <w:r>
            <w:rPr>
              <w:rStyle w:val="PageNumber"/>
            </w:rPr>
            <w:t xml:space="preserve">Department of </w:t>
          </w:r>
          <w:r w:rsidR="00D941C0">
            <w:rPr>
              <w:rStyle w:val="PageNumber"/>
              <w:b/>
              <w:bCs/>
            </w:rPr>
            <w:t>TRADE, BUSINESS AND ASIAN RELATIONS</w:t>
          </w:r>
        </w:p>
        <w:p w14:paraId="2C225A05" w14:textId="5AA7C49B" w:rsidR="00CF5B6E" w:rsidRPr="00CE6614" w:rsidRDefault="00000000" w:rsidP="00CF5B6E">
          <w:pPr>
            <w:spacing w:after="0"/>
            <w:rPr>
              <w:rStyle w:val="PageNumber"/>
            </w:rPr>
          </w:pPr>
          <w:sdt>
            <w:sdtPr>
              <w:rPr>
                <w:rStyle w:val="PageNumber"/>
              </w:rPr>
              <w:alias w:val="Date"/>
              <w:tag w:val=""/>
              <w:id w:val="752317726"/>
              <w:dataBinding w:prefixMappings="xmlns:ns0='http://schemas.microsoft.com/office/2006/coverPageProps' " w:xpath="/ns0:CoverPageProperties[1]/ns0:PublishDate[1]" w:storeItemID="{55AF091B-3C7A-41E3-B477-F2FDAA23CFDA}"/>
              <w15:color w:val="000000"/>
              <w:date w:fullDate="2025-10-14T00:00:00Z">
                <w:dateFormat w:val="d MMMM yyyy"/>
                <w:lid w:val="en-AU"/>
                <w:storeMappedDataAs w:val="dateTime"/>
                <w:calendar w:val="gregorian"/>
              </w:date>
            </w:sdtPr>
            <w:sdtContent>
              <w:r w:rsidR="00D941C0">
                <w:rPr>
                  <w:rStyle w:val="PageNumber"/>
                </w:rPr>
                <w:t>14 October 2025</w:t>
              </w:r>
            </w:sdtContent>
          </w:sdt>
          <w:r w:rsidR="00CF5B6E" w:rsidRPr="00CE6614">
            <w:rPr>
              <w:rStyle w:val="PageNumber"/>
            </w:rPr>
            <w:t xml:space="preserve"> | Version </w:t>
          </w:r>
          <w:r w:rsidR="00D941C0">
            <w:rPr>
              <w:rStyle w:val="PageNumber"/>
            </w:rPr>
            <w:t>4.1</w:t>
          </w:r>
        </w:p>
        <w:p w14:paraId="3CE449EF" w14:textId="77777777" w:rsidR="00CF5B6E" w:rsidRPr="00CE30CF" w:rsidRDefault="00CF5B6E" w:rsidP="00CF5B6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1CF520AE" w14:textId="77777777" w:rsidR="00CF5B6E" w:rsidRPr="001E14EB" w:rsidRDefault="00CF5B6E" w:rsidP="00CF5B6E">
          <w:pPr>
            <w:spacing w:after="0"/>
            <w:jc w:val="right"/>
          </w:pPr>
          <w:r w:rsidRPr="00785C24">
            <w:rPr>
              <w:rStyle w:val="PageNumber"/>
              <w:noProof/>
              <w:lang w:eastAsia="en-AU"/>
            </w:rPr>
            <w:t xml:space="preserve"> </w:t>
          </w:r>
        </w:p>
      </w:tc>
    </w:tr>
  </w:tbl>
  <w:p w14:paraId="515AC138"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AD78"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2DC6CFC5" w14:textId="77777777" w:rsidTr="000905F6">
      <w:trPr>
        <w:cantSplit/>
        <w:trHeight w:hRule="exact" w:val="1134"/>
      </w:trPr>
      <w:tc>
        <w:tcPr>
          <w:tcW w:w="7767" w:type="dxa"/>
          <w:vAlign w:val="bottom"/>
        </w:tcPr>
        <w:p w14:paraId="430A81DA" w14:textId="1714D5C4" w:rsidR="00A61144" w:rsidRDefault="00A61144" w:rsidP="00A61144">
          <w:pPr>
            <w:spacing w:after="0"/>
            <w:rPr>
              <w:rStyle w:val="PageNumber"/>
              <w:b/>
            </w:rPr>
          </w:pPr>
          <w:r>
            <w:rPr>
              <w:rStyle w:val="PageNumber"/>
            </w:rPr>
            <w:t xml:space="preserve">Department of </w:t>
          </w:r>
          <w:r w:rsidR="00D941C0">
            <w:rPr>
              <w:rStyle w:val="PageNumber"/>
              <w:b/>
              <w:bCs/>
            </w:rPr>
            <w:t>TRADE, BUSINESS AND ASIAN RELATIONS</w:t>
          </w:r>
        </w:p>
        <w:p w14:paraId="052456F3" w14:textId="0D19D447" w:rsidR="00A61144" w:rsidRPr="00CE6614" w:rsidRDefault="00000000" w:rsidP="00A61144">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14T00:00:00Z">
                <w:dateFormat w:val="d MMMM yyyy"/>
                <w:lid w:val="en-AU"/>
                <w:storeMappedDataAs w:val="dateTime"/>
                <w:calendar w:val="gregorian"/>
              </w:date>
            </w:sdtPr>
            <w:sdtContent>
              <w:r w:rsidR="00D941C0">
                <w:rPr>
                  <w:rStyle w:val="PageNumber"/>
                </w:rPr>
                <w:t>14 October 2025</w:t>
              </w:r>
            </w:sdtContent>
          </w:sdt>
          <w:r w:rsidR="00A61144" w:rsidRPr="00CE6614">
            <w:rPr>
              <w:rStyle w:val="PageNumber"/>
            </w:rPr>
            <w:t xml:space="preserve"> | Version </w:t>
          </w:r>
          <w:r w:rsidR="00D941C0">
            <w:rPr>
              <w:rStyle w:val="PageNumber"/>
            </w:rPr>
            <w:t>4.1</w:t>
          </w:r>
        </w:p>
        <w:p w14:paraId="5E285815"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4CC7F31F" w14:textId="77777777" w:rsidR="00A61144" w:rsidRPr="001E14EB" w:rsidRDefault="00A61144" w:rsidP="00A61144">
          <w:pPr>
            <w:spacing w:after="0"/>
            <w:jc w:val="right"/>
          </w:pPr>
          <w:r>
            <w:rPr>
              <w:noProof/>
              <w:lang w:eastAsia="en-AU"/>
            </w:rPr>
            <w:drawing>
              <wp:inline distT="0" distB="0" distL="0" distR="0" wp14:anchorId="109D0687" wp14:editId="73102A01">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F1D746F"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E5AE" w14:textId="77777777" w:rsidR="006525F9" w:rsidRDefault="006525F9" w:rsidP="007332FF">
      <w:r>
        <w:separator/>
      </w:r>
    </w:p>
  </w:footnote>
  <w:footnote w:type="continuationSeparator" w:id="0">
    <w:p w14:paraId="7709E243" w14:textId="77777777" w:rsidR="006525F9" w:rsidRDefault="006525F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2963" w14:textId="73F67392"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D941C0">
          <w:t>Competitive tendering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74573B0" w14:textId="1CE803F3" w:rsidR="00E54F9E" w:rsidRDefault="00D941C0" w:rsidP="00435082">
        <w:pPr>
          <w:pStyle w:val="Title"/>
        </w:pPr>
        <w:r>
          <w:t>Competitive tendering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4DF5696"/>
    <w:multiLevelType w:val="hybridMultilevel"/>
    <w:tmpl w:val="EAD45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0E80149"/>
    <w:multiLevelType w:val="hybridMultilevel"/>
    <w:tmpl w:val="021A0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20"/>
  </w:num>
  <w:num w:numId="2" w16cid:durableId="298344336">
    <w:abstractNumId w:val="12"/>
  </w:num>
  <w:num w:numId="3" w16cid:durableId="432751859">
    <w:abstractNumId w:val="35"/>
  </w:num>
  <w:num w:numId="4" w16cid:durableId="660087949">
    <w:abstractNumId w:val="23"/>
  </w:num>
  <w:num w:numId="5" w16cid:durableId="293217313">
    <w:abstractNumId w:val="16"/>
  </w:num>
  <w:num w:numId="6" w16cid:durableId="776290608">
    <w:abstractNumId w:val="8"/>
  </w:num>
  <w:num w:numId="7" w16cid:durableId="794257236">
    <w:abstractNumId w:val="25"/>
  </w:num>
  <w:num w:numId="8" w16cid:durableId="1772166039">
    <w:abstractNumId w:val="15"/>
  </w:num>
  <w:num w:numId="9" w16cid:durableId="124664591">
    <w:abstractNumId w:val="4"/>
  </w:num>
  <w:num w:numId="10" w16cid:durableId="54606428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D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1ABD"/>
    <w:rsid w:val="00132658"/>
    <w:rsid w:val="0013567C"/>
    <w:rsid w:val="00150DC0"/>
    <w:rsid w:val="0015394D"/>
    <w:rsid w:val="00156CD4"/>
    <w:rsid w:val="0016153B"/>
    <w:rsid w:val="00162207"/>
    <w:rsid w:val="00164A3E"/>
    <w:rsid w:val="00166FF6"/>
    <w:rsid w:val="00170378"/>
    <w:rsid w:val="00172B64"/>
    <w:rsid w:val="00176123"/>
    <w:rsid w:val="00181620"/>
    <w:rsid w:val="00187130"/>
    <w:rsid w:val="0019014D"/>
    <w:rsid w:val="001957AD"/>
    <w:rsid w:val="00196F8E"/>
    <w:rsid w:val="001A2B7F"/>
    <w:rsid w:val="001A3AFD"/>
    <w:rsid w:val="001A496C"/>
    <w:rsid w:val="001A576A"/>
    <w:rsid w:val="001B074B"/>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02DF"/>
    <w:rsid w:val="003164BA"/>
    <w:rsid w:val="003226BC"/>
    <w:rsid w:val="003258E6"/>
    <w:rsid w:val="00342283"/>
    <w:rsid w:val="00343A87"/>
    <w:rsid w:val="00344A36"/>
    <w:rsid w:val="003456F4"/>
    <w:rsid w:val="00347FB6"/>
    <w:rsid w:val="00350328"/>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377C9"/>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87572"/>
    <w:rsid w:val="00491B08"/>
    <w:rsid w:val="00494BE5"/>
    <w:rsid w:val="00496611"/>
    <w:rsid w:val="004A0EBA"/>
    <w:rsid w:val="004A2538"/>
    <w:rsid w:val="004A331E"/>
    <w:rsid w:val="004B0C15"/>
    <w:rsid w:val="004B35EA"/>
    <w:rsid w:val="004B69E4"/>
    <w:rsid w:val="004C365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B78AC"/>
    <w:rsid w:val="005C1F8F"/>
    <w:rsid w:val="005C2833"/>
    <w:rsid w:val="005E144D"/>
    <w:rsid w:val="005E1500"/>
    <w:rsid w:val="005E3A43"/>
    <w:rsid w:val="005F0B17"/>
    <w:rsid w:val="005F6602"/>
    <w:rsid w:val="005F77C7"/>
    <w:rsid w:val="00614CEC"/>
    <w:rsid w:val="00620675"/>
    <w:rsid w:val="00622910"/>
    <w:rsid w:val="006254B6"/>
    <w:rsid w:val="00627FC8"/>
    <w:rsid w:val="006338E2"/>
    <w:rsid w:val="006433C3"/>
    <w:rsid w:val="00650F5B"/>
    <w:rsid w:val="006525F9"/>
    <w:rsid w:val="006670D7"/>
    <w:rsid w:val="0066711A"/>
    <w:rsid w:val="00667AB3"/>
    <w:rsid w:val="006719EA"/>
    <w:rsid w:val="00671F13"/>
    <w:rsid w:val="006728AA"/>
    <w:rsid w:val="0067400A"/>
    <w:rsid w:val="006847AD"/>
    <w:rsid w:val="006863DB"/>
    <w:rsid w:val="0069114B"/>
    <w:rsid w:val="006944C1"/>
    <w:rsid w:val="006A20C0"/>
    <w:rsid w:val="006A756A"/>
    <w:rsid w:val="006C0EC2"/>
    <w:rsid w:val="006D66F7"/>
    <w:rsid w:val="00705C9D"/>
    <w:rsid w:val="00705F13"/>
    <w:rsid w:val="0070624C"/>
    <w:rsid w:val="00706BC7"/>
    <w:rsid w:val="00707EF4"/>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304C"/>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307"/>
    <w:rsid w:val="00897C94"/>
    <w:rsid w:val="008A4B30"/>
    <w:rsid w:val="008A6812"/>
    <w:rsid w:val="008A7C12"/>
    <w:rsid w:val="008B03CE"/>
    <w:rsid w:val="008B529E"/>
    <w:rsid w:val="008C17FB"/>
    <w:rsid w:val="008C70BB"/>
    <w:rsid w:val="008D1B00"/>
    <w:rsid w:val="008D57B8"/>
    <w:rsid w:val="008E03FC"/>
    <w:rsid w:val="008E510B"/>
    <w:rsid w:val="008E6544"/>
    <w:rsid w:val="00902B13"/>
    <w:rsid w:val="00911941"/>
    <w:rsid w:val="0092024D"/>
    <w:rsid w:val="00925146"/>
    <w:rsid w:val="009254DC"/>
    <w:rsid w:val="00925F0F"/>
    <w:rsid w:val="00932F6B"/>
    <w:rsid w:val="00942735"/>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10F"/>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6790"/>
    <w:rsid w:val="00A85D0C"/>
    <w:rsid w:val="00A925EC"/>
    <w:rsid w:val="00A929AA"/>
    <w:rsid w:val="00A92B6B"/>
    <w:rsid w:val="00AA541E"/>
    <w:rsid w:val="00AD0DA4"/>
    <w:rsid w:val="00AD4169"/>
    <w:rsid w:val="00AE25C6"/>
    <w:rsid w:val="00AE306C"/>
    <w:rsid w:val="00AF28C1"/>
    <w:rsid w:val="00AF7239"/>
    <w:rsid w:val="00B02EF1"/>
    <w:rsid w:val="00B07A1E"/>
    <w:rsid w:val="00B07C97"/>
    <w:rsid w:val="00B11C67"/>
    <w:rsid w:val="00B127FE"/>
    <w:rsid w:val="00B15754"/>
    <w:rsid w:val="00B16002"/>
    <w:rsid w:val="00B2046E"/>
    <w:rsid w:val="00B20E8B"/>
    <w:rsid w:val="00B257E1"/>
    <w:rsid w:val="00B2599A"/>
    <w:rsid w:val="00B27AC4"/>
    <w:rsid w:val="00B343CC"/>
    <w:rsid w:val="00B4294E"/>
    <w:rsid w:val="00B5084A"/>
    <w:rsid w:val="00B5393C"/>
    <w:rsid w:val="00B606A1"/>
    <w:rsid w:val="00B614F7"/>
    <w:rsid w:val="00B61B26"/>
    <w:rsid w:val="00B65E6B"/>
    <w:rsid w:val="00B675B2"/>
    <w:rsid w:val="00B81261"/>
    <w:rsid w:val="00B8223E"/>
    <w:rsid w:val="00B832AE"/>
    <w:rsid w:val="00B86678"/>
    <w:rsid w:val="00B92F9B"/>
    <w:rsid w:val="00B941B3"/>
    <w:rsid w:val="00B96513"/>
    <w:rsid w:val="00BA1D47"/>
    <w:rsid w:val="00BA3096"/>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33BD4"/>
    <w:rsid w:val="00C43519"/>
    <w:rsid w:val="00C45263"/>
    <w:rsid w:val="00C51537"/>
    <w:rsid w:val="00C52BC3"/>
    <w:rsid w:val="00C61AFA"/>
    <w:rsid w:val="00C61D64"/>
    <w:rsid w:val="00C62099"/>
    <w:rsid w:val="00C62A34"/>
    <w:rsid w:val="00C64EA3"/>
    <w:rsid w:val="00C72867"/>
    <w:rsid w:val="00C75E81"/>
    <w:rsid w:val="00C80860"/>
    <w:rsid w:val="00C83BB6"/>
    <w:rsid w:val="00C86609"/>
    <w:rsid w:val="00C92B4C"/>
    <w:rsid w:val="00C950E3"/>
    <w:rsid w:val="00C954F6"/>
    <w:rsid w:val="00C975CC"/>
    <w:rsid w:val="00CA36A0"/>
    <w:rsid w:val="00CA6BC5"/>
    <w:rsid w:val="00CC571B"/>
    <w:rsid w:val="00CC61CD"/>
    <w:rsid w:val="00CC6C02"/>
    <w:rsid w:val="00CC737B"/>
    <w:rsid w:val="00CD5011"/>
    <w:rsid w:val="00CE640F"/>
    <w:rsid w:val="00CE76BC"/>
    <w:rsid w:val="00CF1D5C"/>
    <w:rsid w:val="00CF540E"/>
    <w:rsid w:val="00CF5B6E"/>
    <w:rsid w:val="00CF7E89"/>
    <w:rsid w:val="00D02F07"/>
    <w:rsid w:val="00D04E66"/>
    <w:rsid w:val="00D15D88"/>
    <w:rsid w:val="00D259D9"/>
    <w:rsid w:val="00D27D49"/>
    <w:rsid w:val="00D27EBE"/>
    <w:rsid w:val="00D36A49"/>
    <w:rsid w:val="00D460A9"/>
    <w:rsid w:val="00D47DC7"/>
    <w:rsid w:val="00D50F86"/>
    <w:rsid w:val="00D517C6"/>
    <w:rsid w:val="00D71D84"/>
    <w:rsid w:val="00D72464"/>
    <w:rsid w:val="00D72A57"/>
    <w:rsid w:val="00D768EB"/>
    <w:rsid w:val="00D81E17"/>
    <w:rsid w:val="00D82D1E"/>
    <w:rsid w:val="00D832D9"/>
    <w:rsid w:val="00D90F00"/>
    <w:rsid w:val="00D941C0"/>
    <w:rsid w:val="00D96804"/>
    <w:rsid w:val="00D975C0"/>
    <w:rsid w:val="00DA5285"/>
    <w:rsid w:val="00DB191D"/>
    <w:rsid w:val="00DB205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375FC"/>
    <w:rsid w:val="00E44C89"/>
    <w:rsid w:val="00E457A6"/>
    <w:rsid w:val="00E54F9E"/>
    <w:rsid w:val="00E61BA2"/>
    <w:rsid w:val="00E63864"/>
    <w:rsid w:val="00E6403F"/>
    <w:rsid w:val="00E72BA4"/>
    <w:rsid w:val="00E75451"/>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1048"/>
    <w:rsid w:val="00EE38FA"/>
    <w:rsid w:val="00EE3E2C"/>
    <w:rsid w:val="00EE5D23"/>
    <w:rsid w:val="00EE750D"/>
    <w:rsid w:val="00EF3CA4"/>
    <w:rsid w:val="00EF49A8"/>
    <w:rsid w:val="00EF7859"/>
    <w:rsid w:val="00F014DA"/>
    <w:rsid w:val="00F02591"/>
    <w:rsid w:val="00F30AE1"/>
    <w:rsid w:val="00F37032"/>
    <w:rsid w:val="00F5696E"/>
    <w:rsid w:val="00F60EFF"/>
    <w:rsid w:val="00F67D2D"/>
    <w:rsid w:val="00F77F27"/>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AEBA"/>
  <w15:docId w15:val="{4CD305F3-50BD-419F-A7E4-B8EED17E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43741"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43741"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C03A09"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69969411">
      <w:bodyDiv w:val="1"/>
      <w:marLeft w:val="0"/>
      <w:marRight w:val="0"/>
      <w:marTop w:val="0"/>
      <w:marBottom w:val="0"/>
      <w:divBdr>
        <w:top w:val="none" w:sz="0" w:space="0" w:color="auto"/>
        <w:left w:val="none" w:sz="0" w:space="0" w:color="auto"/>
        <w:bottom w:val="none" w:sz="0" w:space="0" w:color="auto"/>
        <w:right w:val="none" w:sz="0" w:space="0" w:color="auto"/>
      </w:divBdr>
    </w:div>
    <w:div w:id="12884381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sult.treasury.gov.au/market-and-competition-policy-division/competitive-neutrality-review/supporting_documents/2004%20Competitive%20Neutrality%20Guidelines%20for%20Managers%20AGCN_guide_v4.pdf" TargetMode="External"/><Relationship Id="rId4" Type="http://schemas.openxmlformats.org/officeDocument/2006/relationships/styles" Target="styles.xml"/><Relationship Id="rId9" Type="http://schemas.openxmlformats.org/officeDocument/2006/relationships/hyperlink" Target="https://nt.gov.au/__data/assets/pdf_file/0003/469515/Competitive-Neutrality-Policy.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Competitive tendering guidelines</vt:lpstr>
    </vt:vector>
  </TitlesOfParts>
  <Company>&lt;NAME&gt;</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tendering guidelines</dc:title>
  <dc:creator>NorthernTerritoryGovernment@ntgov.onmicrosoft.com</dc:creator>
  <cp:lastModifiedBy>Julie-Anne Felton</cp:lastModifiedBy>
  <cp:revision>3</cp:revision>
  <cp:lastPrinted>2019-07-29T01:45:00Z</cp:lastPrinted>
  <dcterms:created xsi:type="dcterms:W3CDTF">2025-10-15T04:39:00Z</dcterms:created>
  <dcterms:modified xsi:type="dcterms:W3CDTF">2025-10-15T04:59:00Z</dcterms:modified>
</cp:coreProperties>
</file>