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6543" w14:textId="3029B007" w:rsidR="00E317EB" w:rsidRPr="00F371B3" w:rsidRDefault="00F371B3" w:rsidP="00F371B3">
      <w:pPr>
        <w:rPr>
          <w:i/>
          <w:iCs/>
        </w:rPr>
      </w:pPr>
      <w:r w:rsidRPr="00F371B3">
        <w:rPr>
          <w:i/>
          <w:iCs/>
        </w:rPr>
        <w:t xml:space="preserve">If bore works are proposed (in conjunction with </w:t>
      </w:r>
      <w:r>
        <w:rPr>
          <w:i/>
          <w:iCs/>
        </w:rPr>
        <w:t>a</w:t>
      </w:r>
      <w:r w:rsidRPr="00F371B3">
        <w:rPr>
          <w:i/>
          <w:iCs/>
        </w:rPr>
        <w:t xml:space="preserve"> mining activity) and applied for using this form, a separate application for a bore work permit will not need to be submitted under section 57 of the Water Act 1992.</w:t>
      </w:r>
    </w:p>
    <w:p w14:paraId="6404BB85" w14:textId="0BD0F53C" w:rsidR="00F371B3" w:rsidRPr="009212BC" w:rsidRDefault="00F371B3" w:rsidP="00F371B3">
      <w:pPr>
        <w:rPr>
          <w:i/>
          <w:iCs/>
        </w:rPr>
      </w:pPr>
      <w:r w:rsidRPr="00F371B3">
        <w:rPr>
          <w:i/>
          <w:iCs/>
        </w:rPr>
        <w:t xml:space="preserve">Complete this form and attach it to your environmental mining licence application only if your proposed activities </w:t>
      </w:r>
      <w:r w:rsidRPr="009212BC">
        <w:rPr>
          <w:i/>
          <w:iCs/>
        </w:rPr>
        <w:t xml:space="preserve">involve new bore works and you want approval of the works to be captured by the environmental mining licence. </w:t>
      </w:r>
    </w:p>
    <w:p w14:paraId="3D406DF9" w14:textId="504DC2DC" w:rsidR="00F371B3" w:rsidRPr="009212BC" w:rsidRDefault="009212BC" w:rsidP="00E317EB">
      <w:pPr>
        <w:pBdr>
          <w:bottom w:val="single" w:sz="4" w:space="1" w:color="auto"/>
        </w:pBdr>
        <w:rPr>
          <w:i/>
          <w:iCs/>
        </w:rPr>
      </w:pPr>
      <w:r w:rsidRPr="009212BC">
        <w:rPr>
          <w:i/>
          <w:iCs/>
        </w:rPr>
        <w:t xml:space="preserve">Further information: </w:t>
      </w:r>
      <w:hyperlink r:id="rId9" w:history="1">
        <w:r w:rsidRPr="009212BC">
          <w:rPr>
            <w:rStyle w:val="Hyperlink"/>
            <w:i/>
            <w:iCs/>
          </w:rPr>
          <w:t>Bore work and use | NT.GOV.AU</w:t>
        </w:r>
      </w:hyperlink>
    </w:p>
    <w:p w14:paraId="2386475F" w14:textId="77777777" w:rsidR="009212BC" w:rsidRDefault="009212BC" w:rsidP="00E317EB">
      <w:pPr>
        <w:pBdr>
          <w:bottom w:val="single" w:sz="4" w:space="1" w:color="auto"/>
        </w:pBdr>
      </w:pPr>
    </w:p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3A6BA8" w:rsidRPr="00AF3AE8" w14:paraId="5553065E" w14:textId="77777777" w:rsidTr="003A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shd w:val="clear" w:color="auto" w:fill="F89875" w:themeFill="accent1" w:themeFillTint="99"/>
          </w:tcPr>
          <w:p w14:paraId="2A8F44E6" w14:textId="77777777" w:rsidR="003A6BA8" w:rsidRPr="00AF3AE8" w:rsidRDefault="003A6BA8" w:rsidP="00E97A83">
            <w:pPr>
              <w:rPr>
                <w:rFonts w:asciiTheme="minorHAnsi" w:hAnsiTheme="minorHAnsi"/>
                <w:szCs w:val="22"/>
              </w:rPr>
            </w:pPr>
            <w:r w:rsidRPr="00AF3AE8">
              <w:rPr>
                <w:rFonts w:asciiTheme="minorHAnsi" w:hAnsiTheme="minorHAnsi"/>
                <w:szCs w:val="22"/>
              </w:rPr>
              <w:t>Application details</w:t>
            </w:r>
          </w:p>
        </w:tc>
      </w:tr>
      <w:tr w:rsidR="003A6BA8" w:rsidRPr="00AF3AE8" w14:paraId="3622515C" w14:textId="77777777" w:rsidTr="003A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</w:tcPr>
          <w:p w14:paraId="6D2823AE" w14:textId="77777777" w:rsidR="003A6BA8" w:rsidRPr="003A6BA8" w:rsidRDefault="003A6BA8" w:rsidP="003A6BA8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Operator Name:</w:t>
            </w:r>
          </w:p>
        </w:tc>
        <w:tc>
          <w:tcPr>
            <w:tcW w:w="2500" w:type="pct"/>
          </w:tcPr>
          <w:p w14:paraId="37EDBAC1" w14:textId="77777777" w:rsidR="003A6BA8" w:rsidRPr="00AF3AE8" w:rsidRDefault="003A6BA8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3A6BA8" w:rsidRPr="00AF3AE8" w14:paraId="05700187" w14:textId="77777777" w:rsidTr="003A6B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</w:tcPr>
          <w:p w14:paraId="5D9808B1" w14:textId="77777777" w:rsidR="003A6BA8" w:rsidRPr="003A6BA8" w:rsidRDefault="003A6BA8" w:rsidP="003A6BA8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Project Name:</w:t>
            </w:r>
          </w:p>
        </w:tc>
        <w:tc>
          <w:tcPr>
            <w:tcW w:w="2500" w:type="pct"/>
          </w:tcPr>
          <w:p w14:paraId="2C925913" w14:textId="77777777" w:rsidR="003A6BA8" w:rsidRPr="00AF3AE8" w:rsidRDefault="003A6BA8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3A6BA8" w:rsidRPr="00AF3AE8" w14:paraId="2F45D17C" w14:textId="77777777" w:rsidTr="003A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</w:tcPr>
          <w:p w14:paraId="34F7406E" w14:textId="77777777" w:rsidR="003A6BA8" w:rsidRPr="003A6BA8" w:rsidRDefault="003A6BA8" w:rsidP="003A6BA8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Date:</w:t>
            </w:r>
          </w:p>
        </w:tc>
        <w:tc>
          <w:tcPr>
            <w:tcW w:w="2500" w:type="pct"/>
          </w:tcPr>
          <w:p w14:paraId="0C6F9222" w14:textId="77777777" w:rsidR="003A6BA8" w:rsidRPr="00AF3AE8" w:rsidRDefault="003A6BA8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</w:tbl>
    <w:p w14:paraId="63F59ACC" w14:textId="77777777" w:rsidR="003A6BA8" w:rsidRDefault="003A6BA8" w:rsidP="009B1BF1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"/>
        <w:gridCol w:w="7707"/>
        <w:gridCol w:w="1007"/>
        <w:gridCol w:w="942"/>
      </w:tblGrid>
      <w:tr w:rsidR="00F371B3" w14:paraId="33FBE3FB" w14:textId="77777777" w:rsidTr="00E97A83">
        <w:tc>
          <w:tcPr>
            <w:tcW w:w="6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57644E" w14:textId="366C9C33" w:rsidR="00F371B3" w:rsidRDefault="00F371B3" w:rsidP="00E97A83">
            <w:pPr>
              <w:rPr>
                <w:b/>
                <w:bCs/>
              </w:rPr>
            </w:pPr>
            <w:bookmarkStart w:id="0" w:name="_Hlk204694645"/>
            <w:r>
              <w:rPr>
                <w:b/>
                <w:bCs/>
              </w:rPr>
              <w:t>1</w:t>
            </w:r>
          </w:p>
        </w:tc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05AFF6FB" w14:textId="77777777" w:rsidR="00F371B3" w:rsidRDefault="00F371B3" w:rsidP="00E97A83">
            <w:r>
              <w:t>Does the proposed bore work involve installing a new bore(s)?</w:t>
            </w:r>
          </w:p>
          <w:p w14:paraId="4AA2AB5D" w14:textId="6CDF93A4" w:rsidR="00F371B3" w:rsidRDefault="00F371B3" w:rsidP="00E97A83">
            <w:r>
              <w:t xml:space="preserve">If yes, complete </w:t>
            </w:r>
            <w:r w:rsidRPr="006D76DF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A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5D94E0C1" w14:textId="77777777" w:rsidR="00F371B3" w:rsidRDefault="00923082" w:rsidP="00E97A83">
            <w:sdt>
              <w:sdtPr>
                <w:id w:val="209766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Yes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337F4161" w14:textId="77777777" w:rsidR="00F371B3" w:rsidRDefault="00923082" w:rsidP="00E97A83">
            <w:sdt>
              <w:sdtPr>
                <w:id w:val="-21067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No </w:t>
            </w:r>
          </w:p>
        </w:tc>
      </w:tr>
      <w:tr w:rsidR="00F371B3" w14:paraId="2E7DD047" w14:textId="77777777" w:rsidTr="00E97A83">
        <w:tc>
          <w:tcPr>
            <w:tcW w:w="652" w:type="dxa"/>
            <w:shd w:val="clear" w:color="auto" w:fill="F2F2F2" w:themeFill="background1" w:themeFillShade="F2"/>
          </w:tcPr>
          <w:p w14:paraId="6165E16F" w14:textId="4BB01E70" w:rsidR="00F371B3" w:rsidRDefault="00F371B3" w:rsidP="00E97A8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07" w:type="dxa"/>
          </w:tcPr>
          <w:p w14:paraId="1C864395" w14:textId="77777777" w:rsidR="00F371B3" w:rsidRDefault="00F371B3" w:rsidP="00E97A83">
            <w:r>
              <w:t>Does the proposed bore work involve repairing an existing bore(s)?</w:t>
            </w:r>
          </w:p>
          <w:p w14:paraId="65DB5FF4" w14:textId="42758AAF" w:rsidR="00F371B3" w:rsidRDefault="00F371B3" w:rsidP="00E97A83">
            <w:r>
              <w:t xml:space="preserve">If yes, complete </w:t>
            </w:r>
            <w:r w:rsidRPr="006D76DF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B</w:t>
            </w:r>
          </w:p>
        </w:tc>
        <w:tc>
          <w:tcPr>
            <w:tcW w:w="1007" w:type="dxa"/>
          </w:tcPr>
          <w:p w14:paraId="2BFCEFA7" w14:textId="77777777" w:rsidR="00F371B3" w:rsidRDefault="00923082" w:rsidP="00E97A83">
            <w:sdt>
              <w:sdtPr>
                <w:id w:val="-18575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Yes</w:t>
            </w:r>
          </w:p>
        </w:tc>
        <w:tc>
          <w:tcPr>
            <w:tcW w:w="942" w:type="dxa"/>
          </w:tcPr>
          <w:p w14:paraId="2182B59B" w14:textId="77777777" w:rsidR="00F371B3" w:rsidRDefault="00923082" w:rsidP="00E97A83">
            <w:sdt>
              <w:sdtPr>
                <w:id w:val="-375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No </w:t>
            </w:r>
          </w:p>
        </w:tc>
      </w:tr>
      <w:tr w:rsidR="00F371B3" w14:paraId="743F4B44" w14:textId="77777777" w:rsidTr="00E97A83">
        <w:tc>
          <w:tcPr>
            <w:tcW w:w="652" w:type="dxa"/>
            <w:shd w:val="clear" w:color="auto" w:fill="F2F2F2" w:themeFill="background1" w:themeFillShade="F2"/>
          </w:tcPr>
          <w:p w14:paraId="2BAC0CE2" w14:textId="3377D106" w:rsidR="00F371B3" w:rsidRDefault="00F371B3" w:rsidP="00E97A8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07" w:type="dxa"/>
          </w:tcPr>
          <w:p w14:paraId="027712D2" w14:textId="77777777" w:rsidR="00F371B3" w:rsidRDefault="00F371B3" w:rsidP="00E97A83">
            <w:r>
              <w:rPr>
                <w:b/>
                <w:bCs/>
                <w:color w:val="008387" w:themeColor="accent3"/>
              </w:rPr>
              <w:t>A</w:t>
            </w:r>
            <w:r w:rsidRPr="00742748">
              <w:rPr>
                <w:b/>
                <w:bCs/>
                <w:color w:val="008387" w:themeColor="accent3"/>
              </w:rPr>
              <w:t>ttach</w:t>
            </w:r>
            <w:r w:rsidRPr="00742748">
              <w:rPr>
                <w:color w:val="008387" w:themeColor="accent3"/>
              </w:rPr>
              <w:t xml:space="preserve"> </w:t>
            </w:r>
            <w:r>
              <w:t xml:space="preserve">a scaled map showing the location of proposed bore works in relation to cadastral (property) and mineral interest (title) boundaries. </w:t>
            </w:r>
          </w:p>
        </w:tc>
        <w:tc>
          <w:tcPr>
            <w:tcW w:w="1007" w:type="dxa"/>
          </w:tcPr>
          <w:p w14:paraId="2D19B82A" w14:textId="77777777" w:rsidR="00F371B3" w:rsidRDefault="00923082" w:rsidP="00E97A83">
            <w:sdt>
              <w:sdtPr>
                <w:id w:val="-143404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Yes</w:t>
            </w:r>
          </w:p>
        </w:tc>
        <w:tc>
          <w:tcPr>
            <w:tcW w:w="942" w:type="dxa"/>
          </w:tcPr>
          <w:p w14:paraId="4EBAEDBD" w14:textId="77777777" w:rsidR="00F371B3" w:rsidRDefault="00923082" w:rsidP="00E97A83">
            <w:sdt>
              <w:sdtPr>
                <w:id w:val="-8053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1B3">
              <w:t xml:space="preserve"> No </w:t>
            </w:r>
          </w:p>
        </w:tc>
      </w:tr>
    </w:tbl>
    <w:p w14:paraId="3B376737" w14:textId="77777777" w:rsidR="00F371B3" w:rsidRDefault="00F371B3" w:rsidP="00F371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099"/>
        <w:gridCol w:w="2116"/>
        <w:gridCol w:w="2115"/>
        <w:gridCol w:w="1884"/>
      </w:tblGrid>
      <w:tr w:rsidR="00F371B3" w14:paraId="502C9695" w14:textId="77777777" w:rsidTr="00343BC6">
        <w:tc>
          <w:tcPr>
            <w:tcW w:w="10308" w:type="dxa"/>
            <w:gridSpan w:val="5"/>
            <w:shd w:val="clear" w:color="auto" w:fill="F89875" w:themeFill="accent1" w:themeFillTint="99"/>
          </w:tcPr>
          <w:p w14:paraId="577F7807" w14:textId="2FCA9B00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A</w:t>
            </w:r>
            <w:r w:rsidRPr="00FF77C2">
              <w:rPr>
                <w:b/>
                <w:bCs/>
              </w:rPr>
              <w:t xml:space="preserve"> – New bore works</w:t>
            </w:r>
            <w:r w:rsidRPr="008B70A5">
              <w:t xml:space="preserve"> (add additional rows as required)</w:t>
            </w:r>
          </w:p>
        </w:tc>
      </w:tr>
      <w:tr w:rsidR="00F371B3" w14:paraId="2139DB99" w14:textId="77777777" w:rsidTr="00E97A83">
        <w:tc>
          <w:tcPr>
            <w:tcW w:w="2094" w:type="dxa"/>
            <w:shd w:val="clear" w:color="auto" w:fill="F2F2F2" w:themeFill="background1" w:themeFillShade="F2"/>
          </w:tcPr>
          <w:p w14:paraId="5999BD80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NT Portion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7A07BC80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Mineral title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15D77503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Purpose of bore</w:t>
            </w:r>
            <w:r>
              <w:rPr>
                <w:b/>
                <w:bCs/>
              </w:rPr>
              <w:t>*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05B0A6F8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No. of bores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65023861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Registration No. of bore/s being replaced (if applicable)</w:t>
            </w:r>
          </w:p>
        </w:tc>
      </w:tr>
      <w:tr w:rsidR="00F371B3" w14:paraId="4F517AFE" w14:textId="77777777" w:rsidTr="00E97A83">
        <w:tc>
          <w:tcPr>
            <w:tcW w:w="10308" w:type="dxa"/>
            <w:gridSpan w:val="5"/>
            <w:shd w:val="clear" w:color="auto" w:fill="F2F2F2" w:themeFill="background1" w:themeFillShade="F2"/>
          </w:tcPr>
          <w:p w14:paraId="43AA47CF" w14:textId="77777777" w:rsidR="00F371B3" w:rsidRDefault="00F371B3" w:rsidP="00E97A83">
            <w:r>
              <w:t>*Only use one of the following options per line: monitoring, investigation, mining activity.</w:t>
            </w:r>
          </w:p>
          <w:p w14:paraId="7691B81F" w14:textId="77777777" w:rsidR="00F371B3" w:rsidRPr="008B70A5" w:rsidRDefault="00F371B3" w:rsidP="00E97A83">
            <w:r>
              <w:t>Add additional rows as required.</w:t>
            </w:r>
          </w:p>
        </w:tc>
      </w:tr>
      <w:tr w:rsidR="00F371B3" w14:paraId="44F50358" w14:textId="77777777" w:rsidTr="00E97A83">
        <w:tc>
          <w:tcPr>
            <w:tcW w:w="2094" w:type="dxa"/>
          </w:tcPr>
          <w:p w14:paraId="03E83453" w14:textId="77777777" w:rsidR="00F371B3" w:rsidRDefault="00F371B3" w:rsidP="00E97A83"/>
        </w:tc>
        <w:tc>
          <w:tcPr>
            <w:tcW w:w="2099" w:type="dxa"/>
          </w:tcPr>
          <w:p w14:paraId="7E2C03A7" w14:textId="77777777" w:rsidR="00F371B3" w:rsidRDefault="00F371B3" w:rsidP="00E97A83"/>
        </w:tc>
        <w:tc>
          <w:tcPr>
            <w:tcW w:w="2116" w:type="dxa"/>
          </w:tcPr>
          <w:p w14:paraId="79952403" w14:textId="77777777" w:rsidR="00F371B3" w:rsidRDefault="00F371B3" w:rsidP="00E97A83"/>
        </w:tc>
        <w:tc>
          <w:tcPr>
            <w:tcW w:w="2115" w:type="dxa"/>
          </w:tcPr>
          <w:p w14:paraId="69937B27" w14:textId="77777777" w:rsidR="00F371B3" w:rsidRDefault="00F371B3" w:rsidP="00E97A83"/>
        </w:tc>
        <w:tc>
          <w:tcPr>
            <w:tcW w:w="1884" w:type="dxa"/>
          </w:tcPr>
          <w:p w14:paraId="59E86EF1" w14:textId="77777777" w:rsidR="00F371B3" w:rsidRDefault="00F371B3" w:rsidP="00E97A83"/>
        </w:tc>
      </w:tr>
      <w:tr w:rsidR="00F371B3" w14:paraId="4C536444" w14:textId="77777777" w:rsidTr="00E97A83">
        <w:tc>
          <w:tcPr>
            <w:tcW w:w="2094" w:type="dxa"/>
          </w:tcPr>
          <w:p w14:paraId="068E211C" w14:textId="77777777" w:rsidR="00F371B3" w:rsidRDefault="00F371B3" w:rsidP="00E97A83"/>
        </w:tc>
        <w:tc>
          <w:tcPr>
            <w:tcW w:w="2099" w:type="dxa"/>
          </w:tcPr>
          <w:p w14:paraId="1598F65B" w14:textId="77777777" w:rsidR="00F371B3" w:rsidRDefault="00F371B3" w:rsidP="00E97A83"/>
        </w:tc>
        <w:tc>
          <w:tcPr>
            <w:tcW w:w="2116" w:type="dxa"/>
          </w:tcPr>
          <w:p w14:paraId="282FC9F7" w14:textId="77777777" w:rsidR="00F371B3" w:rsidRDefault="00F371B3" w:rsidP="00E97A83"/>
        </w:tc>
        <w:tc>
          <w:tcPr>
            <w:tcW w:w="2115" w:type="dxa"/>
          </w:tcPr>
          <w:p w14:paraId="4C63D874" w14:textId="77777777" w:rsidR="00F371B3" w:rsidRDefault="00F371B3" w:rsidP="00E97A83"/>
        </w:tc>
        <w:tc>
          <w:tcPr>
            <w:tcW w:w="1884" w:type="dxa"/>
          </w:tcPr>
          <w:p w14:paraId="2D73BE2C" w14:textId="77777777" w:rsidR="00F371B3" w:rsidRDefault="00F371B3" w:rsidP="00E97A83"/>
        </w:tc>
      </w:tr>
      <w:tr w:rsidR="00F371B3" w14:paraId="4812AD94" w14:textId="77777777" w:rsidTr="00E97A83">
        <w:tc>
          <w:tcPr>
            <w:tcW w:w="2094" w:type="dxa"/>
          </w:tcPr>
          <w:p w14:paraId="363A6D14" w14:textId="77777777" w:rsidR="00F371B3" w:rsidRDefault="00F371B3" w:rsidP="00E97A83"/>
        </w:tc>
        <w:tc>
          <w:tcPr>
            <w:tcW w:w="2099" w:type="dxa"/>
          </w:tcPr>
          <w:p w14:paraId="7A777313" w14:textId="77777777" w:rsidR="00F371B3" w:rsidRDefault="00F371B3" w:rsidP="00E97A83"/>
        </w:tc>
        <w:tc>
          <w:tcPr>
            <w:tcW w:w="2116" w:type="dxa"/>
          </w:tcPr>
          <w:p w14:paraId="5386A5CC" w14:textId="77777777" w:rsidR="00F371B3" w:rsidRDefault="00F371B3" w:rsidP="00E97A83"/>
        </w:tc>
        <w:tc>
          <w:tcPr>
            <w:tcW w:w="2115" w:type="dxa"/>
          </w:tcPr>
          <w:p w14:paraId="6F9373B9" w14:textId="77777777" w:rsidR="00F371B3" w:rsidRDefault="00F371B3" w:rsidP="00E97A83"/>
        </w:tc>
        <w:tc>
          <w:tcPr>
            <w:tcW w:w="1884" w:type="dxa"/>
          </w:tcPr>
          <w:p w14:paraId="06CB80A3" w14:textId="77777777" w:rsidR="00F371B3" w:rsidRDefault="00F371B3" w:rsidP="00E97A83"/>
        </w:tc>
      </w:tr>
      <w:tr w:rsidR="00F371B3" w14:paraId="52BA76A0" w14:textId="77777777" w:rsidTr="00E97A83">
        <w:tc>
          <w:tcPr>
            <w:tcW w:w="2094" w:type="dxa"/>
          </w:tcPr>
          <w:p w14:paraId="3BBFAFFE" w14:textId="77777777" w:rsidR="00F371B3" w:rsidRDefault="00F371B3" w:rsidP="00E97A83"/>
        </w:tc>
        <w:tc>
          <w:tcPr>
            <w:tcW w:w="2099" w:type="dxa"/>
          </w:tcPr>
          <w:p w14:paraId="43CF673C" w14:textId="77777777" w:rsidR="00F371B3" w:rsidRDefault="00F371B3" w:rsidP="00E97A83"/>
        </w:tc>
        <w:tc>
          <w:tcPr>
            <w:tcW w:w="2116" w:type="dxa"/>
          </w:tcPr>
          <w:p w14:paraId="06B838F9" w14:textId="77777777" w:rsidR="00F371B3" w:rsidRDefault="00F371B3" w:rsidP="00E97A83"/>
        </w:tc>
        <w:tc>
          <w:tcPr>
            <w:tcW w:w="2115" w:type="dxa"/>
          </w:tcPr>
          <w:p w14:paraId="646E6991" w14:textId="77777777" w:rsidR="00F371B3" w:rsidRDefault="00F371B3" w:rsidP="00E97A83"/>
        </w:tc>
        <w:tc>
          <w:tcPr>
            <w:tcW w:w="1884" w:type="dxa"/>
          </w:tcPr>
          <w:p w14:paraId="7AD4D9F5" w14:textId="77777777" w:rsidR="00F371B3" w:rsidRDefault="00F371B3" w:rsidP="00E97A83"/>
        </w:tc>
      </w:tr>
    </w:tbl>
    <w:p w14:paraId="0F99E1BB" w14:textId="77777777" w:rsidR="00F371B3" w:rsidRDefault="00F371B3" w:rsidP="00F371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099"/>
        <w:gridCol w:w="4231"/>
        <w:gridCol w:w="1884"/>
      </w:tblGrid>
      <w:tr w:rsidR="00F371B3" w14:paraId="413D89EF" w14:textId="77777777" w:rsidTr="00343BC6">
        <w:tc>
          <w:tcPr>
            <w:tcW w:w="10308" w:type="dxa"/>
            <w:gridSpan w:val="4"/>
            <w:shd w:val="clear" w:color="auto" w:fill="F89875" w:themeFill="accent1" w:themeFillTint="99"/>
          </w:tcPr>
          <w:p w14:paraId="1D758A0B" w14:textId="3E73C89E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B</w:t>
            </w:r>
            <w:r w:rsidRPr="00FF77C2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Other</w:t>
            </w:r>
            <w:r w:rsidRPr="00FF77C2">
              <w:rPr>
                <w:b/>
                <w:bCs/>
              </w:rPr>
              <w:t xml:space="preserve"> bore works</w:t>
            </w:r>
            <w:r w:rsidR="003A6BA8">
              <w:rPr>
                <w:b/>
                <w:bCs/>
              </w:rPr>
              <w:t xml:space="preserve"> </w:t>
            </w:r>
            <w:r w:rsidR="003A6BA8" w:rsidRPr="008B70A5">
              <w:t>(add additional rows as required)</w:t>
            </w:r>
          </w:p>
        </w:tc>
      </w:tr>
      <w:tr w:rsidR="00F371B3" w14:paraId="00D764C1" w14:textId="77777777" w:rsidTr="00E97A83">
        <w:tc>
          <w:tcPr>
            <w:tcW w:w="2094" w:type="dxa"/>
            <w:shd w:val="clear" w:color="auto" w:fill="F2F2F2" w:themeFill="background1" w:themeFillShade="F2"/>
          </w:tcPr>
          <w:p w14:paraId="70E169AB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NT Portion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129FA8C7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>Mineral title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121AA440" w14:textId="77777777" w:rsidR="00F371B3" w:rsidRPr="00FF77C2" w:rsidRDefault="00F371B3" w:rsidP="00E97A83">
            <w:pPr>
              <w:rPr>
                <w:b/>
                <w:bCs/>
              </w:rPr>
            </w:pPr>
            <w:r>
              <w:rPr>
                <w:b/>
                <w:bCs/>
              </w:rPr>
              <w:t>Bore work**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231BE971" w14:textId="77777777" w:rsidR="00F371B3" w:rsidRPr="00FF77C2" w:rsidRDefault="00F371B3" w:rsidP="00E97A83">
            <w:pPr>
              <w:rPr>
                <w:b/>
                <w:bCs/>
              </w:rPr>
            </w:pPr>
            <w:r w:rsidRPr="00FF77C2">
              <w:rPr>
                <w:b/>
                <w:bCs/>
              </w:rPr>
              <w:t xml:space="preserve">Registration No. of bore/s </w:t>
            </w:r>
          </w:p>
        </w:tc>
      </w:tr>
      <w:tr w:rsidR="00F371B3" w14:paraId="58CA53C7" w14:textId="77777777" w:rsidTr="00E97A83">
        <w:tc>
          <w:tcPr>
            <w:tcW w:w="10308" w:type="dxa"/>
            <w:gridSpan w:val="4"/>
            <w:shd w:val="clear" w:color="auto" w:fill="F2F2F2" w:themeFill="background1" w:themeFillShade="F2"/>
          </w:tcPr>
          <w:p w14:paraId="6240E547" w14:textId="77777777" w:rsidR="00F371B3" w:rsidRDefault="00F371B3" w:rsidP="00E97A83">
            <w:r>
              <w:t xml:space="preserve">**Only use one of the following options per line: (A) decommission, plug, backfill or seal off bore; (B) deepen or alter bore; (C) remove, replace, alter, slot or repair the casing, lining or screen of bore. </w:t>
            </w:r>
          </w:p>
          <w:p w14:paraId="6EA8B23A" w14:textId="77777777" w:rsidR="00F371B3" w:rsidRPr="008B70A5" w:rsidRDefault="00F371B3" w:rsidP="00E97A83">
            <w:r>
              <w:t xml:space="preserve">Add additional rows as required. </w:t>
            </w:r>
          </w:p>
        </w:tc>
      </w:tr>
      <w:tr w:rsidR="00F371B3" w14:paraId="39FC9189" w14:textId="77777777" w:rsidTr="00E97A83">
        <w:tc>
          <w:tcPr>
            <w:tcW w:w="2094" w:type="dxa"/>
          </w:tcPr>
          <w:p w14:paraId="64FCEB1B" w14:textId="77777777" w:rsidR="00F371B3" w:rsidRDefault="00F371B3" w:rsidP="00E97A83"/>
        </w:tc>
        <w:tc>
          <w:tcPr>
            <w:tcW w:w="2099" w:type="dxa"/>
          </w:tcPr>
          <w:p w14:paraId="55D467A3" w14:textId="77777777" w:rsidR="00F371B3" w:rsidRDefault="00F371B3" w:rsidP="00E97A83"/>
        </w:tc>
        <w:tc>
          <w:tcPr>
            <w:tcW w:w="4231" w:type="dxa"/>
          </w:tcPr>
          <w:p w14:paraId="5098C995" w14:textId="77777777" w:rsidR="00F371B3" w:rsidRDefault="00F371B3" w:rsidP="00E97A83"/>
        </w:tc>
        <w:tc>
          <w:tcPr>
            <w:tcW w:w="1884" w:type="dxa"/>
          </w:tcPr>
          <w:p w14:paraId="107A2C27" w14:textId="77777777" w:rsidR="00F371B3" w:rsidRDefault="00F371B3" w:rsidP="00E97A83"/>
        </w:tc>
      </w:tr>
      <w:tr w:rsidR="00F371B3" w14:paraId="6BA3347B" w14:textId="77777777" w:rsidTr="00E97A83">
        <w:tc>
          <w:tcPr>
            <w:tcW w:w="2094" w:type="dxa"/>
          </w:tcPr>
          <w:p w14:paraId="2968058B" w14:textId="77777777" w:rsidR="00F371B3" w:rsidRDefault="00F371B3" w:rsidP="00E97A83"/>
        </w:tc>
        <w:tc>
          <w:tcPr>
            <w:tcW w:w="2099" w:type="dxa"/>
          </w:tcPr>
          <w:p w14:paraId="16A977FF" w14:textId="77777777" w:rsidR="00F371B3" w:rsidRDefault="00F371B3" w:rsidP="00E97A83"/>
        </w:tc>
        <w:tc>
          <w:tcPr>
            <w:tcW w:w="4231" w:type="dxa"/>
          </w:tcPr>
          <w:p w14:paraId="7E6D2496" w14:textId="77777777" w:rsidR="00F371B3" w:rsidRDefault="00F371B3" w:rsidP="00E97A83"/>
        </w:tc>
        <w:tc>
          <w:tcPr>
            <w:tcW w:w="1884" w:type="dxa"/>
          </w:tcPr>
          <w:p w14:paraId="3C217C1D" w14:textId="77777777" w:rsidR="00F371B3" w:rsidRDefault="00F371B3" w:rsidP="00E97A83"/>
        </w:tc>
      </w:tr>
      <w:tr w:rsidR="00F371B3" w14:paraId="4AB29E65" w14:textId="77777777" w:rsidTr="00E97A83">
        <w:tc>
          <w:tcPr>
            <w:tcW w:w="2094" w:type="dxa"/>
          </w:tcPr>
          <w:p w14:paraId="6F214B9E" w14:textId="77777777" w:rsidR="00F371B3" w:rsidRDefault="00F371B3" w:rsidP="00E97A83"/>
        </w:tc>
        <w:tc>
          <w:tcPr>
            <w:tcW w:w="2099" w:type="dxa"/>
          </w:tcPr>
          <w:p w14:paraId="6B5ECCD4" w14:textId="77777777" w:rsidR="00F371B3" w:rsidRDefault="00F371B3" w:rsidP="00E97A83"/>
        </w:tc>
        <w:tc>
          <w:tcPr>
            <w:tcW w:w="4231" w:type="dxa"/>
          </w:tcPr>
          <w:p w14:paraId="2EE4D887" w14:textId="77777777" w:rsidR="00F371B3" w:rsidRDefault="00F371B3" w:rsidP="00E97A83"/>
        </w:tc>
        <w:tc>
          <w:tcPr>
            <w:tcW w:w="1884" w:type="dxa"/>
          </w:tcPr>
          <w:p w14:paraId="1C538218" w14:textId="77777777" w:rsidR="00F371B3" w:rsidRDefault="00F371B3" w:rsidP="00E97A83"/>
        </w:tc>
      </w:tr>
      <w:tr w:rsidR="00F371B3" w14:paraId="12921F70" w14:textId="77777777" w:rsidTr="00E97A83">
        <w:tc>
          <w:tcPr>
            <w:tcW w:w="2094" w:type="dxa"/>
          </w:tcPr>
          <w:p w14:paraId="47A24063" w14:textId="77777777" w:rsidR="00F371B3" w:rsidRDefault="00F371B3" w:rsidP="00E97A83"/>
        </w:tc>
        <w:tc>
          <w:tcPr>
            <w:tcW w:w="2099" w:type="dxa"/>
          </w:tcPr>
          <w:p w14:paraId="368CDFD8" w14:textId="77777777" w:rsidR="00F371B3" w:rsidRDefault="00F371B3" w:rsidP="00E97A83"/>
        </w:tc>
        <w:tc>
          <w:tcPr>
            <w:tcW w:w="4231" w:type="dxa"/>
          </w:tcPr>
          <w:p w14:paraId="55743F0E" w14:textId="77777777" w:rsidR="00F371B3" w:rsidRDefault="00F371B3" w:rsidP="00E97A83"/>
        </w:tc>
        <w:tc>
          <w:tcPr>
            <w:tcW w:w="1884" w:type="dxa"/>
          </w:tcPr>
          <w:p w14:paraId="67A3D0E7" w14:textId="77777777" w:rsidR="00F371B3" w:rsidRDefault="00F371B3" w:rsidP="00E97A83"/>
        </w:tc>
      </w:tr>
      <w:bookmarkEnd w:id="0"/>
    </w:tbl>
    <w:p w14:paraId="09D066C3" w14:textId="77777777" w:rsidR="009C2B39" w:rsidRDefault="009C2B39" w:rsidP="009B1BF1"/>
    <w:p w14:paraId="747BDC06" w14:textId="77777777" w:rsidR="009B78DA" w:rsidRDefault="009B78DA" w:rsidP="009B1BF1"/>
    <w:p w14:paraId="05C1DBC6" w14:textId="77777777" w:rsidR="009B78DA" w:rsidRDefault="009B78DA" w:rsidP="009B1BF1"/>
    <w:sectPr w:rsidR="009B78DA" w:rsidSect="00CC5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1812" w14:textId="77777777" w:rsidR="00083019" w:rsidRDefault="00083019" w:rsidP="007332FF">
      <w:r>
        <w:separator/>
      </w:r>
    </w:p>
  </w:endnote>
  <w:endnote w:type="continuationSeparator" w:id="0">
    <w:p w14:paraId="5D64D9F9" w14:textId="77777777" w:rsidR="00083019" w:rsidRDefault="0008301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2B2F" w14:textId="77777777" w:rsidR="00923082" w:rsidRDefault="0092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CB8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3299DC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3AE167B" w14:textId="39713E0B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317EB">
                <w:rPr>
                  <w:rStyle w:val="PageNumber"/>
                  <w:b/>
                </w:rPr>
                <w:t>Lands, Planning and Environment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48A112AC" w14:textId="24971CA2" w:rsidR="001B3D22" w:rsidRPr="00C46BCE" w:rsidRDefault="0092308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6BCE" w:rsidRPr="00C46BCE">
                <w:rPr>
                  <w:rStyle w:val="PageNumber"/>
                </w:rPr>
                <w:t>1 October 2025</w:t>
              </w:r>
            </w:sdtContent>
          </w:sdt>
          <w:r w:rsidR="001B3D22" w:rsidRPr="00C46BCE">
            <w:rPr>
              <w:rStyle w:val="PageNumber"/>
            </w:rPr>
            <w:t xml:space="preserve"> | Version </w:t>
          </w:r>
          <w:r w:rsidR="00C46BCE" w:rsidRPr="00C46BCE">
            <w:rPr>
              <w:rStyle w:val="PageNumber"/>
            </w:rPr>
            <w:t>1.0</w:t>
          </w:r>
        </w:p>
        <w:p w14:paraId="66562DD8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C46BCE">
            <w:rPr>
              <w:rStyle w:val="PageNumber"/>
            </w:rPr>
            <w:t xml:space="preserve">Page </w:t>
          </w:r>
          <w:r w:rsidRPr="00C46BCE">
            <w:rPr>
              <w:rStyle w:val="PageNumber"/>
            </w:rPr>
            <w:fldChar w:fldCharType="begin"/>
          </w:r>
          <w:r w:rsidRPr="00C46BCE">
            <w:rPr>
              <w:rStyle w:val="PageNumber"/>
            </w:rPr>
            <w:instrText xml:space="preserve"> PAGE  \* Arabic  \* MERGEFORMAT </w:instrText>
          </w:r>
          <w:r w:rsidRPr="00C46BCE">
            <w:rPr>
              <w:rStyle w:val="PageNumber"/>
            </w:rPr>
            <w:fldChar w:fldCharType="separate"/>
          </w:r>
          <w:r w:rsidR="001161A4" w:rsidRPr="00C46BCE">
            <w:rPr>
              <w:rStyle w:val="PageNumber"/>
              <w:noProof/>
            </w:rPr>
            <w:t>2</w:t>
          </w:r>
          <w:r w:rsidRPr="00C46BCE">
            <w:rPr>
              <w:rStyle w:val="PageNumber"/>
            </w:rPr>
            <w:fldChar w:fldCharType="end"/>
          </w:r>
          <w:r w:rsidRPr="00C46BCE">
            <w:rPr>
              <w:rStyle w:val="PageNumber"/>
            </w:rPr>
            <w:t xml:space="preserve"> of </w:t>
          </w:r>
          <w:r w:rsidRPr="00C46BCE">
            <w:rPr>
              <w:rStyle w:val="PageNumber"/>
            </w:rPr>
            <w:fldChar w:fldCharType="begin"/>
          </w:r>
          <w:r w:rsidRPr="00C46BCE">
            <w:rPr>
              <w:rStyle w:val="PageNumber"/>
            </w:rPr>
            <w:instrText xml:space="preserve"> NUMPAGES  \* Arabic  \* MERGEFORMAT </w:instrText>
          </w:r>
          <w:r w:rsidRPr="00C46BCE">
            <w:rPr>
              <w:rStyle w:val="PageNumber"/>
            </w:rPr>
            <w:fldChar w:fldCharType="separate"/>
          </w:r>
          <w:r w:rsidR="001161A4" w:rsidRPr="00C46BCE">
            <w:rPr>
              <w:rStyle w:val="PageNumber"/>
              <w:noProof/>
            </w:rPr>
            <w:t>2</w:t>
          </w:r>
          <w:r w:rsidRPr="00C46BCE">
            <w:rPr>
              <w:rStyle w:val="PageNumber"/>
            </w:rPr>
            <w:fldChar w:fldCharType="end"/>
          </w:r>
        </w:p>
      </w:tc>
    </w:tr>
  </w:tbl>
  <w:p w14:paraId="3E957FE7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858A0C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9B1F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51CBAE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F7DD18B" w14:textId="4A9FF36C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317EB">
                <w:rPr>
                  <w:rStyle w:val="PageNumber"/>
                  <w:b/>
                </w:rPr>
                <w:t>Lands, Planning and Environment</w:t>
              </w:r>
            </w:sdtContent>
          </w:sdt>
        </w:p>
        <w:p w14:paraId="48DCC72B" w14:textId="31C768B8" w:rsidR="00A66DD9" w:rsidRPr="00C46BCE" w:rsidRDefault="0092308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6BCE" w:rsidRPr="00C46BCE">
                <w:rPr>
                  <w:rStyle w:val="PageNumber"/>
                </w:rPr>
                <w:t>1 October 2025</w:t>
              </w:r>
            </w:sdtContent>
          </w:sdt>
          <w:r w:rsidR="001B3D22" w:rsidRPr="00C46BCE">
            <w:rPr>
              <w:rStyle w:val="PageNumber"/>
            </w:rPr>
            <w:t xml:space="preserve"> | Version</w:t>
          </w:r>
          <w:r w:rsidR="00F371B3" w:rsidRPr="00C46BCE">
            <w:rPr>
              <w:rStyle w:val="PageNumber"/>
            </w:rPr>
            <w:t xml:space="preserve"> </w:t>
          </w:r>
          <w:r w:rsidR="00C46BCE" w:rsidRPr="00C46BCE">
            <w:rPr>
              <w:rStyle w:val="PageNumber"/>
            </w:rPr>
            <w:t>1.0</w:t>
          </w:r>
        </w:p>
        <w:p w14:paraId="58D19842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BCAFB6F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316EDAD" wp14:editId="01A8FCC3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A3AE0D9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A4B6" w14:textId="77777777" w:rsidR="00083019" w:rsidRDefault="00083019" w:rsidP="007332FF">
      <w:r>
        <w:separator/>
      </w:r>
    </w:p>
  </w:footnote>
  <w:footnote w:type="continuationSeparator" w:id="0">
    <w:p w14:paraId="1C30866C" w14:textId="77777777" w:rsidR="00083019" w:rsidRDefault="0008301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A331" w14:textId="77777777" w:rsidR="00923082" w:rsidRDefault="0092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C74" w14:textId="3A42CD68" w:rsidR="00983000" w:rsidRPr="00162207" w:rsidRDefault="00923082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F371B3">
          <w:rPr>
            <w:rStyle w:val="HeaderChar"/>
          </w:rPr>
          <w:t>Environmental mining licence | Bore works management 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44"/>
        <w:szCs w:val="4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04666073" w14:textId="68375BFA" w:rsidR="00A53CF0" w:rsidRDefault="00626779" w:rsidP="00A53CF0">
        <w:pPr>
          <w:pStyle w:val="Title"/>
          <w:rPr>
            <w:rStyle w:val="TitleChar"/>
          </w:rPr>
        </w:pPr>
        <w:r>
          <w:rPr>
            <w:sz w:val="44"/>
            <w:szCs w:val="44"/>
          </w:rPr>
          <w:t>Environmental mining licence</w:t>
        </w:r>
        <w:r w:rsidR="00E317EB" w:rsidRPr="00E317EB">
          <w:rPr>
            <w:sz w:val="44"/>
            <w:szCs w:val="44"/>
          </w:rPr>
          <w:t xml:space="preserve"> | </w:t>
        </w:r>
        <w:r w:rsidR="00F371B3">
          <w:rPr>
            <w:sz w:val="44"/>
            <w:szCs w:val="44"/>
          </w:rPr>
          <w:t>Bore works management plan</w:t>
        </w:r>
      </w:p>
    </w:sdtContent>
  </w:sdt>
  <w:p w14:paraId="668EE19C" w14:textId="728B2DA0" w:rsidR="009C2B39" w:rsidRPr="00E317EB" w:rsidRDefault="00E317EB" w:rsidP="00E317EB">
    <w:pPr>
      <w:pBdr>
        <w:bottom w:val="single" w:sz="4" w:space="1" w:color="auto"/>
      </w:pBdr>
      <w:rPr>
        <w:color w:val="F4551A" w:themeColor="accent1"/>
      </w:rPr>
    </w:pPr>
    <w:r w:rsidRPr="00F371B3">
      <w:rPr>
        <w:b/>
        <w:bCs/>
        <w:color w:val="F4551A" w:themeColor="accent1"/>
      </w:rPr>
      <w:t>Section 124Z</w:t>
    </w:r>
    <w:r w:rsidR="00F371B3" w:rsidRPr="00F371B3">
      <w:rPr>
        <w:b/>
        <w:bCs/>
        <w:color w:val="F4551A" w:themeColor="accent1"/>
      </w:rPr>
      <w:t>(1)(e)</w:t>
    </w:r>
    <w:r w:rsidRPr="00F371B3">
      <w:rPr>
        <w:b/>
        <w:bCs/>
        <w:color w:val="F4551A" w:themeColor="accent1"/>
      </w:rPr>
      <w:t xml:space="preserve"> </w:t>
    </w:r>
    <w:r w:rsidRPr="00F371B3">
      <w:rPr>
        <w:b/>
        <w:bCs/>
        <w:i/>
        <w:iCs/>
        <w:color w:val="F4551A" w:themeColor="accent1"/>
      </w:rPr>
      <w:t>Environment Protection</w:t>
    </w:r>
    <w:r w:rsidRPr="001E7E0A">
      <w:rPr>
        <w:b/>
        <w:bCs/>
        <w:i/>
        <w:iCs/>
        <w:color w:val="F4551A" w:themeColor="accent1"/>
      </w:rPr>
      <w:t xml:space="preserve"> Act 2019</w:t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b/>
        <w:bCs/>
      </w:rPr>
      <w:t xml:space="preserve">Approved Form </w:t>
    </w:r>
    <w:r w:rsidR="00923082">
      <w:rPr>
        <w:b/>
        <w:bCs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1352CE4"/>
    <w:multiLevelType w:val="hybridMultilevel"/>
    <w:tmpl w:val="A030F5CA"/>
    <w:lvl w:ilvl="0" w:tplc="6F7C4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6A77ED5"/>
    <w:multiLevelType w:val="hybridMultilevel"/>
    <w:tmpl w:val="8F789B2C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1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5"/>
  </w:num>
  <w:num w:numId="5" w16cid:durableId="892352852">
    <w:abstractNumId w:val="17"/>
  </w:num>
  <w:num w:numId="6" w16cid:durableId="451825757">
    <w:abstractNumId w:val="7"/>
  </w:num>
  <w:num w:numId="7" w16cid:durableId="1363089647">
    <w:abstractNumId w:val="27"/>
  </w:num>
  <w:num w:numId="8" w16cid:durableId="1495103582">
    <w:abstractNumId w:val="16"/>
  </w:num>
  <w:num w:numId="9" w16cid:durableId="1838618493">
    <w:abstractNumId w:val="37"/>
  </w:num>
  <w:num w:numId="10" w16cid:durableId="1210144971">
    <w:abstractNumId w:val="23"/>
  </w:num>
  <w:num w:numId="11" w16cid:durableId="2134982445">
    <w:abstractNumId w:val="34"/>
  </w:num>
  <w:num w:numId="12" w16cid:durableId="81922020">
    <w:abstractNumId w:val="13"/>
  </w:num>
  <w:num w:numId="13" w16cid:durableId="167700369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C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7BA1"/>
    <w:rsid w:val="00080202"/>
    <w:rsid w:val="00080DCD"/>
    <w:rsid w:val="00080E22"/>
    <w:rsid w:val="00082573"/>
    <w:rsid w:val="00082E34"/>
    <w:rsid w:val="00083019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310C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47391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34BD"/>
    <w:rsid w:val="003164BA"/>
    <w:rsid w:val="0032013E"/>
    <w:rsid w:val="003258E6"/>
    <w:rsid w:val="00331E93"/>
    <w:rsid w:val="00342283"/>
    <w:rsid w:val="00343A87"/>
    <w:rsid w:val="00343BC6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A6BA8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25E8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4EBE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6779"/>
    <w:rsid w:val="00627FC8"/>
    <w:rsid w:val="00633EB4"/>
    <w:rsid w:val="00640920"/>
    <w:rsid w:val="00640C4C"/>
    <w:rsid w:val="006433C3"/>
    <w:rsid w:val="00645BDA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4D33"/>
    <w:rsid w:val="006A756A"/>
    <w:rsid w:val="006B7FE0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0DD8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6305"/>
    <w:rsid w:val="00902B13"/>
    <w:rsid w:val="00911941"/>
    <w:rsid w:val="0092024D"/>
    <w:rsid w:val="009212BC"/>
    <w:rsid w:val="0092223F"/>
    <w:rsid w:val="00923082"/>
    <w:rsid w:val="00925146"/>
    <w:rsid w:val="00925F0F"/>
    <w:rsid w:val="00931E59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B78DA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03C0"/>
    <w:rsid w:val="00B02EF1"/>
    <w:rsid w:val="00B061EB"/>
    <w:rsid w:val="00B07C97"/>
    <w:rsid w:val="00B118DC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494E"/>
    <w:rsid w:val="00C10B5E"/>
    <w:rsid w:val="00C10F10"/>
    <w:rsid w:val="00C11E6F"/>
    <w:rsid w:val="00C15D4D"/>
    <w:rsid w:val="00C175DC"/>
    <w:rsid w:val="00C27654"/>
    <w:rsid w:val="00C30171"/>
    <w:rsid w:val="00C309D8"/>
    <w:rsid w:val="00C43519"/>
    <w:rsid w:val="00C45263"/>
    <w:rsid w:val="00C46BCE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54D3"/>
    <w:rsid w:val="00CA6BC5"/>
    <w:rsid w:val="00CB1ECF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D5775"/>
    <w:rsid w:val="00DE0170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17EB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371B3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0B64"/>
  <w15:docId w15:val="{0D959880-E0DC-4FCC-BF2F-B27664C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t.gov.au/environment/water/licensing/bor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gela\Downloads\ntg-form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(1).dotx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mining licence | Exploration | Annual compliance report</vt:lpstr>
    </vt:vector>
  </TitlesOfParts>
  <Company>Lands, Planning and Environment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mining licence | Bore works management plan</dc:title>
  <dc:creator>Angela Estbergs</dc:creator>
  <cp:lastModifiedBy>Angela Estbergs</cp:lastModifiedBy>
  <cp:revision>2</cp:revision>
  <cp:lastPrinted>2019-07-29T01:45:00Z</cp:lastPrinted>
  <dcterms:created xsi:type="dcterms:W3CDTF">2025-10-01T06:09:00Z</dcterms:created>
  <dcterms:modified xsi:type="dcterms:W3CDTF">2025-10-01T06:09:00Z</dcterms:modified>
</cp:coreProperties>
</file>