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5"/>
        <w:tblW w:w="10358" w:type="dxa"/>
        <w:tblCellMar>
          <w:left w:w="0" w:type="dxa"/>
          <w:right w:w="0" w:type="dxa"/>
        </w:tblCellMar>
        <w:tblLook w:val="04A0" w:firstRow="1" w:lastRow="0" w:firstColumn="1" w:lastColumn="0" w:noHBand="0" w:noVBand="1"/>
        <w:tblDescription w:val="Questions are followed by answer fields. Use the ‘Tab’ key to navigate through. Replace Y/N or Yes/No fields with your answer. Further instructions about filling out this form are provided at the beginning of the form."/>
      </w:tblPr>
      <w:tblGrid>
        <w:gridCol w:w="1173"/>
        <w:gridCol w:w="20"/>
        <w:gridCol w:w="977"/>
        <w:gridCol w:w="20"/>
        <w:gridCol w:w="595"/>
        <w:gridCol w:w="20"/>
        <w:gridCol w:w="428"/>
        <w:gridCol w:w="20"/>
        <w:gridCol w:w="228"/>
        <w:gridCol w:w="20"/>
        <w:gridCol w:w="63"/>
        <w:gridCol w:w="20"/>
        <w:gridCol w:w="583"/>
        <w:gridCol w:w="20"/>
        <w:gridCol w:w="591"/>
        <w:gridCol w:w="20"/>
        <w:gridCol w:w="328"/>
        <w:gridCol w:w="20"/>
        <w:gridCol w:w="675"/>
        <w:gridCol w:w="13"/>
        <w:gridCol w:w="4504"/>
        <w:gridCol w:w="20"/>
      </w:tblGrid>
      <w:tr w:rsidR="006A48ED" w:rsidTr="006A48ED">
        <w:trPr>
          <w:gridAfter w:val="1"/>
          <w:wAfter w:w="20" w:type="dxa"/>
          <w:cantSplit/>
          <w:trHeight w:val="243"/>
        </w:trPr>
        <w:tc>
          <w:tcPr>
            <w:tcW w:w="10338" w:type="dxa"/>
            <w:gridSpan w:val="21"/>
            <w:tcBorders>
              <w:top w:val="single" w:sz="8" w:space="0" w:color="auto"/>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6A48ED" w:rsidRDefault="006A48ED" w:rsidP="006A48ED">
            <w:pPr>
              <w:rPr>
                <w:b/>
                <w:bCs/>
                <w:i/>
                <w:iCs/>
              </w:rPr>
            </w:pPr>
            <w:r>
              <w:rPr>
                <w:b/>
                <w:bCs/>
                <w:i/>
                <w:iCs/>
                <w:color w:val="FFFFFF"/>
              </w:rPr>
              <w:t>Contact details</w:t>
            </w:r>
          </w:p>
        </w:tc>
      </w:tr>
      <w:tr w:rsidR="006A48ED" w:rsidTr="006A48ED">
        <w:trPr>
          <w:gridAfter w:val="1"/>
          <w:wAfter w:w="20" w:type="dxa"/>
          <w:cantSplit/>
          <w:trHeight w:val="243"/>
        </w:trPr>
        <w:tc>
          <w:tcPr>
            <w:tcW w:w="1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b/>
                <w:bCs/>
                <w:i/>
                <w:iCs/>
              </w:rPr>
              <w:t>Name</w:t>
            </w:r>
          </w:p>
        </w:tc>
        <w:tc>
          <w:tcPr>
            <w:tcW w:w="2994" w:type="dxa"/>
            <w:gridSpan w:val="1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Chris Thompson</w:t>
            </w:r>
          </w:p>
        </w:tc>
        <w:tc>
          <w:tcPr>
            <w:tcW w:w="1654"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b/>
                <w:bCs/>
                <w:i/>
                <w:iCs/>
              </w:rPr>
              <w:t>Registration number</w:t>
            </w:r>
          </w:p>
        </w:tc>
        <w:tc>
          <w:tcPr>
            <w:tcW w:w="4517"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45</w:t>
            </w:r>
          </w:p>
        </w:tc>
      </w:tr>
      <w:tr w:rsidR="006A48ED" w:rsidTr="006A48ED">
        <w:trPr>
          <w:gridAfter w:val="1"/>
          <w:wAfter w:w="20" w:type="dxa"/>
          <w:cantSplit/>
          <w:trHeight w:val="243"/>
        </w:trPr>
        <w:tc>
          <w:tcPr>
            <w:tcW w:w="1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Phone</w:t>
            </w:r>
          </w:p>
        </w:tc>
        <w:tc>
          <w:tcPr>
            <w:tcW w:w="2060"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02 8316 7500</w:t>
            </w:r>
          </w:p>
        </w:tc>
        <w:tc>
          <w:tcPr>
            <w:tcW w:w="934"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Mobile</w:t>
            </w:r>
          </w:p>
        </w:tc>
        <w:tc>
          <w:tcPr>
            <w:tcW w:w="6171" w:type="dxa"/>
            <w:gridSpan w:val="8"/>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040 171 3647   </w:t>
            </w:r>
          </w:p>
        </w:tc>
      </w:tr>
      <w:tr w:rsidR="006A48ED" w:rsidTr="006A48ED">
        <w:trPr>
          <w:gridAfter w:val="1"/>
          <w:wAfter w:w="20" w:type="dxa"/>
          <w:cantSplit/>
          <w:trHeight w:val="243"/>
        </w:trPr>
        <w:tc>
          <w:tcPr>
            <w:tcW w:w="1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Fax</w:t>
            </w:r>
          </w:p>
        </w:tc>
        <w:tc>
          <w:tcPr>
            <w:tcW w:w="2060"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tcPr>
          <w:p w:rsidR="006A48ED" w:rsidRDefault="006A48ED" w:rsidP="006A48ED">
            <w:pPr>
              <w:rPr>
                <w:i/>
                <w:iCs/>
              </w:rPr>
            </w:pPr>
          </w:p>
        </w:tc>
        <w:tc>
          <w:tcPr>
            <w:tcW w:w="934"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Email</w:t>
            </w:r>
          </w:p>
        </w:tc>
        <w:tc>
          <w:tcPr>
            <w:tcW w:w="6171" w:type="dxa"/>
            <w:gridSpan w:val="8"/>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hyperlink r:id="rId4" w:history="1">
              <w:r>
                <w:rPr>
                  <w:rStyle w:val="Hyperlink"/>
                  <w:i/>
                  <w:iCs/>
                </w:rPr>
                <w:t>chris.thompson@ccr.work</w:t>
              </w:r>
            </w:hyperlink>
          </w:p>
        </w:tc>
      </w:tr>
      <w:tr w:rsidR="006A48ED" w:rsidTr="006A48ED">
        <w:trPr>
          <w:gridAfter w:val="1"/>
          <w:wAfter w:w="20" w:type="dxa"/>
          <w:cantSplit/>
          <w:trHeight w:val="243"/>
        </w:trPr>
        <w:tc>
          <w:tcPr>
            <w:tcW w:w="10338" w:type="dxa"/>
            <w:gridSpan w:val="21"/>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6A48ED" w:rsidRDefault="006A48ED" w:rsidP="006A48ED">
            <w:pPr>
              <w:rPr>
                <w:b/>
                <w:bCs/>
                <w:i/>
                <w:iCs/>
              </w:rPr>
            </w:pPr>
            <w:r>
              <w:rPr>
                <w:b/>
                <w:bCs/>
                <w:i/>
                <w:iCs/>
                <w:color w:val="FFFFFF"/>
              </w:rPr>
              <w:t>Postal address</w:t>
            </w:r>
          </w:p>
        </w:tc>
      </w:tr>
      <w:tr w:rsidR="006A48ED" w:rsidTr="006A48ED">
        <w:trPr>
          <w:gridAfter w:val="1"/>
          <w:wAfter w:w="20" w:type="dxa"/>
          <w:cantSplit/>
          <w:trHeight w:val="243"/>
        </w:trPr>
        <w:tc>
          <w:tcPr>
            <w:tcW w:w="1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Address line 1</w:t>
            </w:r>
          </w:p>
        </w:tc>
        <w:tc>
          <w:tcPr>
            <w:tcW w:w="9165" w:type="dxa"/>
            <w:gridSpan w:val="20"/>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Suite 1602, Level 16, 213 Miller Street</w:t>
            </w:r>
          </w:p>
        </w:tc>
      </w:tr>
      <w:tr w:rsidR="006A48ED" w:rsidTr="006A48ED">
        <w:trPr>
          <w:gridAfter w:val="1"/>
          <w:wAfter w:w="20" w:type="dxa"/>
          <w:cantSplit/>
          <w:trHeight w:val="243"/>
        </w:trPr>
        <w:tc>
          <w:tcPr>
            <w:tcW w:w="1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Address line 2</w:t>
            </w:r>
          </w:p>
        </w:tc>
        <w:tc>
          <w:tcPr>
            <w:tcW w:w="9165" w:type="dxa"/>
            <w:gridSpan w:val="20"/>
            <w:tcBorders>
              <w:top w:val="nil"/>
              <w:left w:val="nil"/>
              <w:bottom w:val="single" w:sz="8" w:space="0" w:color="auto"/>
              <w:right w:val="single" w:sz="8" w:space="0" w:color="auto"/>
            </w:tcBorders>
            <w:noWrap/>
            <w:tcMar>
              <w:top w:w="0" w:type="dxa"/>
              <w:left w:w="108" w:type="dxa"/>
              <w:bottom w:w="0" w:type="dxa"/>
              <w:right w:w="108" w:type="dxa"/>
            </w:tcMar>
            <w:vAlign w:val="center"/>
          </w:tcPr>
          <w:p w:rsidR="006A48ED" w:rsidRDefault="006A48ED" w:rsidP="006A48ED">
            <w:pPr>
              <w:rPr>
                <w:i/>
                <w:iCs/>
              </w:rPr>
            </w:pPr>
          </w:p>
        </w:tc>
      </w:tr>
      <w:tr w:rsidR="006A48ED" w:rsidTr="006A48ED">
        <w:trPr>
          <w:gridAfter w:val="1"/>
          <w:wAfter w:w="20" w:type="dxa"/>
          <w:cantSplit/>
          <w:trHeight w:val="243"/>
        </w:trPr>
        <w:tc>
          <w:tcPr>
            <w:tcW w:w="1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Suburb</w:t>
            </w:r>
          </w:p>
        </w:tc>
        <w:tc>
          <w:tcPr>
            <w:tcW w:w="1612" w:type="dxa"/>
            <w:gridSpan w:val="4"/>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North Sydney</w:t>
            </w:r>
          </w:p>
        </w:tc>
        <w:tc>
          <w:tcPr>
            <w:tcW w:w="69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b/>
                <w:bCs/>
                <w:i/>
                <w:iCs/>
              </w:rPr>
            </w:pPr>
            <w:r>
              <w:rPr>
                <w:b/>
                <w:bCs/>
                <w:i/>
                <w:iCs/>
              </w:rPr>
              <w:t>State</w:t>
            </w:r>
          </w:p>
        </w:tc>
        <w:tc>
          <w:tcPr>
            <w:tcW w:w="129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i/>
                <w:iCs/>
              </w:rPr>
              <w:t>NSW</w:t>
            </w:r>
          </w:p>
        </w:tc>
        <w:tc>
          <w:tcPr>
            <w:tcW w:w="1043"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b/>
                <w:bCs/>
                <w:i/>
                <w:iCs/>
              </w:rPr>
            </w:pPr>
            <w:r>
              <w:rPr>
                <w:b/>
                <w:bCs/>
                <w:i/>
                <w:iCs/>
              </w:rPr>
              <w:t>Postcode</w:t>
            </w:r>
          </w:p>
        </w:tc>
        <w:tc>
          <w:tcPr>
            <w:tcW w:w="451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i/>
                <w:iCs/>
              </w:rPr>
              <w:t>2060</w:t>
            </w:r>
          </w:p>
        </w:tc>
      </w:tr>
      <w:tr w:rsidR="006A48ED" w:rsidTr="006A48ED">
        <w:trPr>
          <w:gridAfter w:val="1"/>
          <w:wAfter w:w="20" w:type="dxa"/>
          <w:cantSplit/>
          <w:trHeight w:val="243"/>
        </w:trPr>
        <w:tc>
          <w:tcPr>
            <w:tcW w:w="10338" w:type="dxa"/>
            <w:gridSpan w:val="21"/>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6A48ED" w:rsidRDefault="006A48ED" w:rsidP="006A48ED">
            <w:pPr>
              <w:rPr>
                <w:b/>
                <w:bCs/>
                <w:i/>
                <w:iCs/>
              </w:rPr>
            </w:pPr>
            <w:r>
              <w:rPr>
                <w:b/>
                <w:bCs/>
                <w:i/>
                <w:iCs/>
                <w:color w:val="FFFFFF"/>
              </w:rPr>
              <w:t>Rates</w:t>
            </w: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Adjudicator’s hourly rate ($)</w:t>
            </w:r>
          </w:p>
        </w:tc>
        <w:tc>
          <w:tcPr>
            <w:tcW w:w="1394" w:type="dxa"/>
            <w:gridSpan w:val="8"/>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350</w:t>
            </w:r>
          </w:p>
        </w:tc>
        <w:tc>
          <w:tcPr>
            <w:tcW w:w="1562"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b/>
                <w:bCs/>
                <w:i/>
                <w:iCs/>
              </w:rPr>
            </w:pPr>
            <w:r>
              <w:rPr>
                <w:b/>
                <w:bCs/>
                <w:i/>
                <w:iCs/>
              </w:rPr>
              <w:t>GST included</w:t>
            </w:r>
          </w:p>
        </w:tc>
        <w:tc>
          <w:tcPr>
            <w:tcW w:w="5212"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i/>
                <w:iCs/>
              </w:rPr>
              <w:t>No</w:t>
            </w: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Metro travel cost per km ($)</w:t>
            </w:r>
          </w:p>
        </w:tc>
        <w:tc>
          <w:tcPr>
            <w:tcW w:w="1394" w:type="dxa"/>
            <w:gridSpan w:val="8"/>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1</w:t>
            </w:r>
          </w:p>
        </w:tc>
        <w:tc>
          <w:tcPr>
            <w:tcW w:w="6774" w:type="dxa"/>
            <w:gridSpan w:val="10"/>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6A48ED" w:rsidRDefault="006A48ED" w:rsidP="006A48ED">
            <w:pPr>
              <w:rPr>
                <w:i/>
                <w:iCs/>
              </w:rPr>
            </w:pP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Regional travel cost per km ($)</w:t>
            </w:r>
          </w:p>
        </w:tc>
        <w:tc>
          <w:tcPr>
            <w:tcW w:w="1394" w:type="dxa"/>
            <w:gridSpan w:val="8"/>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1</w:t>
            </w:r>
          </w:p>
        </w:tc>
        <w:tc>
          <w:tcPr>
            <w:tcW w:w="6774" w:type="dxa"/>
            <w:gridSpan w:val="10"/>
            <w:vMerge/>
            <w:tcBorders>
              <w:top w:val="nil"/>
              <w:left w:val="nil"/>
              <w:bottom w:val="single" w:sz="8" w:space="0" w:color="auto"/>
              <w:right w:val="single" w:sz="8" w:space="0" w:color="auto"/>
            </w:tcBorders>
            <w:vAlign w:val="center"/>
            <w:hideMark/>
          </w:tcPr>
          <w:p w:rsidR="006A48ED" w:rsidRDefault="006A48ED" w:rsidP="006A48ED">
            <w:pPr>
              <w:rPr>
                <w:i/>
                <w:iCs/>
              </w:rPr>
            </w:pP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Other costs and disbursements</w:t>
            </w:r>
          </w:p>
        </w:tc>
        <w:tc>
          <w:tcPr>
            <w:tcW w:w="8168" w:type="dxa"/>
            <w:gridSpan w:val="18"/>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i/>
                <w:iCs/>
              </w:rPr>
            </w:pPr>
            <w:r>
              <w:rPr>
                <w:i/>
                <w:iCs/>
              </w:rPr>
              <w:t>Travel time at the same rate as adjudication time.</w:t>
            </w:r>
          </w:p>
          <w:p w:rsidR="006A48ED" w:rsidRDefault="006A48ED" w:rsidP="006A48ED">
            <w:pPr>
              <w:rPr>
                <w:i/>
                <w:iCs/>
              </w:rPr>
            </w:pPr>
            <w:r>
              <w:rPr>
                <w:i/>
                <w:iCs/>
              </w:rPr>
              <w:t>Disbursements and expenses charged at cost.</w:t>
            </w:r>
          </w:p>
        </w:tc>
      </w:tr>
      <w:tr w:rsidR="006A48ED" w:rsidTr="006A48ED">
        <w:trPr>
          <w:gridAfter w:val="1"/>
          <w:wAfter w:w="20" w:type="dxa"/>
          <w:cantSplit/>
          <w:trHeight w:val="243"/>
        </w:trPr>
        <w:tc>
          <w:tcPr>
            <w:tcW w:w="10338" w:type="dxa"/>
            <w:gridSpan w:val="21"/>
            <w:tcBorders>
              <w:top w:val="nil"/>
              <w:left w:val="single" w:sz="8" w:space="0" w:color="auto"/>
              <w:bottom w:val="single" w:sz="8" w:space="0" w:color="auto"/>
              <w:right w:val="single" w:sz="8" w:space="0" w:color="auto"/>
            </w:tcBorders>
            <w:shd w:val="clear" w:color="auto" w:fill="000000"/>
            <w:noWrap/>
            <w:tcMar>
              <w:top w:w="0" w:type="dxa"/>
              <w:left w:w="108" w:type="dxa"/>
              <w:bottom w:w="0" w:type="dxa"/>
              <w:right w:w="108" w:type="dxa"/>
            </w:tcMar>
            <w:vAlign w:val="center"/>
            <w:hideMark/>
          </w:tcPr>
          <w:p w:rsidR="006A48ED" w:rsidRDefault="006A48ED" w:rsidP="006A48ED">
            <w:pPr>
              <w:rPr>
                <w:i/>
                <w:iCs/>
              </w:rPr>
            </w:pPr>
            <w:r>
              <w:rPr>
                <w:b/>
                <w:bCs/>
                <w:i/>
                <w:iCs/>
                <w:color w:val="FFFFFF"/>
              </w:rPr>
              <w:t>Bio</w:t>
            </w: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Experience</w:t>
            </w:r>
          </w:p>
        </w:tc>
        <w:tc>
          <w:tcPr>
            <w:tcW w:w="8168"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b/>
                <w:bCs/>
                <w:i/>
                <w:iCs/>
              </w:rPr>
              <w:t>Over 40 years of experience in the Australian and international construction industry.</w:t>
            </w: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Areas of expertise</w:t>
            </w:r>
          </w:p>
          <w:p w:rsidR="006A48ED" w:rsidRDefault="006A48ED" w:rsidP="006A48ED">
            <w:pPr>
              <w:rPr>
                <w:b/>
                <w:bCs/>
                <w:i/>
                <w:iCs/>
              </w:rPr>
            </w:pPr>
            <w:r>
              <w:rPr>
                <w:b/>
                <w:bCs/>
                <w:i/>
                <w:iCs/>
              </w:rPr>
              <w:t>(Relevant to Adjudication)</w:t>
            </w:r>
          </w:p>
        </w:tc>
        <w:tc>
          <w:tcPr>
            <w:tcW w:w="8168"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b/>
                <w:bCs/>
                <w:i/>
                <w:iCs/>
              </w:rPr>
              <w:t>Registered Adjudicator and Arbitrator in the NT, QLD, NSW, ACT and SA - experienced in alternative dispute resolution and has successfully run arbitrations, mediations, prepared and determined circa 100 adjudication applications.</w:t>
            </w:r>
          </w:p>
          <w:p w:rsidR="006A48ED" w:rsidRDefault="006A48ED" w:rsidP="006A48ED">
            <w:pPr>
              <w:rPr>
                <w:i/>
                <w:iCs/>
              </w:rPr>
            </w:pPr>
            <w:r>
              <w:rPr>
                <w:b/>
                <w:bCs/>
                <w:i/>
                <w:iCs/>
              </w:rPr>
              <w:t>Representation in litigation, mediation, arbitration and adjudication proceedings, preparing client’s case from</w:t>
            </w:r>
          </w:p>
          <w:p w:rsidR="006A48ED" w:rsidRDefault="006A48ED" w:rsidP="006A48ED">
            <w:pPr>
              <w:rPr>
                <w:i/>
                <w:iCs/>
              </w:rPr>
            </w:pPr>
            <w:r>
              <w:rPr>
                <w:b/>
                <w:bCs/>
                <w:i/>
                <w:iCs/>
              </w:rPr>
              <w:t>issuing or advising upon a notice of dispute, the appointment of a mediation/arbitrator/adjudicator,</w:t>
            </w:r>
          </w:p>
          <w:p w:rsidR="006A48ED" w:rsidRDefault="006A48ED" w:rsidP="006A48ED">
            <w:pPr>
              <w:rPr>
                <w:i/>
                <w:iCs/>
              </w:rPr>
            </w:pPr>
            <w:proofErr w:type="gramStart"/>
            <w:r>
              <w:rPr>
                <w:b/>
                <w:bCs/>
                <w:i/>
                <w:iCs/>
              </w:rPr>
              <w:t>preparation</w:t>
            </w:r>
            <w:proofErr w:type="gramEnd"/>
            <w:r>
              <w:rPr>
                <w:b/>
                <w:bCs/>
                <w:i/>
                <w:iCs/>
              </w:rPr>
              <w:t xml:space="preserve"> of pleadings, discovery of documents and representing a party before the proceedings.  </w:t>
            </w:r>
          </w:p>
          <w:p w:rsidR="006A48ED" w:rsidRDefault="006A48ED" w:rsidP="006A48ED">
            <w:pPr>
              <w:rPr>
                <w:i/>
                <w:iCs/>
              </w:rPr>
            </w:pPr>
            <w:r>
              <w:rPr>
                <w:b/>
                <w:bCs/>
                <w:i/>
                <w:iCs/>
              </w:rPr>
              <w:t>Providing practical and specialist advice at various stages of proceedings.</w:t>
            </w: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Qualifications</w:t>
            </w:r>
          </w:p>
        </w:tc>
        <w:tc>
          <w:tcPr>
            <w:tcW w:w="8168"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b/>
                <w:bCs/>
                <w:i/>
                <w:iCs/>
              </w:rPr>
              <w:t xml:space="preserve">BSc (Hons) Cost Management. </w:t>
            </w:r>
          </w:p>
          <w:p w:rsidR="006A48ED" w:rsidRDefault="006A48ED" w:rsidP="006A48ED">
            <w:pPr>
              <w:rPr>
                <w:i/>
                <w:iCs/>
              </w:rPr>
            </w:pPr>
            <w:r>
              <w:rPr>
                <w:b/>
                <w:bCs/>
                <w:i/>
                <w:iCs/>
              </w:rPr>
              <w:t>Professional Certificate in Arbitration and Mediation.</w:t>
            </w:r>
          </w:p>
          <w:p w:rsidR="006A48ED" w:rsidRDefault="006A48ED" w:rsidP="006A48ED">
            <w:pPr>
              <w:rPr>
                <w:i/>
                <w:iCs/>
              </w:rPr>
            </w:pPr>
            <w:r>
              <w:rPr>
                <w:b/>
                <w:bCs/>
                <w:i/>
                <w:iCs/>
              </w:rPr>
              <w:t>Professional Certificate in Adjudication, RICS.</w:t>
            </w:r>
          </w:p>
          <w:p w:rsidR="006A48ED" w:rsidRDefault="006A48ED" w:rsidP="006A48ED">
            <w:pPr>
              <w:rPr>
                <w:i/>
                <w:iCs/>
              </w:rPr>
            </w:pPr>
            <w:proofErr w:type="spellStart"/>
            <w:r>
              <w:rPr>
                <w:b/>
                <w:bCs/>
                <w:i/>
                <w:iCs/>
              </w:rPr>
              <w:t>BTech</w:t>
            </w:r>
            <w:proofErr w:type="spellEnd"/>
            <w:r>
              <w:rPr>
                <w:b/>
                <w:bCs/>
                <w:i/>
                <w:iCs/>
              </w:rPr>
              <w:t xml:space="preserve"> HND in Quantity Surveying Services.</w:t>
            </w:r>
          </w:p>
          <w:p w:rsidR="006A48ED" w:rsidRDefault="006A48ED" w:rsidP="006A48ED">
            <w:pPr>
              <w:rPr>
                <w:i/>
                <w:iCs/>
              </w:rPr>
            </w:pPr>
            <w:r>
              <w:rPr>
                <w:b/>
                <w:bCs/>
                <w:i/>
                <w:iCs/>
              </w:rPr>
              <w:t>Six Sigma Black Belt.</w:t>
            </w:r>
          </w:p>
          <w:p w:rsidR="006A48ED" w:rsidRDefault="006A48ED" w:rsidP="006A48ED">
            <w:pPr>
              <w:rPr>
                <w:i/>
                <w:iCs/>
              </w:rPr>
            </w:pPr>
            <w:r>
              <w:rPr>
                <w:b/>
                <w:bCs/>
                <w:i/>
                <w:iCs/>
              </w:rPr>
              <w:t>City &amp; Guilds 236 Electrical, Approved Electrician and Technician Electrician.</w:t>
            </w:r>
          </w:p>
        </w:tc>
      </w:tr>
      <w:tr w:rsidR="006A48ED" w:rsidTr="006A48ED">
        <w:trPr>
          <w:gridAfter w:val="1"/>
          <w:wAfter w:w="20" w:type="dxa"/>
          <w:cantSplit/>
          <w:trHeight w:val="243"/>
        </w:trPr>
        <w:tc>
          <w:tcPr>
            <w:tcW w:w="2170"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A48ED" w:rsidRDefault="006A48ED" w:rsidP="006A48ED">
            <w:pPr>
              <w:rPr>
                <w:b/>
                <w:bCs/>
                <w:i/>
                <w:iCs/>
              </w:rPr>
            </w:pPr>
            <w:r>
              <w:rPr>
                <w:b/>
                <w:bCs/>
                <w:i/>
                <w:iCs/>
              </w:rPr>
              <w:t>Professional memberships and affiliations</w:t>
            </w:r>
          </w:p>
        </w:tc>
        <w:tc>
          <w:tcPr>
            <w:tcW w:w="8168" w:type="dxa"/>
            <w:gridSpan w:val="18"/>
            <w:tcBorders>
              <w:top w:val="nil"/>
              <w:left w:val="nil"/>
              <w:bottom w:val="single" w:sz="8" w:space="0" w:color="auto"/>
              <w:right w:val="single" w:sz="8" w:space="0" w:color="auto"/>
            </w:tcBorders>
            <w:tcMar>
              <w:top w:w="0" w:type="dxa"/>
              <w:left w:w="108" w:type="dxa"/>
              <w:bottom w:w="0" w:type="dxa"/>
              <w:right w:w="108" w:type="dxa"/>
            </w:tcMar>
            <w:vAlign w:val="center"/>
            <w:hideMark/>
          </w:tcPr>
          <w:p w:rsidR="006A48ED" w:rsidRDefault="006A48ED" w:rsidP="006A48ED">
            <w:pPr>
              <w:rPr>
                <w:i/>
                <w:iCs/>
              </w:rPr>
            </w:pPr>
            <w:r>
              <w:rPr>
                <w:b/>
                <w:bCs/>
                <w:i/>
                <w:iCs/>
              </w:rPr>
              <w:t xml:space="preserve">Member - Royal Institution of Chartered Surveyors (MRICS) </w:t>
            </w:r>
          </w:p>
          <w:p w:rsidR="006A48ED" w:rsidRDefault="006A48ED" w:rsidP="006A48ED">
            <w:pPr>
              <w:rPr>
                <w:i/>
                <w:iCs/>
              </w:rPr>
            </w:pPr>
            <w:r>
              <w:rPr>
                <w:b/>
                <w:bCs/>
                <w:i/>
                <w:iCs/>
              </w:rPr>
              <w:t xml:space="preserve">Member - Resolution Institute (MRI) </w:t>
            </w:r>
          </w:p>
          <w:p w:rsidR="006A48ED" w:rsidRDefault="006A48ED" w:rsidP="006A48ED">
            <w:pPr>
              <w:rPr>
                <w:i/>
                <w:iCs/>
              </w:rPr>
            </w:pPr>
            <w:r>
              <w:rPr>
                <w:b/>
                <w:bCs/>
                <w:i/>
                <w:iCs/>
              </w:rPr>
              <w:t>Member - Chartered Institute of Arbitrators (</w:t>
            </w:r>
            <w:proofErr w:type="spellStart"/>
            <w:r>
              <w:rPr>
                <w:b/>
                <w:bCs/>
                <w:i/>
                <w:iCs/>
              </w:rPr>
              <w:t>MCIArb</w:t>
            </w:r>
            <w:proofErr w:type="spellEnd"/>
            <w:r>
              <w:rPr>
                <w:b/>
                <w:bCs/>
                <w:i/>
                <w:iCs/>
              </w:rPr>
              <w:t xml:space="preserve">) </w:t>
            </w:r>
          </w:p>
        </w:tc>
      </w:tr>
      <w:tr w:rsidR="006A48ED" w:rsidTr="006A48ED">
        <w:tc>
          <w:tcPr>
            <w:tcW w:w="1173" w:type="dxa"/>
            <w:vAlign w:val="center"/>
            <w:hideMark/>
          </w:tcPr>
          <w:p w:rsidR="006A48ED" w:rsidRDefault="006A48ED" w:rsidP="006A48ED">
            <w:pPr>
              <w:rPr>
                <w:i/>
                <w:iCs/>
              </w:rPr>
            </w:pPr>
          </w:p>
        </w:tc>
        <w:tc>
          <w:tcPr>
            <w:tcW w:w="20" w:type="dxa"/>
            <w:vAlign w:val="center"/>
            <w:hideMark/>
          </w:tcPr>
          <w:p w:rsidR="006A48ED" w:rsidRDefault="006A48ED" w:rsidP="006A48ED">
            <w:pPr>
              <w:rPr>
                <w:rFonts w:ascii="Times New Roman" w:eastAsia="Times New Roman" w:hAnsi="Times New Roman" w:cs="Times New Roman"/>
                <w:sz w:val="20"/>
                <w:szCs w:val="20"/>
                <w:lang w:eastAsia="en-AU"/>
              </w:rPr>
            </w:pPr>
          </w:p>
        </w:tc>
        <w:tc>
          <w:tcPr>
            <w:tcW w:w="997"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615"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448"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248"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83"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603"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611"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348"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688"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c>
          <w:tcPr>
            <w:tcW w:w="4524" w:type="dxa"/>
            <w:gridSpan w:val="2"/>
            <w:vAlign w:val="center"/>
            <w:hideMark/>
          </w:tcPr>
          <w:p w:rsidR="006A48ED" w:rsidRDefault="006A48ED" w:rsidP="006A48ED">
            <w:pPr>
              <w:rPr>
                <w:rFonts w:ascii="Times New Roman" w:eastAsia="Times New Roman" w:hAnsi="Times New Roman" w:cs="Times New Roman"/>
                <w:sz w:val="20"/>
                <w:szCs w:val="20"/>
                <w:lang w:eastAsia="en-AU"/>
              </w:rPr>
            </w:pPr>
          </w:p>
        </w:tc>
      </w:tr>
    </w:tbl>
    <w:p w:rsidR="006A48ED" w:rsidRDefault="006A48ED" w:rsidP="006A48ED">
      <w:pPr>
        <w:rPr>
          <w:i/>
          <w:iCs/>
          <w14:ligatures w14:val="standardContextual"/>
        </w:rPr>
      </w:pPr>
    </w:p>
    <w:p w:rsidR="006A48ED" w:rsidRPr="006A48ED" w:rsidRDefault="006A48ED" w:rsidP="006A48ED">
      <w:pPr>
        <w:rPr>
          <w:b/>
        </w:rPr>
      </w:pPr>
      <w:r w:rsidRPr="006A48ED">
        <w:rPr>
          <w:b/>
        </w:rPr>
        <w:t>Career Overview</w:t>
      </w:r>
    </w:p>
    <w:p w:rsidR="006A48ED" w:rsidRPr="006A48ED" w:rsidRDefault="006A48ED" w:rsidP="006A48ED"/>
    <w:p w:rsidR="006A48ED" w:rsidRDefault="006A48ED" w:rsidP="006A48ED">
      <w:pPr>
        <w:jc w:val="both"/>
      </w:pPr>
      <w:r w:rsidRPr="006A48ED">
        <w:t>Chris has been a member of the Royal Institution of Chart</w:t>
      </w:r>
      <w:r>
        <w:t xml:space="preserve">ered Surveyors (MRICS), and the </w:t>
      </w:r>
      <w:r w:rsidRPr="006A48ED">
        <w:t>Resolution Institute (MRI) for over twenty (20) years and a member of the Chartered Institute of Arbitrators (</w:t>
      </w:r>
      <w:proofErr w:type="spellStart"/>
      <w:r w:rsidRPr="006A48ED">
        <w:t>MCIArb</w:t>
      </w:r>
      <w:proofErr w:type="spellEnd"/>
      <w:r w:rsidRPr="006A48ED">
        <w:t xml:space="preserve">) for ten (10) years. </w:t>
      </w:r>
      <w:r>
        <w:t xml:space="preserve"> </w:t>
      </w:r>
      <w:r w:rsidRPr="006A48ED">
        <w:t>He is a registered Adjudicator and Arbitrator working extensively on building engineering and infrastructure projects.</w:t>
      </w:r>
      <w:r>
        <w:t xml:space="preserve"> </w:t>
      </w:r>
      <w:r w:rsidRPr="006A48ED">
        <w:t>Prior to undertaking a degree in Cost Management of Building Engineering Services, Chris serv</w:t>
      </w:r>
      <w:r>
        <w:t xml:space="preserve">ed a five-year electrical trade </w:t>
      </w:r>
      <w:r w:rsidRPr="006A48ED">
        <w:t xml:space="preserve">apprenticeship and has over 40 years of experience in the construction industry. </w:t>
      </w:r>
      <w:r>
        <w:t xml:space="preserve"> </w:t>
      </w:r>
      <w:r w:rsidRPr="006A48ED">
        <w:t>From the project management of US$ 650 million works for a public department to</w:t>
      </w:r>
      <w:r>
        <w:t xml:space="preserve"> the implementation of Business </w:t>
      </w:r>
      <w:r w:rsidRPr="006A48ED">
        <w:t>Process Improvement (BPI) of the commercial and contrac</w:t>
      </w:r>
      <w:r>
        <w:t xml:space="preserve">t accounting procedures for the </w:t>
      </w:r>
      <w:r w:rsidRPr="006A48ED">
        <w:t>construction division US$450 million of a national engineering company.</w:t>
      </w:r>
    </w:p>
    <w:p w:rsidR="006A48ED" w:rsidRPr="006A48ED" w:rsidRDefault="006A48ED" w:rsidP="006A48ED">
      <w:pPr>
        <w:jc w:val="both"/>
      </w:pPr>
      <w:r w:rsidRPr="006A48ED">
        <w:lastRenderedPageBreak/>
        <w:t>In addition to front end works Chris is experienced in alternative dispute resolution and has successfully run arbitrations, mediations, prepared and determined circa 100 adjudication applications in all states of Australia and New Zealand.</w:t>
      </w:r>
      <w:r>
        <w:t xml:space="preserve"> </w:t>
      </w:r>
      <w:r w:rsidRPr="006A48ED">
        <w:t>Chris is a registered adjudicator in The Northern Territory, Queensland, New South Wales, The Australian Capital Territory and South Australia and has been engaged as an Expert Witness in several matters, coupled with being cross-examined at court.</w:t>
      </w:r>
      <w:r>
        <w:t xml:space="preserve"> </w:t>
      </w:r>
      <w:r w:rsidRPr="006A48ED">
        <w:t>Chris’ core skills have been developed by the application of the practical experience gained as a trade electrician, professional Quantity Surveying experience and Six Sigma focusing on business development and client management.</w:t>
      </w:r>
    </w:p>
    <w:p w:rsidR="00D964ED" w:rsidRDefault="00D964ED">
      <w:bookmarkStart w:id="0" w:name="_GoBack"/>
      <w:bookmarkEnd w:id="0"/>
    </w:p>
    <w:sectPr w:rsidR="00D964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ED"/>
    <w:rsid w:val="006A48ED"/>
    <w:rsid w:val="00D96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F151"/>
  <w15:chartTrackingRefBased/>
  <w15:docId w15:val="{A2F655E5-50F2-4B5D-9797-661AAE2D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8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48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1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hompson@ccr.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508</Words>
  <Characters>2896</Characters>
  <Application>Microsoft Office Word</Application>
  <DocSecurity>0</DocSecurity>
  <Lines>24</Lines>
  <Paragraphs>6</Paragraphs>
  <ScaleCrop>false</ScaleCrop>
  <Company>Northern Territory Government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Fisher</dc:creator>
  <cp:keywords/>
  <dc:description/>
  <cp:lastModifiedBy>Amy Fisher</cp:lastModifiedBy>
  <cp:revision>1</cp:revision>
  <dcterms:created xsi:type="dcterms:W3CDTF">2025-05-14T06:48:00Z</dcterms:created>
  <dcterms:modified xsi:type="dcterms:W3CDTF">2025-05-14T06:52:00Z</dcterms:modified>
</cp:coreProperties>
</file>