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E737" w14:textId="3A3DF3EC" w:rsidR="00886C9D" w:rsidRPr="008B1465" w:rsidRDefault="00000000" w:rsidP="00886C9D">
      <w:pPr>
        <w:pStyle w:val="Title"/>
        <w:rPr>
          <w:rFonts w:ascii="Lato" w:hAnsi="Lato"/>
        </w:rPr>
      </w:pPr>
      <w:sdt>
        <w:sdtPr>
          <w:rPr>
            <w:rFonts w:ascii="Lato" w:hAnsi="Lato"/>
          </w:rPr>
          <w:alias w:val="Title"/>
          <w:tag w:val="Title"/>
          <w:id w:val="-509987125"/>
          <w:lock w:val="sdtLocked"/>
          <w:placeholder>
            <w:docPart w:val="59B31574FC1E4CC7A44DC0B1107DEC09"/>
          </w:placeholder>
          <w:dataBinding w:prefixMappings="xmlns:ns0='http://purl.org/dc/elements/1.1/' xmlns:ns1='http://schemas.openxmlformats.org/package/2006/metadata/core-properties' " w:xpath="/ns1:coreProperties[1]/ns0:title[1]" w:storeItemID="{6C3C8BC8-F283-45AE-878A-BAB7291924A1}"/>
          <w:text w:multiLine="1"/>
        </w:sdtPr>
        <w:sdtContent>
          <w:r w:rsidR="004E4D15">
            <w:rPr>
              <w:rFonts w:ascii="Lato" w:hAnsi="Lato"/>
            </w:rPr>
            <w:t xml:space="preserve">Tennant Creek </w:t>
          </w:r>
          <w:r w:rsidR="00D61396">
            <w:rPr>
              <w:rFonts w:ascii="Lato" w:hAnsi="Lato"/>
            </w:rPr>
            <w:t>Liquor</w:t>
          </w:r>
          <w:r w:rsidR="00973472">
            <w:rPr>
              <w:rFonts w:ascii="Lato" w:hAnsi="Lato"/>
            </w:rPr>
            <w:t xml:space="preserve"> Accord</w:t>
          </w:r>
        </w:sdtContent>
      </w:sdt>
    </w:p>
    <w:p w14:paraId="12D81003" w14:textId="234355D3" w:rsidR="00BD0F38" w:rsidRPr="008B1465" w:rsidRDefault="004E4D15" w:rsidP="00E77ACA">
      <w:pPr>
        <w:pStyle w:val="Subtitle0"/>
        <w:rPr>
          <w:rFonts w:ascii="Lato" w:hAnsi="Lato"/>
        </w:rPr>
        <w:sectPr w:rsidR="00BD0F38" w:rsidRPr="008B1465"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Pr>
          <w:rFonts w:ascii="Lato" w:hAnsi="Lato"/>
        </w:rPr>
        <w:t>Tennant Creek</w:t>
      </w:r>
      <w:r w:rsidR="00973472">
        <w:rPr>
          <w:rFonts w:ascii="Lato" w:hAnsi="Lato"/>
        </w:rPr>
        <w:t xml:space="preserve"> </w:t>
      </w:r>
      <w:r w:rsidR="003F7C95" w:rsidRPr="008B1465">
        <w:rPr>
          <w:rFonts w:ascii="Lato" w:hAnsi="Lato"/>
        </w:rPr>
        <w:t>– Northern Territory</w:t>
      </w:r>
    </w:p>
    <w:tbl>
      <w:tblPr>
        <w:tblStyle w:val="NTGtable1"/>
        <w:tblW w:w="10348" w:type="dxa"/>
        <w:tblLook w:val="0480" w:firstRow="0" w:lastRow="0" w:firstColumn="1" w:lastColumn="0" w:noHBand="0" w:noVBand="1"/>
      </w:tblPr>
      <w:tblGrid>
        <w:gridCol w:w="2410"/>
        <w:gridCol w:w="7938"/>
      </w:tblGrid>
      <w:tr w:rsidR="00832B35" w:rsidRPr="000D07D6" w14:paraId="546CE74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5EAED47" w14:textId="77777777" w:rsidR="00832B35" w:rsidRPr="000D07D6" w:rsidRDefault="00832B35" w:rsidP="00050358">
            <w:pPr>
              <w:rPr>
                <w:b/>
                <w:color w:val="FFFFFF" w:themeColor="background1"/>
              </w:rPr>
            </w:pPr>
            <w:r w:rsidRPr="000D07D6">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09D7A63" w14:textId="7B3069D2" w:rsidR="00832B35" w:rsidRPr="000D07D6" w:rsidRDefault="00000000"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16D82A4D3765483A9E4ED49B7AF243B8"/>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4E4D15">
                  <w:t>Tennant Creek Liquor Accord</w:t>
                </w:r>
              </w:sdtContent>
            </w:sdt>
          </w:p>
        </w:tc>
      </w:tr>
      <w:tr w:rsidR="00832B35" w:rsidRPr="000D07D6" w14:paraId="3AFA4CE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0F17B49" w14:textId="77777777" w:rsidR="00832B35" w:rsidRPr="000D07D6" w:rsidRDefault="00832B35" w:rsidP="00050358">
            <w:pPr>
              <w:rPr>
                <w:b/>
                <w:color w:val="FFFFFF" w:themeColor="background1"/>
              </w:rPr>
            </w:pPr>
            <w:r w:rsidRPr="000D07D6">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B13A051" w14:textId="77777777" w:rsidR="00832B35" w:rsidRPr="000D07D6" w:rsidRDefault="00973472">
            <w:pPr>
              <w:cnfStyle w:val="000000010000" w:firstRow="0" w:lastRow="0" w:firstColumn="0" w:lastColumn="0" w:oddVBand="0" w:evenVBand="0" w:oddHBand="0" w:evenHBand="1" w:firstRowFirstColumn="0" w:firstRowLastColumn="0" w:lastRowFirstColumn="0" w:lastRowLastColumn="0"/>
            </w:pPr>
            <w:r w:rsidRPr="00973472">
              <w:t>DirectorLiquorLicensing.DITT@nt.gov.au</w:t>
            </w:r>
          </w:p>
        </w:tc>
      </w:tr>
      <w:tr w:rsidR="00832B35" w:rsidRPr="000D07D6" w14:paraId="52D698C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F65B933" w14:textId="77777777" w:rsidR="00832B35" w:rsidRPr="000D07D6" w:rsidRDefault="00832B35" w:rsidP="00050358">
            <w:pPr>
              <w:rPr>
                <w:b/>
                <w:color w:val="FFFFFF" w:themeColor="background1"/>
              </w:rPr>
            </w:pPr>
            <w:r w:rsidRPr="000D07D6">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C7EAD98" w14:textId="77777777" w:rsidR="00832B35" w:rsidRPr="000D07D6" w:rsidRDefault="001F591A" w:rsidP="00050358">
            <w:pPr>
              <w:cnfStyle w:val="000000100000" w:firstRow="0" w:lastRow="0" w:firstColumn="0" w:lastColumn="0" w:oddVBand="0" w:evenVBand="0" w:oddHBand="1" w:evenHBand="0" w:firstRowFirstColumn="0" w:firstRowLastColumn="0" w:lastRowFirstColumn="0" w:lastRowLastColumn="0"/>
            </w:pPr>
            <w:r w:rsidRPr="000D07D6">
              <w:t>Director of Liquor Licensing</w:t>
            </w:r>
          </w:p>
        </w:tc>
      </w:tr>
      <w:tr w:rsidR="00832B35" w:rsidRPr="000D07D6" w14:paraId="089532E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DAFEE2D" w14:textId="77777777" w:rsidR="00832B35" w:rsidRPr="000D07D6" w:rsidRDefault="00832B35" w:rsidP="00050358">
            <w:pPr>
              <w:rPr>
                <w:b/>
                <w:color w:val="FFFFFF" w:themeColor="background1"/>
              </w:rPr>
            </w:pPr>
            <w:r w:rsidRPr="000D07D6">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150ECB2" w14:textId="77777777" w:rsidR="00832B35" w:rsidRPr="000D07D6" w:rsidRDefault="00832B35" w:rsidP="00050358">
            <w:pPr>
              <w:cnfStyle w:val="000000010000" w:firstRow="0" w:lastRow="0" w:firstColumn="0" w:lastColumn="0" w:oddVBand="0" w:evenVBand="0" w:oddHBand="0" w:evenHBand="1" w:firstRowFirstColumn="0" w:firstRowLastColumn="0" w:lastRowFirstColumn="0" w:lastRowLastColumn="0"/>
            </w:pPr>
          </w:p>
        </w:tc>
      </w:tr>
      <w:tr w:rsidR="00832B35" w:rsidRPr="000D07D6" w14:paraId="4B5E25F2"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ECF3B6F" w14:textId="77777777" w:rsidR="00832B35" w:rsidRPr="000D07D6" w:rsidRDefault="00832B35" w:rsidP="00050358">
            <w:pPr>
              <w:rPr>
                <w:b/>
                <w:color w:val="FFFFFF" w:themeColor="background1"/>
              </w:rPr>
            </w:pPr>
            <w:r w:rsidRPr="000D07D6">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4F27F7E7" w14:textId="06904A21" w:rsidR="00832B35" w:rsidRPr="000D07D6" w:rsidRDefault="004E4D15" w:rsidP="00050358">
            <w:pPr>
              <w:cnfStyle w:val="000000100000" w:firstRow="0" w:lastRow="0" w:firstColumn="0" w:lastColumn="0" w:oddVBand="0" w:evenVBand="0" w:oddHBand="1" w:evenHBand="0" w:firstRowFirstColumn="0" w:firstRowLastColumn="0" w:lastRowFirstColumn="0" w:lastRowLastColumn="0"/>
            </w:pPr>
            <w:r>
              <w:t>1</w:t>
            </w:r>
            <w:r w:rsidR="00E167A1">
              <w:t xml:space="preserve"> year</w:t>
            </w:r>
          </w:p>
        </w:tc>
      </w:tr>
      <w:tr w:rsidR="00832B35" w:rsidRPr="000D07D6" w14:paraId="209836DE"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75E28443" w14:textId="77777777" w:rsidR="00832B35" w:rsidRPr="000D07D6" w:rsidRDefault="00832B35" w:rsidP="00050358">
            <w:pPr>
              <w:rPr>
                <w:b/>
                <w:color w:val="FFFFFF" w:themeColor="background1"/>
              </w:rPr>
            </w:pPr>
            <w:r w:rsidRPr="000D07D6">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0DF8E5E5" w14:textId="77777777" w:rsidR="00832B35" w:rsidRPr="000D07D6" w:rsidRDefault="00832B35" w:rsidP="00050358">
            <w:pPr>
              <w:cnfStyle w:val="000000010000" w:firstRow="0" w:lastRow="0" w:firstColumn="0" w:lastColumn="0" w:oddVBand="0" w:evenVBand="0" w:oddHBand="0" w:evenHBand="1" w:firstRowFirstColumn="0" w:firstRowLastColumn="0" w:lastRowFirstColumn="0" w:lastRowLastColumn="0"/>
            </w:pPr>
          </w:p>
        </w:tc>
      </w:tr>
    </w:tbl>
    <w:p w14:paraId="0A7DB0BA" w14:textId="77777777" w:rsidR="00832B35" w:rsidRPr="000D07D6"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D07D6" w14:paraId="5D6E3891"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2F18D64" w14:textId="77777777" w:rsidR="003223FE" w:rsidRPr="000D07D6" w:rsidRDefault="003223FE" w:rsidP="00050358">
            <w:r w:rsidRPr="000D07D6">
              <w:t>Version</w:t>
            </w:r>
          </w:p>
        </w:tc>
        <w:tc>
          <w:tcPr>
            <w:cnfStyle w:val="000001000000" w:firstRow="0" w:lastRow="0" w:firstColumn="0" w:lastColumn="0" w:oddVBand="0" w:evenVBand="1" w:oddHBand="0" w:evenHBand="0" w:firstRowFirstColumn="0" w:firstRowLastColumn="0" w:lastRowFirstColumn="0" w:lastRowLastColumn="0"/>
            <w:tcW w:w="2268" w:type="dxa"/>
          </w:tcPr>
          <w:p w14:paraId="57C9E32F" w14:textId="77777777" w:rsidR="003223FE" w:rsidRPr="000D07D6" w:rsidRDefault="003223FE" w:rsidP="00050358">
            <w:r w:rsidRPr="000D07D6">
              <w:t>Date</w:t>
            </w:r>
          </w:p>
        </w:tc>
        <w:tc>
          <w:tcPr>
            <w:cnfStyle w:val="000010000000" w:firstRow="0" w:lastRow="0" w:firstColumn="0" w:lastColumn="0" w:oddVBand="1" w:evenVBand="0" w:oddHBand="0" w:evenHBand="0" w:firstRowFirstColumn="0" w:firstRowLastColumn="0" w:lastRowFirstColumn="0" w:lastRowLastColumn="0"/>
            <w:tcW w:w="2551" w:type="dxa"/>
          </w:tcPr>
          <w:p w14:paraId="771D6234" w14:textId="77777777" w:rsidR="003223FE" w:rsidRPr="000D07D6" w:rsidRDefault="003223FE" w:rsidP="00050358">
            <w:r w:rsidRPr="000D07D6">
              <w:t>Author</w:t>
            </w:r>
          </w:p>
        </w:tc>
        <w:tc>
          <w:tcPr>
            <w:cnfStyle w:val="000100001000" w:firstRow="0" w:lastRow="0" w:firstColumn="0" w:lastColumn="1" w:oddVBand="0" w:evenVBand="0" w:oddHBand="0" w:evenHBand="0" w:firstRowFirstColumn="0" w:firstRowLastColumn="1" w:lastRowFirstColumn="0" w:lastRowLastColumn="0"/>
            <w:tcW w:w="4394" w:type="dxa"/>
          </w:tcPr>
          <w:p w14:paraId="3D4D66D1" w14:textId="77777777" w:rsidR="003223FE" w:rsidRPr="000D07D6" w:rsidRDefault="003223FE" w:rsidP="00050358">
            <w:r w:rsidRPr="000D07D6">
              <w:t>Changes made</w:t>
            </w:r>
          </w:p>
        </w:tc>
      </w:tr>
      <w:tr w:rsidR="003223FE" w:rsidRPr="000D07D6" w14:paraId="4FA730F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87CE7F1" w14:textId="77777777" w:rsidR="003223FE" w:rsidRPr="000D07D6" w:rsidRDefault="001F591A" w:rsidP="00050358">
            <w:r w:rsidRPr="000D07D6">
              <w:t>1.0</w:t>
            </w:r>
          </w:p>
        </w:tc>
        <w:tc>
          <w:tcPr>
            <w:cnfStyle w:val="000001000000" w:firstRow="0" w:lastRow="0" w:firstColumn="0" w:lastColumn="0" w:oddVBand="0" w:evenVBand="1" w:oddHBand="0" w:evenHBand="0" w:firstRowFirstColumn="0" w:firstRowLastColumn="0" w:lastRowFirstColumn="0" w:lastRowLastColumn="0"/>
            <w:tcW w:w="2268" w:type="dxa"/>
          </w:tcPr>
          <w:p w14:paraId="1ADAFD84" w14:textId="36509B7C" w:rsidR="003223FE" w:rsidRPr="000D07D6" w:rsidRDefault="004E4D15" w:rsidP="00973472">
            <w:r>
              <w:t>11 October</w:t>
            </w:r>
            <w:r w:rsidR="00817982">
              <w:t xml:space="preserve"> 20</w:t>
            </w:r>
            <w:r>
              <w:t>23</w:t>
            </w:r>
          </w:p>
        </w:tc>
        <w:tc>
          <w:tcPr>
            <w:cnfStyle w:val="000010000000" w:firstRow="0" w:lastRow="0" w:firstColumn="0" w:lastColumn="0" w:oddVBand="1" w:evenVBand="0" w:oddHBand="0" w:evenHBand="0" w:firstRowFirstColumn="0" w:firstRowLastColumn="0" w:lastRowFirstColumn="0" w:lastRowLastColumn="0"/>
            <w:tcW w:w="2551" w:type="dxa"/>
          </w:tcPr>
          <w:p w14:paraId="5E3C792F" w14:textId="6AB10114" w:rsidR="003223FE" w:rsidRPr="000D07D6" w:rsidRDefault="004E4D15" w:rsidP="00050358">
            <w:r>
              <w:t>Sarah Andrews</w:t>
            </w:r>
            <w:r w:rsidR="00C16CA8">
              <w:t xml:space="preserve">, Hospitality NT </w:t>
            </w:r>
            <w:r>
              <w:t xml:space="preserve"> </w:t>
            </w:r>
          </w:p>
        </w:tc>
        <w:tc>
          <w:tcPr>
            <w:cnfStyle w:val="000100000000" w:firstRow="0" w:lastRow="0" w:firstColumn="0" w:lastColumn="1" w:oddVBand="0" w:evenVBand="0" w:oddHBand="0" w:evenHBand="0" w:firstRowFirstColumn="0" w:firstRowLastColumn="0" w:lastRowFirstColumn="0" w:lastRowLastColumn="0"/>
            <w:tcW w:w="4394" w:type="dxa"/>
          </w:tcPr>
          <w:p w14:paraId="5101DDCF" w14:textId="57B1E20F" w:rsidR="003223FE" w:rsidRPr="000D07D6" w:rsidRDefault="00285A6B" w:rsidP="00050358">
            <w:r>
              <w:t xml:space="preserve">The </w:t>
            </w:r>
            <w:r w:rsidR="004E4D15">
              <w:t xml:space="preserve">re-establishment of the Tennant Creek </w:t>
            </w:r>
            <w:r w:rsidR="00817982">
              <w:t>Liquor Accord 20</w:t>
            </w:r>
            <w:r w:rsidR="004E4D15">
              <w:t xml:space="preserve">23 on the new </w:t>
            </w:r>
            <w:r w:rsidR="00C16CA8">
              <w:t xml:space="preserve">Licensing </w:t>
            </w:r>
            <w:r w:rsidR="004E4D15">
              <w:t>format</w:t>
            </w:r>
          </w:p>
        </w:tc>
      </w:tr>
      <w:tr w:rsidR="003223FE" w:rsidRPr="000D07D6" w14:paraId="44D8784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5C0DE9EA" w14:textId="25864D3E" w:rsidR="003223FE" w:rsidRPr="000D07D6"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1CD397B7" w14:textId="5A8B8363" w:rsidR="003223FE" w:rsidRPr="000D07D6"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7C701BEC" w14:textId="318F1E55" w:rsidR="003223FE" w:rsidRPr="000D07D6"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73EC21C5" w14:textId="3EFAAB6C" w:rsidR="003223FE" w:rsidRPr="000D07D6" w:rsidRDefault="003223FE" w:rsidP="00050358"/>
        </w:tc>
      </w:tr>
      <w:tr w:rsidR="003223FE" w:rsidRPr="000D07D6" w14:paraId="6F6FF1D9" w14:textId="77777777" w:rsidTr="00B24B1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F8B236B" w14:textId="0E9683F7" w:rsidR="003223FE" w:rsidRPr="000D07D6"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Pr>
          <w:p w14:paraId="57DAA1BA" w14:textId="3F514EA8" w:rsidR="003223FE" w:rsidRPr="000D07D6"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Pr>
          <w:p w14:paraId="797B3EF3" w14:textId="2D435827" w:rsidR="003223FE" w:rsidRPr="000D07D6"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Pr>
          <w:p w14:paraId="082ADD14" w14:textId="0B9990D6" w:rsidR="003223FE" w:rsidRPr="000D07D6" w:rsidRDefault="003223FE" w:rsidP="00050358"/>
        </w:tc>
      </w:tr>
    </w:tbl>
    <w:p w14:paraId="52919826" w14:textId="77777777" w:rsidR="003223FE" w:rsidRPr="000D07D6" w:rsidRDefault="003223FE" w:rsidP="00702D61"/>
    <w:p w14:paraId="3686D1F5" w14:textId="77777777" w:rsidR="00702D61" w:rsidRPr="000D07D6" w:rsidRDefault="00702D61" w:rsidP="00702D61">
      <w:r w:rsidRPr="000D07D6">
        <w:br w:type="page"/>
      </w:r>
    </w:p>
    <w:sdt>
      <w:sdtPr>
        <w:rPr>
          <w:rFonts w:ascii="Lato" w:eastAsia="Calibri" w:hAnsi="Lato" w:cs="Times New Roman"/>
          <w:bCs w:val="0"/>
          <w:color w:val="auto"/>
          <w:sz w:val="22"/>
          <w:szCs w:val="22"/>
        </w:rPr>
        <w:id w:val="-1971816929"/>
        <w:docPartObj>
          <w:docPartGallery w:val="Table of Contents"/>
          <w:docPartUnique/>
        </w:docPartObj>
      </w:sdtPr>
      <w:sdtEndPr>
        <w:rPr>
          <w:b/>
          <w:noProof/>
        </w:rPr>
      </w:sdtEndPr>
      <w:sdtContent>
        <w:p w14:paraId="6D3169E9" w14:textId="77777777" w:rsidR="00914C29" w:rsidRDefault="00914C29">
          <w:pPr>
            <w:pStyle w:val="TOCHeading"/>
          </w:pPr>
          <w:r>
            <w:t>Contents</w:t>
          </w:r>
        </w:p>
        <w:p w14:paraId="64765C9F" w14:textId="47DD900D" w:rsidR="000C0352" w:rsidRDefault="00914C29">
          <w:pPr>
            <w:pStyle w:val="TOC1"/>
            <w:rPr>
              <w:rFonts w:asciiTheme="minorHAnsi" w:eastAsiaTheme="minorEastAsia" w:hAnsiTheme="minorHAnsi" w:cstheme="minorBidi"/>
              <w:b w:val="0"/>
              <w:noProof/>
              <w:kern w:val="2"/>
              <w:lang w:eastAsia="en-AU"/>
              <w14:ligatures w14:val="standardContextual"/>
            </w:rPr>
          </w:pPr>
          <w:r>
            <w:fldChar w:fldCharType="begin"/>
          </w:r>
          <w:r>
            <w:instrText xml:space="preserve"> TOC \o "1-3" \h \z \u </w:instrText>
          </w:r>
          <w:r>
            <w:fldChar w:fldCharType="separate"/>
          </w:r>
          <w:hyperlink w:anchor="_Toc159581453" w:history="1">
            <w:r w:rsidR="000C0352" w:rsidRPr="00464510">
              <w:rPr>
                <w:rStyle w:val="Hyperlink"/>
                <w:noProof/>
              </w:rPr>
              <w:t>1. Introduction</w:t>
            </w:r>
            <w:r w:rsidR="000C0352">
              <w:rPr>
                <w:noProof/>
                <w:webHidden/>
              </w:rPr>
              <w:tab/>
            </w:r>
            <w:r w:rsidR="000C0352">
              <w:rPr>
                <w:noProof/>
                <w:webHidden/>
              </w:rPr>
              <w:fldChar w:fldCharType="begin"/>
            </w:r>
            <w:r w:rsidR="000C0352">
              <w:rPr>
                <w:noProof/>
                <w:webHidden/>
              </w:rPr>
              <w:instrText xml:space="preserve"> PAGEREF _Toc159581453 \h </w:instrText>
            </w:r>
            <w:r w:rsidR="000C0352">
              <w:rPr>
                <w:noProof/>
                <w:webHidden/>
              </w:rPr>
            </w:r>
            <w:r w:rsidR="000C0352">
              <w:rPr>
                <w:noProof/>
                <w:webHidden/>
              </w:rPr>
              <w:fldChar w:fldCharType="separate"/>
            </w:r>
            <w:r w:rsidR="000C0352">
              <w:rPr>
                <w:noProof/>
                <w:webHidden/>
              </w:rPr>
              <w:t>4</w:t>
            </w:r>
            <w:r w:rsidR="000C0352">
              <w:rPr>
                <w:noProof/>
                <w:webHidden/>
              </w:rPr>
              <w:fldChar w:fldCharType="end"/>
            </w:r>
          </w:hyperlink>
        </w:p>
        <w:p w14:paraId="2BCC2105" w14:textId="36258B11"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54" w:history="1">
            <w:r w:rsidR="000C0352" w:rsidRPr="00464510">
              <w:rPr>
                <w:rStyle w:val="Hyperlink"/>
                <w:noProof/>
              </w:rPr>
              <w:t>2. How it works</w:t>
            </w:r>
            <w:r w:rsidR="000C0352">
              <w:rPr>
                <w:noProof/>
                <w:webHidden/>
              </w:rPr>
              <w:tab/>
            </w:r>
            <w:r w:rsidR="000C0352">
              <w:rPr>
                <w:noProof/>
                <w:webHidden/>
              </w:rPr>
              <w:fldChar w:fldCharType="begin"/>
            </w:r>
            <w:r w:rsidR="000C0352">
              <w:rPr>
                <w:noProof/>
                <w:webHidden/>
              </w:rPr>
              <w:instrText xml:space="preserve"> PAGEREF _Toc159581454 \h </w:instrText>
            </w:r>
            <w:r w:rsidR="000C0352">
              <w:rPr>
                <w:noProof/>
                <w:webHidden/>
              </w:rPr>
            </w:r>
            <w:r w:rsidR="000C0352">
              <w:rPr>
                <w:noProof/>
                <w:webHidden/>
              </w:rPr>
              <w:fldChar w:fldCharType="separate"/>
            </w:r>
            <w:r w:rsidR="000C0352">
              <w:rPr>
                <w:noProof/>
                <w:webHidden/>
              </w:rPr>
              <w:t>4</w:t>
            </w:r>
            <w:r w:rsidR="000C0352">
              <w:rPr>
                <w:noProof/>
                <w:webHidden/>
              </w:rPr>
              <w:fldChar w:fldCharType="end"/>
            </w:r>
          </w:hyperlink>
        </w:p>
        <w:p w14:paraId="511B8DD0" w14:textId="321FB198"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55" w:history="1">
            <w:r w:rsidR="000C0352" w:rsidRPr="00464510">
              <w:rPr>
                <w:rStyle w:val="Hyperlink"/>
                <w:noProof/>
              </w:rPr>
              <w:t>2.1. Accord members</w:t>
            </w:r>
            <w:r w:rsidR="000C0352">
              <w:rPr>
                <w:noProof/>
                <w:webHidden/>
              </w:rPr>
              <w:tab/>
            </w:r>
            <w:r w:rsidR="000C0352">
              <w:rPr>
                <w:noProof/>
                <w:webHidden/>
              </w:rPr>
              <w:fldChar w:fldCharType="begin"/>
            </w:r>
            <w:r w:rsidR="000C0352">
              <w:rPr>
                <w:noProof/>
                <w:webHidden/>
              </w:rPr>
              <w:instrText xml:space="preserve"> PAGEREF _Toc159581455 \h </w:instrText>
            </w:r>
            <w:r w:rsidR="000C0352">
              <w:rPr>
                <w:noProof/>
                <w:webHidden/>
              </w:rPr>
            </w:r>
            <w:r w:rsidR="000C0352">
              <w:rPr>
                <w:noProof/>
                <w:webHidden/>
              </w:rPr>
              <w:fldChar w:fldCharType="separate"/>
            </w:r>
            <w:r w:rsidR="000C0352">
              <w:rPr>
                <w:noProof/>
                <w:webHidden/>
              </w:rPr>
              <w:t>4</w:t>
            </w:r>
            <w:r w:rsidR="000C0352">
              <w:rPr>
                <w:noProof/>
                <w:webHidden/>
              </w:rPr>
              <w:fldChar w:fldCharType="end"/>
            </w:r>
          </w:hyperlink>
        </w:p>
        <w:p w14:paraId="291C4BF7" w14:textId="430C4F7E"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56" w:history="1">
            <w:r w:rsidR="000C0352" w:rsidRPr="00464510">
              <w:rPr>
                <w:rStyle w:val="Hyperlink"/>
                <w:noProof/>
              </w:rPr>
              <w:t>2.2. Accord Advisers</w:t>
            </w:r>
            <w:r w:rsidR="000C0352">
              <w:rPr>
                <w:noProof/>
                <w:webHidden/>
              </w:rPr>
              <w:tab/>
            </w:r>
            <w:r w:rsidR="000C0352">
              <w:rPr>
                <w:noProof/>
                <w:webHidden/>
              </w:rPr>
              <w:fldChar w:fldCharType="begin"/>
            </w:r>
            <w:r w:rsidR="000C0352">
              <w:rPr>
                <w:noProof/>
                <w:webHidden/>
              </w:rPr>
              <w:instrText xml:space="preserve"> PAGEREF _Toc159581456 \h </w:instrText>
            </w:r>
            <w:r w:rsidR="000C0352">
              <w:rPr>
                <w:noProof/>
                <w:webHidden/>
              </w:rPr>
            </w:r>
            <w:r w:rsidR="000C0352">
              <w:rPr>
                <w:noProof/>
                <w:webHidden/>
              </w:rPr>
              <w:fldChar w:fldCharType="separate"/>
            </w:r>
            <w:r w:rsidR="000C0352">
              <w:rPr>
                <w:noProof/>
                <w:webHidden/>
              </w:rPr>
              <w:t>4</w:t>
            </w:r>
            <w:r w:rsidR="000C0352">
              <w:rPr>
                <w:noProof/>
                <w:webHidden/>
              </w:rPr>
              <w:fldChar w:fldCharType="end"/>
            </w:r>
          </w:hyperlink>
        </w:p>
        <w:p w14:paraId="3D9B0FAF" w14:textId="14C5D751"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57" w:history="1">
            <w:r w:rsidR="000C0352" w:rsidRPr="00464510">
              <w:rPr>
                <w:rStyle w:val="Hyperlink"/>
                <w:noProof/>
              </w:rPr>
              <w:t>2.3. Accord Coordinator</w:t>
            </w:r>
            <w:r w:rsidR="000C0352">
              <w:rPr>
                <w:noProof/>
                <w:webHidden/>
              </w:rPr>
              <w:tab/>
            </w:r>
            <w:r w:rsidR="000C0352">
              <w:rPr>
                <w:noProof/>
                <w:webHidden/>
              </w:rPr>
              <w:fldChar w:fldCharType="begin"/>
            </w:r>
            <w:r w:rsidR="000C0352">
              <w:rPr>
                <w:noProof/>
                <w:webHidden/>
              </w:rPr>
              <w:instrText xml:space="preserve"> PAGEREF _Toc159581457 \h </w:instrText>
            </w:r>
            <w:r w:rsidR="000C0352">
              <w:rPr>
                <w:noProof/>
                <w:webHidden/>
              </w:rPr>
            </w:r>
            <w:r w:rsidR="000C0352">
              <w:rPr>
                <w:noProof/>
                <w:webHidden/>
              </w:rPr>
              <w:fldChar w:fldCharType="separate"/>
            </w:r>
            <w:r w:rsidR="000C0352">
              <w:rPr>
                <w:noProof/>
                <w:webHidden/>
              </w:rPr>
              <w:t>5</w:t>
            </w:r>
            <w:r w:rsidR="000C0352">
              <w:rPr>
                <w:noProof/>
                <w:webHidden/>
              </w:rPr>
              <w:fldChar w:fldCharType="end"/>
            </w:r>
          </w:hyperlink>
        </w:p>
        <w:p w14:paraId="00B574F6" w14:textId="73775A0D"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58" w:history="1">
            <w:r w:rsidR="000C0352" w:rsidRPr="00464510">
              <w:rPr>
                <w:rStyle w:val="Hyperlink"/>
                <w:noProof/>
              </w:rPr>
              <w:t>2.4. Monitoring and Review of Accord</w:t>
            </w:r>
            <w:r w:rsidR="000C0352">
              <w:rPr>
                <w:noProof/>
                <w:webHidden/>
              </w:rPr>
              <w:tab/>
            </w:r>
            <w:r w:rsidR="000C0352">
              <w:rPr>
                <w:noProof/>
                <w:webHidden/>
              </w:rPr>
              <w:fldChar w:fldCharType="begin"/>
            </w:r>
            <w:r w:rsidR="000C0352">
              <w:rPr>
                <w:noProof/>
                <w:webHidden/>
              </w:rPr>
              <w:instrText xml:space="preserve"> PAGEREF _Toc159581458 \h </w:instrText>
            </w:r>
            <w:r w:rsidR="000C0352">
              <w:rPr>
                <w:noProof/>
                <w:webHidden/>
              </w:rPr>
            </w:r>
            <w:r w:rsidR="000C0352">
              <w:rPr>
                <w:noProof/>
                <w:webHidden/>
              </w:rPr>
              <w:fldChar w:fldCharType="separate"/>
            </w:r>
            <w:r w:rsidR="000C0352">
              <w:rPr>
                <w:noProof/>
                <w:webHidden/>
              </w:rPr>
              <w:t>5</w:t>
            </w:r>
            <w:r w:rsidR="000C0352">
              <w:rPr>
                <w:noProof/>
                <w:webHidden/>
              </w:rPr>
              <w:fldChar w:fldCharType="end"/>
            </w:r>
          </w:hyperlink>
        </w:p>
        <w:p w14:paraId="4C54A050" w14:textId="570C51F7"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59" w:history="1">
            <w:r w:rsidR="000C0352" w:rsidRPr="00464510">
              <w:rPr>
                <w:rStyle w:val="Hyperlink"/>
                <w:noProof/>
              </w:rPr>
              <w:t>2.5. Frequency of meetings</w:t>
            </w:r>
            <w:r w:rsidR="000C0352">
              <w:rPr>
                <w:noProof/>
                <w:webHidden/>
              </w:rPr>
              <w:tab/>
            </w:r>
            <w:r w:rsidR="000C0352">
              <w:rPr>
                <w:noProof/>
                <w:webHidden/>
              </w:rPr>
              <w:fldChar w:fldCharType="begin"/>
            </w:r>
            <w:r w:rsidR="000C0352">
              <w:rPr>
                <w:noProof/>
                <w:webHidden/>
              </w:rPr>
              <w:instrText xml:space="preserve"> PAGEREF _Toc159581459 \h </w:instrText>
            </w:r>
            <w:r w:rsidR="000C0352">
              <w:rPr>
                <w:noProof/>
                <w:webHidden/>
              </w:rPr>
            </w:r>
            <w:r w:rsidR="000C0352">
              <w:rPr>
                <w:noProof/>
                <w:webHidden/>
              </w:rPr>
              <w:fldChar w:fldCharType="separate"/>
            </w:r>
            <w:r w:rsidR="000C0352">
              <w:rPr>
                <w:noProof/>
                <w:webHidden/>
              </w:rPr>
              <w:t>5</w:t>
            </w:r>
            <w:r w:rsidR="000C0352">
              <w:rPr>
                <w:noProof/>
                <w:webHidden/>
              </w:rPr>
              <w:fldChar w:fldCharType="end"/>
            </w:r>
          </w:hyperlink>
        </w:p>
        <w:p w14:paraId="6596F793" w14:textId="6F5CDC89"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60" w:history="1">
            <w:r w:rsidR="000C0352" w:rsidRPr="00464510">
              <w:rPr>
                <w:rStyle w:val="Hyperlink"/>
                <w:noProof/>
              </w:rPr>
              <w:t>2.6. Accord area</w:t>
            </w:r>
            <w:r w:rsidR="000C0352">
              <w:rPr>
                <w:noProof/>
                <w:webHidden/>
              </w:rPr>
              <w:tab/>
            </w:r>
            <w:r w:rsidR="000C0352">
              <w:rPr>
                <w:noProof/>
                <w:webHidden/>
              </w:rPr>
              <w:fldChar w:fldCharType="begin"/>
            </w:r>
            <w:r w:rsidR="000C0352">
              <w:rPr>
                <w:noProof/>
                <w:webHidden/>
              </w:rPr>
              <w:instrText xml:space="preserve"> PAGEREF _Toc159581460 \h </w:instrText>
            </w:r>
            <w:r w:rsidR="000C0352">
              <w:rPr>
                <w:noProof/>
                <w:webHidden/>
              </w:rPr>
            </w:r>
            <w:r w:rsidR="000C0352">
              <w:rPr>
                <w:noProof/>
                <w:webHidden/>
              </w:rPr>
              <w:fldChar w:fldCharType="separate"/>
            </w:r>
            <w:r w:rsidR="000C0352">
              <w:rPr>
                <w:noProof/>
                <w:webHidden/>
              </w:rPr>
              <w:t>5</w:t>
            </w:r>
            <w:r w:rsidR="000C0352">
              <w:rPr>
                <w:noProof/>
                <w:webHidden/>
              </w:rPr>
              <w:fldChar w:fldCharType="end"/>
            </w:r>
          </w:hyperlink>
        </w:p>
        <w:p w14:paraId="6BA4B7E3" w14:textId="6922F036"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61" w:history="1">
            <w:r w:rsidR="000C0352" w:rsidRPr="00464510">
              <w:rPr>
                <w:rStyle w:val="Hyperlink"/>
                <w:noProof/>
              </w:rPr>
              <w:t>3. Accord principles</w:t>
            </w:r>
            <w:r w:rsidR="000C0352">
              <w:rPr>
                <w:noProof/>
                <w:webHidden/>
              </w:rPr>
              <w:tab/>
            </w:r>
            <w:r w:rsidR="000C0352">
              <w:rPr>
                <w:noProof/>
                <w:webHidden/>
              </w:rPr>
              <w:fldChar w:fldCharType="begin"/>
            </w:r>
            <w:r w:rsidR="000C0352">
              <w:rPr>
                <w:noProof/>
                <w:webHidden/>
              </w:rPr>
              <w:instrText xml:space="preserve"> PAGEREF _Toc159581461 \h </w:instrText>
            </w:r>
            <w:r w:rsidR="000C0352">
              <w:rPr>
                <w:noProof/>
                <w:webHidden/>
              </w:rPr>
            </w:r>
            <w:r w:rsidR="000C0352">
              <w:rPr>
                <w:noProof/>
                <w:webHidden/>
              </w:rPr>
              <w:fldChar w:fldCharType="separate"/>
            </w:r>
            <w:r w:rsidR="000C0352">
              <w:rPr>
                <w:noProof/>
                <w:webHidden/>
              </w:rPr>
              <w:t>5</w:t>
            </w:r>
            <w:r w:rsidR="000C0352">
              <w:rPr>
                <w:noProof/>
                <w:webHidden/>
              </w:rPr>
              <w:fldChar w:fldCharType="end"/>
            </w:r>
          </w:hyperlink>
        </w:p>
        <w:p w14:paraId="292F787A" w14:textId="09C83E49"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62" w:history="1">
            <w:r w:rsidR="000C0352" w:rsidRPr="00464510">
              <w:rPr>
                <w:rStyle w:val="Hyperlink"/>
                <w:noProof/>
              </w:rPr>
              <w:t>4. Accord Objectives</w:t>
            </w:r>
            <w:r w:rsidR="000C0352">
              <w:rPr>
                <w:noProof/>
                <w:webHidden/>
              </w:rPr>
              <w:tab/>
            </w:r>
            <w:r w:rsidR="000C0352">
              <w:rPr>
                <w:noProof/>
                <w:webHidden/>
              </w:rPr>
              <w:fldChar w:fldCharType="begin"/>
            </w:r>
            <w:r w:rsidR="000C0352">
              <w:rPr>
                <w:noProof/>
                <w:webHidden/>
              </w:rPr>
              <w:instrText xml:space="preserve"> PAGEREF _Toc159581462 \h </w:instrText>
            </w:r>
            <w:r w:rsidR="000C0352">
              <w:rPr>
                <w:noProof/>
                <w:webHidden/>
              </w:rPr>
            </w:r>
            <w:r w:rsidR="000C0352">
              <w:rPr>
                <w:noProof/>
                <w:webHidden/>
              </w:rPr>
              <w:fldChar w:fldCharType="separate"/>
            </w:r>
            <w:r w:rsidR="000C0352">
              <w:rPr>
                <w:noProof/>
                <w:webHidden/>
              </w:rPr>
              <w:t>5</w:t>
            </w:r>
            <w:r w:rsidR="000C0352">
              <w:rPr>
                <w:noProof/>
                <w:webHidden/>
              </w:rPr>
              <w:fldChar w:fldCharType="end"/>
            </w:r>
          </w:hyperlink>
        </w:p>
        <w:p w14:paraId="1D2DA149" w14:textId="0D13F799"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63" w:history="1">
            <w:r w:rsidR="000C0352" w:rsidRPr="00464510">
              <w:rPr>
                <w:rStyle w:val="Hyperlink"/>
                <w:noProof/>
              </w:rPr>
              <w:t>5. Accord Strategies</w:t>
            </w:r>
            <w:r w:rsidR="000C0352">
              <w:rPr>
                <w:noProof/>
                <w:webHidden/>
              </w:rPr>
              <w:tab/>
            </w:r>
            <w:r w:rsidR="000C0352">
              <w:rPr>
                <w:noProof/>
                <w:webHidden/>
              </w:rPr>
              <w:fldChar w:fldCharType="begin"/>
            </w:r>
            <w:r w:rsidR="000C0352">
              <w:rPr>
                <w:noProof/>
                <w:webHidden/>
              </w:rPr>
              <w:instrText xml:space="preserve"> PAGEREF _Toc159581463 \h </w:instrText>
            </w:r>
            <w:r w:rsidR="000C0352">
              <w:rPr>
                <w:noProof/>
                <w:webHidden/>
              </w:rPr>
            </w:r>
            <w:r w:rsidR="000C0352">
              <w:rPr>
                <w:noProof/>
                <w:webHidden/>
              </w:rPr>
              <w:fldChar w:fldCharType="separate"/>
            </w:r>
            <w:r w:rsidR="000C0352">
              <w:rPr>
                <w:noProof/>
                <w:webHidden/>
              </w:rPr>
              <w:t>6</w:t>
            </w:r>
            <w:r w:rsidR="000C0352">
              <w:rPr>
                <w:noProof/>
                <w:webHidden/>
              </w:rPr>
              <w:fldChar w:fldCharType="end"/>
            </w:r>
          </w:hyperlink>
        </w:p>
        <w:p w14:paraId="7A913380" w14:textId="21D7EB1D"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64" w:history="1">
            <w:r w:rsidR="000C0352" w:rsidRPr="00464510">
              <w:rPr>
                <w:rStyle w:val="Hyperlink"/>
                <w:noProof/>
              </w:rPr>
              <w:t>5.1. Commitment from Licensees</w:t>
            </w:r>
            <w:r w:rsidR="000C0352">
              <w:rPr>
                <w:noProof/>
                <w:webHidden/>
              </w:rPr>
              <w:tab/>
            </w:r>
            <w:r w:rsidR="000C0352">
              <w:rPr>
                <w:noProof/>
                <w:webHidden/>
              </w:rPr>
              <w:fldChar w:fldCharType="begin"/>
            </w:r>
            <w:r w:rsidR="000C0352">
              <w:rPr>
                <w:noProof/>
                <w:webHidden/>
              </w:rPr>
              <w:instrText xml:space="preserve"> PAGEREF _Toc159581464 \h </w:instrText>
            </w:r>
            <w:r w:rsidR="000C0352">
              <w:rPr>
                <w:noProof/>
                <w:webHidden/>
              </w:rPr>
            </w:r>
            <w:r w:rsidR="000C0352">
              <w:rPr>
                <w:noProof/>
                <w:webHidden/>
              </w:rPr>
              <w:fldChar w:fldCharType="separate"/>
            </w:r>
            <w:r w:rsidR="000C0352">
              <w:rPr>
                <w:noProof/>
                <w:webHidden/>
              </w:rPr>
              <w:t>6</w:t>
            </w:r>
            <w:r w:rsidR="000C0352">
              <w:rPr>
                <w:noProof/>
                <w:webHidden/>
              </w:rPr>
              <w:fldChar w:fldCharType="end"/>
            </w:r>
          </w:hyperlink>
        </w:p>
        <w:p w14:paraId="2F71A85E" w14:textId="5E94F572"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65" w:history="1">
            <w:r w:rsidR="000C0352" w:rsidRPr="00464510">
              <w:rPr>
                <w:rStyle w:val="Hyperlink"/>
                <w:noProof/>
              </w:rPr>
              <w:t>5.2. Safety and security</w:t>
            </w:r>
            <w:r w:rsidR="000C0352">
              <w:rPr>
                <w:noProof/>
                <w:webHidden/>
              </w:rPr>
              <w:tab/>
            </w:r>
            <w:r w:rsidR="000C0352">
              <w:rPr>
                <w:noProof/>
                <w:webHidden/>
              </w:rPr>
              <w:fldChar w:fldCharType="begin"/>
            </w:r>
            <w:r w:rsidR="000C0352">
              <w:rPr>
                <w:noProof/>
                <w:webHidden/>
              </w:rPr>
              <w:instrText xml:space="preserve"> PAGEREF _Toc159581465 \h </w:instrText>
            </w:r>
            <w:r w:rsidR="000C0352">
              <w:rPr>
                <w:noProof/>
                <w:webHidden/>
              </w:rPr>
            </w:r>
            <w:r w:rsidR="000C0352">
              <w:rPr>
                <w:noProof/>
                <w:webHidden/>
              </w:rPr>
              <w:fldChar w:fldCharType="separate"/>
            </w:r>
            <w:r w:rsidR="000C0352">
              <w:rPr>
                <w:noProof/>
                <w:webHidden/>
              </w:rPr>
              <w:t>7</w:t>
            </w:r>
            <w:r w:rsidR="000C0352">
              <w:rPr>
                <w:noProof/>
                <w:webHidden/>
              </w:rPr>
              <w:fldChar w:fldCharType="end"/>
            </w:r>
          </w:hyperlink>
        </w:p>
        <w:p w14:paraId="3654E329" w14:textId="2139B4F9"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66" w:history="1">
            <w:r w:rsidR="000C0352" w:rsidRPr="00464510">
              <w:rPr>
                <w:rStyle w:val="Hyperlink"/>
                <w:noProof/>
              </w:rPr>
              <w:t>5.3. Improving the amenity of Tennant Creek</w:t>
            </w:r>
            <w:r w:rsidR="000C0352">
              <w:rPr>
                <w:noProof/>
                <w:webHidden/>
              </w:rPr>
              <w:tab/>
            </w:r>
            <w:r w:rsidR="000C0352">
              <w:rPr>
                <w:noProof/>
                <w:webHidden/>
              </w:rPr>
              <w:fldChar w:fldCharType="begin"/>
            </w:r>
            <w:r w:rsidR="000C0352">
              <w:rPr>
                <w:noProof/>
                <w:webHidden/>
              </w:rPr>
              <w:instrText xml:space="preserve"> PAGEREF _Toc159581466 \h </w:instrText>
            </w:r>
            <w:r w:rsidR="000C0352">
              <w:rPr>
                <w:noProof/>
                <w:webHidden/>
              </w:rPr>
            </w:r>
            <w:r w:rsidR="000C0352">
              <w:rPr>
                <w:noProof/>
                <w:webHidden/>
              </w:rPr>
              <w:fldChar w:fldCharType="separate"/>
            </w:r>
            <w:r w:rsidR="000C0352">
              <w:rPr>
                <w:noProof/>
                <w:webHidden/>
              </w:rPr>
              <w:t>7</w:t>
            </w:r>
            <w:r w:rsidR="000C0352">
              <w:rPr>
                <w:noProof/>
                <w:webHidden/>
              </w:rPr>
              <w:fldChar w:fldCharType="end"/>
            </w:r>
          </w:hyperlink>
        </w:p>
        <w:p w14:paraId="719B5A88" w14:textId="422CCDB7"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67" w:history="1">
            <w:r w:rsidR="000C0352" w:rsidRPr="00464510">
              <w:rPr>
                <w:rStyle w:val="Hyperlink"/>
                <w:noProof/>
              </w:rPr>
              <w:t>5.4. Encouraging the growth of a more responsible drinking culture in Tennant Creek</w:t>
            </w:r>
            <w:r w:rsidR="000C0352">
              <w:rPr>
                <w:noProof/>
                <w:webHidden/>
              </w:rPr>
              <w:tab/>
            </w:r>
            <w:r w:rsidR="000C0352">
              <w:rPr>
                <w:noProof/>
                <w:webHidden/>
              </w:rPr>
              <w:fldChar w:fldCharType="begin"/>
            </w:r>
            <w:r w:rsidR="000C0352">
              <w:rPr>
                <w:noProof/>
                <w:webHidden/>
              </w:rPr>
              <w:instrText xml:space="preserve"> PAGEREF _Toc159581467 \h </w:instrText>
            </w:r>
            <w:r w:rsidR="000C0352">
              <w:rPr>
                <w:noProof/>
                <w:webHidden/>
              </w:rPr>
            </w:r>
            <w:r w:rsidR="000C0352">
              <w:rPr>
                <w:noProof/>
                <w:webHidden/>
              </w:rPr>
              <w:fldChar w:fldCharType="separate"/>
            </w:r>
            <w:r w:rsidR="000C0352">
              <w:rPr>
                <w:noProof/>
                <w:webHidden/>
              </w:rPr>
              <w:t>8</w:t>
            </w:r>
            <w:r w:rsidR="000C0352">
              <w:rPr>
                <w:noProof/>
                <w:webHidden/>
              </w:rPr>
              <w:fldChar w:fldCharType="end"/>
            </w:r>
          </w:hyperlink>
        </w:p>
        <w:p w14:paraId="6FED0DE9" w14:textId="37753127" w:rsidR="000C0352" w:rsidRDefault="00000000">
          <w:pPr>
            <w:pStyle w:val="TOC2"/>
            <w:rPr>
              <w:rFonts w:asciiTheme="minorHAnsi" w:eastAsiaTheme="minorEastAsia" w:hAnsiTheme="minorHAnsi" w:cstheme="minorBidi"/>
              <w:noProof/>
              <w:kern w:val="2"/>
              <w:lang w:eastAsia="en-AU"/>
              <w14:ligatures w14:val="standardContextual"/>
            </w:rPr>
          </w:pPr>
          <w:hyperlink w:anchor="_Toc159581468" w:history="1">
            <w:r w:rsidR="000C0352" w:rsidRPr="00464510">
              <w:rPr>
                <w:rStyle w:val="Hyperlink"/>
                <w:rFonts w:eastAsia="Times New Roman"/>
                <w:noProof/>
              </w:rPr>
              <w:t>5.5. Accord performance indicators</w:t>
            </w:r>
            <w:r w:rsidR="000C0352">
              <w:rPr>
                <w:noProof/>
                <w:webHidden/>
              </w:rPr>
              <w:tab/>
            </w:r>
            <w:r w:rsidR="000C0352">
              <w:rPr>
                <w:noProof/>
                <w:webHidden/>
              </w:rPr>
              <w:fldChar w:fldCharType="begin"/>
            </w:r>
            <w:r w:rsidR="000C0352">
              <w:rPr>
                <w:noProof/>
                <w:webHidden/>
              </w:rPr>
              <w:instrText xml:space="preserve"> PAGEREF _Toc159581468 \h </w:instrText>
            </w:r>
            <w:r w:rsidR="000C0352">
              <w:rPr>
                <w:noProof/>
                <w:webHidden/>
              </w:rPr>
            </w:r>
            <w:r w:rsidR="000C0352">
              <w:rPr>
                <w:noProof/>
                <w:webHidden/>
              </w:rPr>
              <w:fldChar w:fldCharType="separate"/>
            </w:r>
            <w:r w:rsidR="000C0352">
              <w:rPr>
                <w:noProof/>
                <w:webHidden/>
              </w:rPr>
              <w:t>8</w:t>
            </w:r>
            <w:r w:rsidR="000C0352">
              <w:rPr>
                <w:noProof/>
                <w:webHidden/>
              </w:rPr>
              <w:fldChar w:fldCharType="end"/>
            </w:r>
          </w:hyperlink>
        </w:p>
        <w:p w14:paraId="743BA33F" w14:textId="4F791C9E"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69" w:history="1">
            <w:r w:rsidR="000C0352" w:rsidRPr="00464510">
              <w:rPr>
                <w:rStyle w:val="Hyperlink"/>
                <w:noProof/>
              </w:rPr>
              <w:t>6. NT Police</w:t>
            </w:r>
            <w:r w:rsidR="000C0352">
              <w:rPr>
                <w:noProof/>
                <w:webHidden/>
              </w:rPr>
              <w:tab/>
            </w:r>
            <w:r w:rsidR="000C0352">
              <w:rPr>
                <w:noProof/>
                <w:webHidden/>
              </w:rPr>
              <w:fldChar w:fldCharType="begin"/>
            </w:r>
            <w:r w:rsidR="000C0352">
              <w:rPr>
                <w:noProof/>
                <w:webHidden/>
              </w:rPr>
              <w:instrText xml:space="preserve"> PAGEREF _Toc159581469 \h </w:instrText>
            </w:r>
            <w:r w:rsidR="000C0352">
              <w:rPr>
                <w:noProof/>
                <w:webHidden/>
              </w:rPr>
            </w:r>
            <w:r w:rsidR="000C0352">
              <w:rPr>
                <w:noProof/>
                <w:webHidden/>
              </w:rPr>
              <w:fldChar w:fldCharType="separate"/>
            </w:r>
            <w:r w:rsidR="000C0352">
              <w:rPr>
                <w:noProof/>
                <w:webHidden/>
              </w:rPr>
              <w:t>8</w:t>
            </w:r>
            <w:r w:rsidR="000C0352">
              <w:rPr>
                <w:noProof/>
                <w:webHidden/>
              </w:rPr>
              <w:fldChar w:fldCharType="end"/>
            </w:r>
          </w:hyperlink>
        </w:p>
        <w:p w14:paraId="2EF28E9D" w14:textId="173125BE"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70" w:history="1">
            <w:r w:rsidR="000C0352" w:rsidRPr="00464510">
              <w:rPr>
                <w:rStyle w:val="Hyperlink"/>
                <w:noProof/>
              </w:rPr>
              <w:t>7. Licensing NT</w:t>
            </w:r>
            <w:r w:rsidR="000C0352">
              <w:rPr>
                <w:noProof/>
                <w:webHidden/>
              </w:rPr>
              <w:tab/>
            </w:r>
            <w:r w:rsidR="000C0352">
              <w:rPr>
                <w:noProof/>
                <w:webHidden/>
              </w:rPr>
              <w:fldChar w:fldCharType="begin"/>
            </w:r>
            <w:r w:rsidR="000C0352">
              <w:rPr>
                <w:noProof/>
                <w:webHidden/>
              </w:rPr>
              <w:instrText xml:space="preserve"> PAGEREF _Toc159581470 \h </w:instrText>
            </w:r>
            <w:r w:rsidR="000C0352">
              <w:rPr>
                <w:noProof/>
                <w:webHidden/>
              </w:rPr>
            </w:r>
            <w:r w:rsidR="000C0352">
              <w:rPr>
                <w:noProof/>
                <w:webHidden/>
              </w:rPr>
              <w:fldChar w:fldCharType="separate"/>
            </w:r>
            <w:r w:rsidR="000C0352">
              <w:rPr>
                <w:noProof/>
                <w:webHidden/>
              </w:rPr>
              <w:t>8</w:t>
            </w:r>
            <w:r w:rsidR="000C0352">
              <w:rPr>
                <w:noProof/>
                <w:webHidden/>
              </w:rPr>
              <w:fldChar w:fldCharType="end"/>
            </w:r>
          </w:hyperlink>
        </w:p>
        <w:p w14:paraId="2A55F813" w14:textId="07EC71A0"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71" w:history="1">
            <w:r w:rsidR="000C0352" w:rsidRPr="00464510">
              <w:rPr>
                <w:rStyle w:val="Hyperlink"/>
                <w:noProof/>
              </w:rPr>
              <w:t>8. Compliance with all laws</w:t>
            </w:r>
            <w:r w:rsidR="000C0352">
              <w:rPr>
                <w:noProof/>
                <w:webHidden/>
              </w:rPr>
              <w:tab/>
            </w:r>
            <w:r w:rsidR="000C0352">
              <w:rPr>
                <w:noProof/>
                <w:webHidden/>
              </w:rPr>
              <w:fldChar w:fldCharType="begin"/>
            </w:r>
            <w:r w:rsidR="000C0352">
              <w:rPr>
                <w:noProof/>
                <w:webHidden/>
              </w:rPr>
              <w:instrText xml:space="preserve"> PAGEREF _Toc159581471 \h </w:instrText>
            </w:r>
            <w:r w:rsidR="000C0352">
              <w:rPr>
                <w:noProof/>
                <w:webHidden/>
              </w:rPr>
            </w:r>
            <w:r w:rsidR="000C0352">
              <w:rPr>
                <w:noProof/>
                <w:webHidden/>
              </w:rPr>
              <w:fldChar w:fldCharType="separate"/>
            </w:r>
            <w:r w:rsidR="000C0352">
              <w:rPr>
                <w:noProof/>
                <w:webHidden/>
              </w:rPr>
              <w:t>9</w:t>
            </w:r>
            <w:r w:rsidR="000C0352">
              <w:rPr>
                <w:noProof/>
                <w:webHidden/>
              </w:rPr>
              <w:fldChar w:fldCharType="end"/>
            </w:r>
          </w:hyperlink>
        </w:p>
        <w:p w14:paraId="3F1ABEFA" w14:textId="7D34F4EB"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72" w:history="1">
            <w:r w:rsidR="000C0352" w:rsidRPr="00464510">
              <w:rPr>
                <w:rStyle w:val="Hyperlink"/>
                <w:noProof/>
              </w:rPr>
              <w:t>Schedule 1: Members and Coordinator of the Tennant Creek Accord</w:t>
            </w:r>
            <w:r w:rsidR="000C0352">
              <w:rPr>
                <w:noProof/>
                <w:webHidden/>
              </w:rPr>
              <w:tab/>
            </w:r>
            <w:r w:rsidR="000C0352">
              <w:rPr>
                <w:noProof/>
                <w:webHidden/>
              </w:rPr>
              <w:fldChar w:fldCharType="begin"/>
            </w:r>
            <w:r w:rsidR="000C0352">
              <w:rPr>
                <w:noProof/>
                <w:webHidden/>
              </w:rPr>
              <w:instrText xml:space="preserve"> PAGEREF _Toc159581472 \h </w:instrText>
            </w:r>
            <w:r w:rsidR="000C0352">
              <w:rPr>
                <w:noProof/>
                <w:webHidden/>
              </w:rPr>
            </w:r>
            <w:r w:rsidR="000C0352">
              <w:rPr>
                <w:noProof/>
                <w:webHidden/>
              </w:rPr>
              <w:fldChar w:fldCharType="separate"/>
            </w:r>
            <w:r w:rsidR="000C0352">
              <w:rPr>
                <w:noProof/>
                <w:webHidden/>
              </w:rPr>
              <w:t>10</w:t>
            </w:r>
            <w:r w:rsidR="000C0352">
              <w:rPr>
                <w:noProof/>
                <w:webHidden/>
              </w:rPr>
              <w:fldChar w:fldCharType="end"/>
            </w:r>
          </w:hyperlink>
        </w:p>
        <w:p w14:paraId="001D6101" w14:textId="4A4B251E" w:rsidR="000C0352" w:rsidRDefault="00000000">
          <w:pPr>
            <w:pStyle w:val="TOC1"/>
            <w:rPr>
              <w:rFonts w:asciiTheme="minorHAnsi" w:eastAsiaTheme="minorEastAsia" w:hAnsiTheme="minorHAnsi" w:cstheme="minorBidi"/>
              <w:b w:val="0"/>
              <w:noProof/>
              <w:kern w:val="2"/>
              <w:lang w:eastAsia="en-AU"/>
              <w14:ligatures w14:val="standardContextual"/>
            </w:rPr>
          </w:pPr>
          <w:hyperlink w:anchor="_Toc159581473" w:history="1">
            <w:r w:rsidR="000C0352" w:rsidRPr="00464510">
              <w:rPr>
                <w:rStyle w:val="Hyperlink"/>
                <w:noProof/>
              </w:rPr>
              <w:t>Schedule 2: Area of the Tennant Creek Liquor Accord</w:t>
            </w:r>
            <w:r w:rsidR="000C0352">
              <w:rPr>
                <w:noProof/>
                <w:webHidden/>
              </w:rPr>
              <w:tab/>
            </w:r>
            <w:r w:rsidR="000C0352">
              <w:rPr>
                <w:noProof/>
                <w:webHidden/>
              </w:rPr>
              <w:fldChar w:fldCharType="begin"/>
            </w:r>
            <w:r w:rsidR="000C0352">
              <w:rPr>
                <w:noProof/>
                <w:webHidden/>
              </w:rPr>
              <w:instrText xml:space="preserve"> PAGEREF _Toc159581473 \h </w:instrText>
            </w:r>
            <w:r w:rsidR="000C0352">
              <w:rPr>
                <w:noProof/>
                <w:webHidden/>
              </w:rPr>
            </w:r>
            <w:r w:rsidR="000C0352">
              <w:rPr>
                <w:noProof/>
                <w:webHidden/>
              </w:rPr>
              <w:fldChar w:fldCharType="separate"/>
            </w:r>
            <w:r w:rsidR="000C0352">
              <w:rPr>
                <w:noProof/>
                <w:webHidden/>
              </w:rPr>
              <w:t>11</w:t>
            </w:r>
            <w:r w:rsidR="000C0352">
              <w:rPr>
                <w:noProof/>
                <w:webHidden/>
              </w:rPr>
              <w:fldChar w:fldCharType="end"/>
            </w:r>
          </w:hyperlink>
        </w:p>
        <w:p w14:paraId="0B3790A4" w14:textId="021F1139" w:rsidR="00964B22" w:rsidRPr="000D07D6" w:rsidRDefault="00914C29" w:rsidP="004E7885">
          <w:pPr>
            <w:sectPr w:rsidR="00964B22" w:rsidRPr="000D07D6"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r>
            <w:rPr>
              <w:b/>
              <w:bCs/>
              <w:noProof/>
            </w:rPr>
            <w:fldChar w:fldCharType="end"/>
          </w:r>
        </w:p>
      </w:sdtContent>
    </w:sdt>
    <w:p w14:paraId="6DB49601" w14:textId="77777777" w:rsidR="00EB3D43" w:rsidRPr="00381394" w:rsidRDefault="001F591A" w:rsidP="00381394">
      <w:pPr>
        <w:pStyle w:val="Heading1"/>
      </w:pPr>
      <w:bookmarkStart w:id="0" w:name="_Toc159581453"/>
      <w:r w:rsidRPr="00381394">
        <w:lastRenderedPageBreak/>
        <w:t>Introduction</w:t>
      </w:r>
      <w:bookmarkEnd w:id="0"/>
    </w:p>
    <w:p w14:paraId="43EB8792" w14:textId="132B80B6" w:rsidR="000D07D6" w:rsidRPr="008B1465" w:rsidRDefault="000D07D6" w:rsidP="000D07D6">
      <w:pPr>
        <w:pStyle w:val="IndentParaLevel1"/>
        <w:ind w:left="0"/>
        <w:rPr>
          <w:rFonts w:ascii="Lato" w:eastAsiaTheme="minorEastAsia" w:hAnsi="Lato"/>
          <w:iCs/>
          <w:szCs w:val="22"/>
          <w:lang w:eastAsia="en-AU"/>
        </w:rPr>
      </w:pPr>
      <w:r w:rsidRPr="008B1465">
        <w:rPr>
          <w:rFonts w:ascii="Lato" w:eastAsiaTheme="minorEastAsia" w:hAnsi="Lato"/>
          <w:iCs/>
          <w:szCs w:val="22"/>
          <w:lang w:eastAsia="en-AU"/>
        </w:rPr>
        <w:t xml:space="preserve">This Liquor Accord (‘the Accord’) has been developed to assist in meeting the needs and expectations of </w:t>
      </w:r>
      <w:r w:rsidR="004E4D15">
        <w:rPr>
          <w:rFonts w:ascii="Lato" w:eastAsiaTheme="minorEastAsia" w:hAnsi="Lato"/>
          <w:iCs/>
          <w:szCs w:val="22"/>
          <w:lang w:eastAsia="en-AU"/>
        </w:rPr>
        <w:t>Tennant Creek</w:t>
      </w:r>
      <w:r w:rsidRPr="008B1465">
        <w:rPr>
          <w:rFonts w:ascii="Lato" w:eastAsiaTheme="minorEastAsia" w:hAnsi="Lato"/>
          <w:iCs/>
          <w:szCs w:val="22"/>
          <w:lang w:eastAsia="en-AU"/>
        </w:rPr>
        <w:t xml:space="preserve"> </w:t>
      </w:r>
      <w:r w:rsidR="00934414">
        <w:rPr>
          <w:rFonts w:ascii="Lato" w:eastAsiaTheme="minorEastAsia" w:hAnsi="Lato"/>
          <w:iCs/>
          <w:szCs w:val="22"/>
          <w:lang w:eastAsia="en-AU"/>
        </w:rPr>
        <w:t>C</w:t>
      </w:r>
      <w:r w:rsidRPr="008B1465">
        <w:rPr>
          <w:rFonts w:ascii="Lato" w:eastAsiaTheme="minorEastAsia" w:hAnsi="Lato"/>
          <w:iCs/>
          <w:szCs w:val="22"/>
          <w:lang w:eastAsia="en-AU"/>
        </w:rPr>
        <w:t xml:space="preserve">ommunity which has the right to enjoy licensed pubs, community clubs and surrounding precincts free of alcohol-related harm. </w:t>
      </w:r>
      <w:r w:rsidR="00934414">
        <w:rPr>
          <w:rFonts w:ascii="Lato" w:eastAsiaTheme="minorEastAsia" w:hAnsi="Lato"/>
          <w:iCs/>
          <w:szCs w:val="22"/>
          <w:lang w:eastAsia="en-AU"/>
        </w:rPr>
        <w:t xml:space="preserve">The area included in this </w:t>
      </w:r>
      <w:r w:rsidR="00C30596">
        <w:rPr>
          <w:rFonts w:ascii="Lato" w:eastAsiaTheme="minorEastAsia" w:hAnsi="Lato"/>
          <w:iCs/>
          <w:szCs w:val="22"/>
          <w:lang w:eastAsia="en-AU"/>
        </w:rPr>
        <w:t>A</w:t>
      </w:r>
      <w:r w:rsidR="00934414">
        <w:rPr>
          <w:rFonts w:ascii="Lato" w:eastAsiaTheme="minorEastAsia" w:hAnsi="Lato"/>
          <w:iCs/>
          <w:szCs w:val="22"/>
          <w:lang w:eastAsia="en-AU"/>
        </w:rPr>
        <w:t xml:space="preserve">ccord </w:t>
      </w:r>
      <w:r w:rsidR="000164D4">
        <w:rPr>
          <w:rFonts w:ascii="Lato" w:eastAsiaTheme="minorEastAsia" w:hAnsi="Lato"/>
          <w:iCs/>
          <w:szCs w:val="22"/>
          <w:lang w:eastAsia="en-AU"/>
        </w:rPr>
        <w:t>is</w:t>
      </w:r>
      <w:r w:rsidR="00934414">
        <w:rPr>
          <w:rFonts w:ascii="Lato" w:eastAsiaTheme="minorEastAsia" w:hAnsi="Lato"/>
          <w:iCs/>
          <w:szCs w:val="22"/>
          <w:lang w:eastAsia="en-AU"/>
        </w:rPr>
        <w:t xml:space="preserve"> </w:t>
      </w:r>
      <w:r w:rsidR="00206B80">
        <w:rPr>
          <w:rFonts w:ascii="Lato" w:eastAsiaTheme="minorEastAsia" w:hAnsi="Lato"/>
          <w:iCs/>
          <w:szCs w:val="22"/>
          <w:lang w:eastAsia="en-AU"/>
        </w:rPr>
        <w:t xml:space="preserve">defined in </w:t>
      </w:r>
      <w:r w:rsidR="004212E6" w:rsidRPr="00C16CA8">
        <w:rPr>
          <w:rFonts w:ascii="Lato" w:eastAsiaTheme="minorEastAsia" w:hAnsi="Lato"/>
          <w:b/>
          <w:iCs/>
          <w:szCs w:val="22"/>
          <w:lang w:eastAsia="en-AU"/>
        </w:rPr>
        <w:t>S</w:t>
      </w:r>
      <w:r w:rsidR="00613DA4" w:rsidRPr="00C16CA8">
        <w:rPr>
          <w:rFonts w:ascii="Lato" w:eastAsiaTheme="minorEastAsia" w:hAnsi="Lato"/>
          <w:b/>
          <w:iCs/>
          <w:szCs w:val="22"/>
          <w:lang w:eastAsia="en-AU"/>
        </w:rPr>
        <w:t xml:space="preserve">chedule </w:t>
      </w:r>
      <w:r w:rsidR="00C227C6">
        <w:rPr>
          <w:rFonts w:ascii="Lato" w:eastAsiaTheme="minorEastAsia" w:hAnsi="Lato"/>
          <w:b/>
          <w:iCs/>
          <w:szCs w:val="22"/>
          <w:lang w:eastAsia="en-AU"/>
        </w:rPr>
        <w:t>2</w:t>
      </w:r>
      <w:r w:rsidR="00206B80" w:rsidRPr="00C16CA8">
        <w:rPr>
          <w:rFonts w:ascii="Lato" w:eastAsiaTheme="minorEastAsia" w:hAnsi="Lato"/>
          <w:iCs/>
          <w:szCs w:val="22"/>
          <w:lang w:eastAsia="en-AU"/>
        </w:rPr>
        <w:t>.</w:t>
      </w:r>
    </w:p>
    <w:p w14:paraId="3DBCB266" w14:textId="125F1D76" w:rsidR="000D07D6" w:rsidRDefault="00B23B84" w:rsidP="000D07D6">
      <w:pPr>
        <w:pStyle w:val="IndentParaLevel1"/>
        <w:ind w:left="0"/>
        <w:rPr>
          <w:rFonts w:ascii="Lato" w:hAnsi="Lato" w:cs="Arial"/>
        </w:rPr>
      </w:pPr>
      <w:r>
        <w:rPr>
          <w:rFonts w:ascii="Lato" w:eastAsiaTheme="minorEastAsia" w:hAnsi="Lato"/>
          <w:iCs/>
          <w:szCs w:val="22"/>
          <w:lang w:eastAsia="en-AU"/>
        </w:rPr>
        <w:t xml:space="preserve">Tennant Creek </w:t>
      </w:r>
      <w:r w:rsidR="000D07D6" w:rsidRPr="008B1465">
        <w:rPr>
          <w:rFonts w:ascii="Lato" w:eastAsiaTheme="minorEastAsia" w:hAnsi="Lato"/>
          <w:iCs/>
          <w:szCs w:val="22"/>
          <w:lang w:eastAsia="en-AU"/>
        </w:rPr>
        <w:t>Licensees must be able to compete freely, however this should be balanced to avoid excessive alcohol consumption which can lead to anti-social behaviour and other alcohol-related harm.  Members of the Accord are members of the</w:t>
      </w:r>
      <w:r>
        <w:rPr>
          <w:rFonts w:ascii="Lato" w:eastAsiaTheme="minorEastAsia" w:hAnsi="Lato"/>
          <w:iCs/>
          <w:szCs w:val="22"/>
          <w:lang w:eastAsia="en-AU"/>
        </w:rPr>
        <w:t xml:space="preserve"> Tennant Creek </w:t>
      </w:r>
      <w:r w:rsidR="000D07D6" w:rsidRPr="008B1465">
        <w:rPr>
          <w:rFonts w:ascii="Lato" w:eastAsiaTheme="minorEastAsia" w:hAnsi="Lato"/>
          <w:iCs/>
          <w:szCs w:val="22"/>
          <w:lang w:eastAsia="en-AU"/>
        </w:rPr>
        <w:t>community and they too want a safe and happy place for their families to live</w:t>
      </w:r>
      <w:r w:rsidR="000D07D6" w:rsidRPr="008B1465">
        <w:rPr>
          <w:rFonts w:ascii="Lato" w:hAnsi="Lato" w:cs="Arial"/>
        </w:rPr>
        <w:t>.</w:t>
      </w:r>
      <w:r w:rsidR="00D61396">
        <w:rPr>
          <w:rFonts w:ascii="Lato" w:hAnsi="Lato" w:cs="Arial"/>
        </w:rPr>
        <w:t xml:space="preserve"> </w:t>
      </w:r>
      <w:r>
        <w:rPr>
          <w:rFonts w:ascii="Lato" w:hAnsi="Lato" w:cs="Arial"/>
        </w:rPr>
        <w:t xml:space="preserve">Tennat Creek </w:t>
      </w:r>
      <w:r w:rsidR="0091025A">
        <w:rPr>
          <w:rFonts w:ascii="Lato" w:hAnsi="Lato" w:cs="Arial"/>
        </w:rPr>
        <w:t>has been identified as an area that has alcohol</w:t>
      </w:r>
      <w:r w:rsidR="00C30596">
        <w:rPr>
          <w:rFonts w:ascii="Lato" w:hAnsi="Lato" w:cs="Arial"/>
        </w:rPr>
        <w:t>-</w:t>
      </w:r>
      <w:r w:rsidR="0091025A">
        <w:rPr>
          <w:rFonts w:ascii="Lato" w:hAnsi="Lato" w:cs="Arial"/>
        </w:rPr>
        <w:t>related issues with the issue of secondary supply and public drinking from the sale of takeaway alcohol.</w:t>
      </w:r>
      <w:r w:rsidR="00FC7A4C">
        <w:rPr>
          <w:rFonts w:ascii="Lato" w:hAnsi="Lato" w:cs="Arial"/>
        </w:rPr>
        <w:t xml:space="preserve"> </w:t>
      </w:r>
      <w:r w:rsidR="000164D4">
        <w:rPr>
          <w:rFonts w:ascii="Lato" w:hAnsi="Lato" w:cs="Arial"/>
        </w:rPr>
        <w:t xml:space="preserve">Membership of the Accord is limited to liquor </w:t>
      </w:r>
      <w:proofErr w:type="spellStart"/>
      <w:r w:rsidR="000164D4">
        <w:rPr>
          <w:rFonts w:ascii="Lato" w:hAnsi="Lato" w:cs="Arial"/>
        </w:rPr>
        <w:t>licensees</w:t>
      </w:r>
      <w:proofErr w:type="spellEnd"/>
      <w:r w:rsidR="000164D4">
        <w:rPr>
          <w:rFonts w:ascii="Lato" w:hAnsi="Lato" w:cs="Arial"/>
        </w:rPr>
        <w:t xml:space="preserve"> </w:t>
      </w:r>
      <w:r w:rsidR="002A5F89">
        <w:rPr>
          <w:rFonts w:ascii="Lato" w:hAnsi="Lato" w:cs="Arial"/>
        </w:rPr>
        <w:t xml:space="preserve">whose premises are </w:t>
      </w:r>
      <w:r w:rsidR="000164D4">
        <w:rPr>
          <w:rFonts w:ascii="Lato" w:hAnsi="Lato" w:cs="Arial"/>
        </w:rPr>
        <w:t>situated</w:t>
      </w:r>
      <w:r w:rsidR="00D61396">
        <w:rPr>
          <w:rFonts w:ascii="Lato" w:hAnsi="Lato" w:cs="Arial"/>
        </w:rPr>
        <w:t xml:space="preserve"> in the </w:t>
      </w:r>
      <w:r>
        <w:rPr>
          <w:rFonts w:ascii="Lato" w:hAnsi="Lato" w:cs="Arial"/>
        </w:rPr>
        <w:t xml:space="preserve">area covered by </w:t>
      </w:r>
      <w:r w:rsidRPr="00C16CA8">
        <w:rPr>
          <w:rFonts w:ascii="Lato" w:hAnsi="Lato" w:cs="Arial"/>
          <w:b/>
          <w:bCs/>
        </w:rPr>
        <w:t>Schedule</w:t>
      </w:r>
      <w:r w:rsidR="00C16CA8" w:rsidRPr="00C16CA8">
        <w:rPr>
          <w:rFonts w:ascii="Lato" w:hAnsi="Lato" w:cs="Arial"/>
          <w:b/>
          <w:bCs/>
        </w:rPr>
        <w:t xml:space="preserve"> 1</w:t>
      </w:r>
      <w:r w:rsidRPr="00C16CA8">
        <w:rPr>
          <w:rFonts w:ascii="Lato" w:hAnsi="Lato" w:cs="Arial"/>
          <w:b/>
          <w:bCs/>
        </w:rPr>
        <w:t>.</w:t>
      </w:r>
      <w:r>
        <w:rPr>
          <w:rFonts w:ascii="Lato" w:hAnsi="Lato" w:cs="Arial"/>
        </w:rPr>
        <w:t xml:space="preserve"> </w:t>
      </w:r>
    </w:p>
    <w:p w14:paraId="357E7BF6" w14:textId="77777777" w:rsidR="00B66E9F" w:rsidRPr="00381394" w:rsidRDefault="001F591A" w:rsidP="00381394">
      <w:pPr>
        <w:pStyle w:val="Heading1"/>
      </w:pPr>
      <w:bookmarkStart w:id="1" w:name="_Toc159581454"/>
      <w:r w:rsidRPr="00381394">
        <w:t>How it works</w:t>
      </w:r>
      <w:bookmarkEnd w:id="1"/>
    </w:p>
    <w:p w14:paraId="4BD982B1" w14:textId="40BE8EE1" w:rsidR="008B6E39" w:rsidRDefault="008B6E39" w:rsidP="008B6E39">
      <w:pPr>
        <w:pStyle w:val="IndentParaLevel1"/>
        <w:ind w:left="0"/>
        <w:rPr>
          <w:rFonts w:ascii="Lato" w:eastAsiaTheme="minorEastAsia" w:hAnsi="Lato"/>
          <w:iCs/>
          <w:szCs w:val="22"/>
          <w:lang w:eastAsia="en-AU"/>
        </w:rPr>
      </w:pPr>
      <w:r>
        <w:rPr>
          <w:rFonts w:ascii="Lato" w:eastAsiaTheme="minorEastAsia" w:hAnsi="Lato"/>
          <w:iCs/>
          <w:szCs w:val="22"/>
          <w:lang w:eastAsia="en-AU"/>
        </w:rPr>
        <w:t xml:space="preserve">In accordance with section 132(4) </w:t>
      </w:r>
      <w:r w:rsidR="000D07D6" w:rsidRPr="008B1465">
        <w:rPr>
          <w:rFonts w:ascii="Lato" w:eastAsiaTheme="minorEastAsia" w:hAnsi="Lato"/>
          <w:iCs/>
          <w:szCs w:val="22"/>
          <w:lang w:eastAsia="en-AU"/>
        </w:rPr>
        <w:t xml:space="preserve">Membership </w:t>
      </w:r>
      <w:r w:rsidR="00C16CA8">
        <w:rPr>
          <w:rFonts w:ascii="Lato" w:eastAsiaTheme="minorEastAsia" w:hAnsi="Lato"/>
          <w:iCs/>
          <w:szCs w:val="22"/>
          <w:lang w:eastAsia="en-AU"/>
        </w:rPr>
        <w:t>of the Tennant Creek Liquor Accord</w:t>
      </w:r>
      <w:r w:rsidR="00C16CA8" w:rsidRPr="008B1465">
        <w:rPr>
          <w:rFonts w:ascii="Lato" w:eastAsiaTheme="minorEastAsia" w:hAnsi="Lato"/>
          <w:iCs/>
          <w:szCs w:val="22"/>
          <w:lang w:eastAsia="en-AU"/>
        </w:rPr>
        <w:t xml:space="preserve"> </w:t>
      </w:r>
      <w:r w:rsidR="000D07D6" w:rsidRPr="008B1465">
        <w:rPr>
          <w:rFonts w:ascii="Lato" w:eastAsiaTheme="minorEastAsia" w:hAnsi="Lato"/>
          <w:iCs/>
          <w:szCs w:val="22"/>
          <w:lang w:eastAsia="en-AU"/>
        </w:rPr>
        <w:t xml:space="preserve">is open to any Licensee, or representative of licensed premises </w:t>
      </w:r>
      <w:r w:rsidR="002A5F89">
        <w:rPr>
          <w:rFonts w:ascii="Lato" w:eastAsiaTheme="minorEastAsia" w:hAnsi="Lato"/>
          <w:iCs/>
          <w:szCs w:val="22"/>
          <w:lang w:eastAsia="en-AU"/>
        </w:rPr>
        <w:t xml:space="preserve">situated </w:t>
      </w:r>
      <w:r w:rsidR="00D61396">
        <w:rPr>
          <w:rFonts w:ascii="Lato" w:eastAsiaTheme="minorEastAsia" w:hAnsi="Lato"/>
          <w:iCs/>
          <w:szCs w:val="22"/>
          <w:lang w:eastAsia="en-AU"/>
        </w:rPr>
        <w:t xml:space="preserve">in the </w:t>
      </w:r>
      <w:r>
        <w:rPr>
          <w:rFonts w:ascii="Lato" w:eastAsiaTheme="minorEastAsia" w:hAnsi="Lato"/>
          <w:iCs/>
          <w:szCs w:val="22"/>
          <w:lang w:eastAsia="en-AU"/>
        </w:rPr>
        <w:t>Tennent Creek</w:t>
      </w:r>
      <w:r w:rsidR="00E167A1">
        <w:rPr>
          <w:rFonts w:ascii="Lato" w:eastAsiaTheme="minorEastAsia" w:hAnsi="Lato"/>
          <w:iCs/>
          <w:szCs w:val="22"/>
          <w:lang w:eastAsia="en-AU"/>
        </w:rPr>
        <w:t xml:space="preserve"> </w:t>
      </w:r>
      <w:r w:rsidR="00D61396">
        <w:rPr>
          <w:rFonts w:ascii="Lato" w:eastAsiaTheme="minorEastAsia" w:hAnsi="Lato"/>
          <w:iCs/>
          <w:szCs w:val="22"/>
          <w:lang w:eastAsia="en-AU"/>
        </w:rPr>
        <w:t>area</w:t>
      </w:r>
      <w:r>
        <w:rPr>
          <w:rFonts w:ascii="Lato" w:eastAsiaTheme="minorEastAsia" w:hAnsi="Lato"/>
          <w:iCs/>
          <w:szCs w:val="22"/>
          <w:lang w:eastAsia="en-AU"/>
        </w:rPr>
        <w:t xml:space="preserve">, NT Police, </w:t>
      </w:r>
      <w:r w:rsidRPr="008B6E39">
        <w:rPr>
          <w:rFonts w:ascii="Lato" w:eastAsiaTheme="minorEastAsia" w:hAnsi="Lato"/>
          <w:iCs/>
          <w:szCs w:val="22"/>
          <w:lang w:eastAsia="en-AU"/>
        </w:rPr>
        <w:t>a local council</w:t>
      </w:r>
      <w:r>
        <w:rPr>
          <w:rFonts w:ascii="Lato" w:eastAsiaTheme="minorEastAsia" w:hAnsi="Lato"/>
          <w:iCs/>
          <w:szCs w:val="22"/>
          <w:lang w:eastAsia="en-AU"/>
        </w:rPr>
        <w:t xml:space="preserve">, </w:t>
      </w:r>
      <w:r w:rsidR="00CF0B6A" w:rsidRPr="008B6E39">
        <w:rPr>
          <w:rFonts w:ascii="Lato" w:eastAsiaTheme="minorEastAsia" w:hAnsi="Lato"/>
          <w:iCs/>
          <w:szCs w:val="22"/>
          <w:lang w:eastAsia="en-AU"/>
        </w:rPr>
        <w:t>anybody</w:t>
      </w:r>
      <w:r w:rsidRPr="008B6E39">
        <w:rPr>
          <w:rFonts w:ascii="Lato" w:eastAsiaTheme="minorEastAsia" w:hAnsi="Lato"/>
          <w:iCs/>
          <w:szCs w:val="22"/>
          <w:lang w:eastAsia="en-AU"/>
        </w:rPr>
        <w:t xml:space="preserve"> or organisation representing commercial or business interests in a local area</w:t>
      </w:r>
      <w:r>
        <w:rPr>
          <w:rFonts w:ascii="Lato" w:eastAsiaTheme="minorEastAsia" w:hAnsi="Lato"/>
          <w:iCs/>
          <w:szCs w:val="22"/>
          <w:lang w:eastAsia="en-AU"/>
        </w:rPr>
        <w:t xml:space="preserve">, </w:t>
      </w:r>
      <w:r w:rsidRPr="008B6E39">
        <w:rPr>
          <w:rFonts w:ascii="Lato" w:eastAsiaTheme="minorEastAsia" w:hAnsi="Lato"/>
          <w:iCs/>
          <w:szCs w:val="22"/>
          <w:lang w:eastAsia="en-AU"/>
        </w:rPr>
        <w:t>a community or residents' group with an interest in preventing or reducing alcohol-related violence or in improving the amenity of a local area;</w:t>
      </w:r>
    </w:p>
    <w:p w14:paraId="6B58C58A" w14:textId="6B09255F" w:rsidR="009E46A2" w:rsidRPr="00972119" w:rsidRDefault="008E72D5" w:rsidP="009E46A2">
      <w:pPr>
        <w:pStyle w:val="Subsection"/>
        <w:ind w:left="0" w:firstLine="0"/>
        <w:rPr>
          <w:rFonts w:ascii="Lato" w:eastAsiaTheme="minorEastAsia" w:hAnsi="Lato"/>
          <w:iCs/>
          <w:sz w:val="22"/>
          <w:szCs w:val="22"/>
        </w:rPr>
      </w:pPr>
      <w:r w:rsidRPr="00972119">
        <w:rPr>
          <w:rFonts w:ascii="Lato" w:eastAsiaTheme="minorEastAsia" w:hAnsi="Lato"/>
          <w:iCs/>
          <w:sz w:val="22"/>
          <w:szCs w:val="22"/>
        </w:rPr>
        <w:t>J</w:t>
      </w:r>
      <w:r w:rsidR="002F1188" w:rsidRPr="00972119">
        <w:rPr>
          <w:rFonts w:ascii="Lato" w:eastAsiaTheme="minorEastAsia" w:hAnsi="Lato"/>
          <w:iCs/>
          <w:sz w:val="22"/>
          <w:szCs w:val="22"/>
        </w:rPr>
        <w:t>oining an Accord is voluntary</w:t>
      </w:r>
      <w:r w:rsidRPr="00972119">
        <w:rPr>
          <w:rFonts w:ascii="Lato" w:eastAsiaTheme="minorEastAsia" w:hAnsi="Lato"/>
          <w:iCs/>
          <w:sz w:val="22"/>
          <w:szCs w:val="22"/>
        </w:rPr>
        <w:t xml:space="preserve"> however under section 132(2) of the </w:t>
      </w:r>
      <w:r w:rsidRPr="00FF1214">
        <w:rPr>
          <w:rFonts w:ascii="Lato" w:eastAsiaTheme="minorEastAsia" w:hAnsi="Lato"/>
          <w:i/>
          <w:iCs/>
          <w:sz w:val="22"/>
          <w:szCs w:val="22"/>
        </w:rPr>
        <w:t>Liquor Act 2</w:t>
      </w:r>
      <w:r w:rsidR="009E46A2" w:rsidRPr="00FF1214">
        <w:rPr>
          <w:rFonts w:ascii="Lato" w:eastAsiaTheme="minorEastAsia" w:hAnsi="Lato"/>
          <w:i/>
          <w:iCs/>
          <w:sz w:val="22"/>
          <w:szCs w:val="22"/>
        </w:rPr>
        <w:t>019</w:t>
      </w:r>
      <w:r w:rsidR="009E46A2" w:rsidRPr="009E46A2">
        <w:rPr>
          <w:rFonts w:ascii="Lato" w:eastAsiaTheme="minorEastAsia" w:hAnsi="Lato"/>
          <w:iCs/>
          <w:sz w:val="22"/>
          <w:szCs w:val="22"/>
        </w:rPr>
        <w:t xml:space="preserve"> the Director may require </w:t>
      </w:r>
      <w:r w:rsidRPr="00972119">
        <w:rPr>
          <w:rFonts w:ascii="Lato" w:eastAsiaTheme="minorEastAsia" w:hAnsi="Lato"/>
          <w:iCs/>
          <w:sz w:val="22"/>
          <w:szCs w:val="22"/>
        </w:rPr>
        <w:t xml:space="preserve">a licensee to be a party to a local liquor accord.  </w:t>
      </w:r>
    </w:p>
    <w:p w14:paraId="0454A674" w14:textId="408B84ED" w:rsidR="000D07D6" w:rsidRPr="008B1465" w:rsidRDefault="009E46A2" w:rsidP="008B1465">
      <w:pPr>
        <w:pStyle w:val="IndentParaLevel1"/>
        <w:ind w:left="0"/>
        <w:rPr>
          <w:rFonts w:ascii="Lato" w:eastAsiaTheme="minorEastAsia" w:hAnsi="Lato"/>
          <w:iCs/>
          <w:szCs w:val="22"/>
          <w:lang w:eastAsia="en-AU"/>
        </w:rPr>
      </w:pPr>
      <w:r>
        <w:rPr>
          <w:rFonts w:ascii="Lato" w:eastAsiaTheme="minorEastAsia" w:hAnsi="Lato"/>
          <w:iCs/>
          <w:szCs w:val="22"/>
          <w:lang w:eastAsia="en-AU"/>
        </w:rPr>
        <w:t xml:space="preserve">However, the Director has determined </w:t>
      </w:r>
      <w:r w:rsidR="00C30596">
        <w:rPr>
          <w:rFonts w:ascii="Lato" w:eastAsiaTheme="minorEastAsia" w:hAnsi="Lato"/>
          <w:iCs/>
          <w:szCs w:val="22"/>
          <w:lang w:eastAsia="en-AU"/>
        </w:rPr>
        <w:t xml:space="preserve">not to take </w:t>
      </w:r>
      <w:r>
        <w:rPr>
          <w:rFonts w:ascii="Lato" w:eastAsiaTheme="minorEastAsia" w:hAnsi="Lato"/>
          <w:iCs/>
          <w:szCs w:val="22"/>
          <w:lang w:eastAsia="en-AU"/>
        </w:rPr>
        <w:t>any di</w:t>
      </w:r>
      <w:r w:rsidR="00B91B6F">
        <w:rPr>
          <w:rFonts w:ascii="Lato" w:eastAsiaTheme="minorEastAsia" w:hAnsi="Lato"/>
          <w:iCs/>
          <w:szCs w:val="22"/>
          <w:lang w:eastAsia="en-AU"/>
        </w:rPr>
        <w:t>sciplinary action against licens</w:t>
      </w:r>
      <w:r>
        <w:rPr>
          <w:rFonts w:ascii="Lato" w:eastAsiaTheme="minorEastAsia" w:hAnsi="Lato"/>
          <w:iCs/>
          <w:szCs w:val="22"/>
          <w:lang w:eastAsia="en-AU"/>
        </w:rPr>
        <w:t>ees who fail to comply with the accord provisions so long as licensees are making their best endeavours to comply</w:t>
      </w:r>
      <w:r w:rsidR="002F1188">
        <w:rPr>
          <w:rFonts w:ascii="Lato" w:eastAsiaTheme="minorEastAsia" w:hAnsi="Lato"/>
          <w:iCs/>
          <w:szCs w:val="22"/>
          <w:lang w:eastAsia="en-AU"/>
        </w:rPr>
        <w:t>.</w:t>
      </w:r>
      <w:r>
        <w:rPr>
          <w:rFonts w:ascii="Lato" w:eastAsiaTheme="minorEastAsia" w:hAnsi="Lato"/>
          <w:iCs/>
          <w:szCs w:val="22"/>
          <w:lang w:eastAsia="en-AU"/>
        </w:rPr>
        <w:t xml:space="preserve"> </w:t>
      </w:r>
    </w:p>
    <w:p w14:paraId="3E826EA2" w14:textId="77777777" w:rsidR="00B66E9F" w:rsidRPr="00381394" w:rsidRDefault="00B66E9F" w:rsidP="00381394">
      <w:pPr>
        <w:pStyle w:val="Heading2"/>
      </w:pPr>
      <w:bookmarkStart w:id="2" w:name="_Toc159581455"/>
      <w:r w:rsidRPr="00381394">
        <w:t>Accord members</w:t>
      </w:r>
      <w:bookmarkEnd w:id="2"/>
    </w:p>
    <w:p w14:paraId="2CDB0310" w14:textId="2B68E352" w:rsidR="000D07D6" w:rsidRPr="008B1465" w:rsidRDefault="005B6980" w:rsidP="00C03B9F">
      <w:pPr>
        <w:rPr>
          <w:lang w:eastAsia="en-AU"/>
        </w:rPr>
      </w:pPr>
      <w:r>
        <w:rPr>
          <w:lang w:eastAsia="en-AU"/>
        </w:rPr>
        <w:t xml:space="preserve">Members of the </w:t>
      </w:r>
      <w:r w:rsidR="008B6E39">
        <w:rPr>
          <w:lang w:eastAsia="en-AU"/>
        </w:rPr>
        <w:t xml:space="preserve">Tennant Creek </w:t>
      </w:r>
      <w:r w:rsidR="000D07D6" w:rsidRPr="008B1465">
        <w:rPr>
          <w:lang w:eastAsia="en-AU"/>
        </w:rPr>
        <w:t xml:space="preserve">Liquor Accord </w:t>
      </w:r>
      <w:r w:rsidR="008B6E39">
        <w:rPr>
          <w:lang w:eastAsia="en-AU"/>
        </w:rPr>
        <w:t xml:space="preserve">is </w:t>
      </w:r>
      <w:r w:rsidR="000D07D6" w:rsidRPr="008B1465">
        <w:rPr>
          <w:lang w:eastAsia="en-AU"/>
        </w:rPr>
        <w:t xml:space="preserve">listed at </w:t>
      </w:r>
      <w:r w:rsidR="000D07D6" w:rsidRPr="00F32F57">
        <w:rPr>
          <w:b/>
          <w:lang w:eastAsia="en-AU"/>
        </w:rPr>
        <w:t>Schedule 1</w:t>
      </w:r>
      <w:r w:rsidR="000D07D6" w:rsidRPr="008B1465">
        <w:rPr>
          <w:lang w:eastAsia="en-AU"/>
        </w:rPr>
        <w:t>.</w:t>
      </w:r>
    </w:p>
    <w:p w14:paraId="691137DB" w14:textId="77777777" w:rsidR="000D07D6" w:rsidRPr="00381394" w:rsidRDefault="000D07D6" w:rsidP="00381394">
      <w:pPr>
        <w:pStyle w:val="Heading2"/>
      </w:pPr>
      <w:bookmarkStart w:id="3" w:name="_Toc159581456"/>
      <w:r w:rsidRPr="00381394">
        <w:t>Accord Advisers</w:t>
      </w:r>
      <w:bookmarkEnd w:id="3"/>
    </w:p>
    <w:p w14:paraId="5498AB7E" w14:textId="77777777" w:rsidR="000D07D6" w:rsidRPr="008B1465" w:rsidRDefault="000D07D6" w:rsidP="00914C29">
      <w:r w:rsidRPr="008B1465">
        <w:t>Permanent Advisers:</w:t>
      </w:r>
    </w:p>
    <w:p w14:paraId="7FF7DFEE" w14:textId="65916F3C" w:rsidR="000D07D6" w:rsidRDefault="00914C29" w:rsidP="00C03B9F">
      <w:pPr>
        <w:pStyle w:val="ListParagraph"/>
        <w:numPr>
          <w:ilvl w:val="0"/>
          <w:numId w:val="22"/>
        </w:numPr>
        <w:ind w:left="714" w:hanging="357"/>
      </w:pPr>
      <w:r>
        <w:t>O</w:t>
      </w:r>
      <w:r w:rsidR="000D07D6" w:rsidRPr="008B1465">
        <w:t>ne representative of NT Licensing.</w:t>
      </w:r>
    </w:p>
    <w:p w14:paraId="6356A186" w14:textId="77777777" w:rsidR="000D07D6" w:rsidRPr="008B1465" w:rsidRDefault="000D07D6" w:rsidP="00C03B9F">
      <w:pPr>
        <w:pStyle w:val="ListParagraph"/>
        <w:numPr>
          <w:ilvl w:val="0"/>
          <w:numId w:val="22"/>
        </w:numPr>
        <w:ind w:left="714" w:hanging="357"/>
      </w:pPr>
      <w:r w:rsidRPr="008B1465">
        <w:t>Temporary Advisers may be invited to Accord meetings at times.</w:t>
      </w:r>
    </w:p>
    <w:p w14:paraId="0D7F7975" w14:textId="77777777" w:rsidR="000D07D6" w:rsidRPr="008B1465" w:rsidRDefault="000D07D6" w:rsidP="00C03B9F">
      <w:pPr>
        <w:pStyle w:val="ListParagraph"/>
        <w:numPr>
          <w:ilvl w:val="0"/>
          <w:numId w:val="22"/>
        </w:numPr>
        <w:ind w:left="714" w:hanging="357"/>
      </w:pPr>
      <w:r w:rsidRPr="008B1465">
        <w:t>Advisers are not entitled to a vote if a ballot needs to be taken.</w:t>
      </w:r>
    </w:p>
    <w:p w14:paraId="12D1E810" w14:textId="77777777" w:rsidR="00C30596" w:rsidRDefault="00C30596" w:rsidP="00381394">
      <w:pPr>
        <w:pStyle w:val="Heading2"/>
        <w:sectPr w:rsidR="00C30596" w:rsidSect="000C0352">
          <w:footerReference w:type="default" r:id="rId17"/>
          <w:headerReference w:type="first" r:id="rId18"/>
          <w:pgSz w:w="11906" w:h="16838" w:code="9"/>
          <w:pgMar w:top="794" w:right="794" w:bottom="794" w:left="794" w:header="794" w:footer="655" w:gutter="0"/>
          <w:cols w:space="708"/>
          <w:docGrid w:linePitch="360"/>
        </w:sectPr>
      </w:pPr>
      <w:bookmarkStart w:id="4" w:name="_Toc450822243"/>
    </w:p>
    <w:p w14:paraId="6E6346EE" w14:textId="10BBE1CB" w:rsidR="000D07D6" w:rsidRPr="00381394" w:rsidRDefault="000D07D6" w:rsidP="00381394">
      <w:pPr>
        <w:pStyle w:val="Heading2"/>
      </w:pPr>
      <w:bookmarkStart w:id="5" w:name="_Toc159581457"/>
      <w:r w:rsidRPr="00381394">
        <w:lastRenderedPageBreak/>
        <w:t>Accord Coordinator</w:t>
      </w:r>
      <w:bookmarkEnd w:id="4"/>
      <w:bookmarkEnd w:id="5"/>
    </w:p>
    <w:p w14:paraId="3638C729" w14:textId="2CEB7E9A" w:rsidR="00C03B9F" w:rsidRPr="008B1465" w:rsidRDefault="000D07D6" w:rsidP="00914C29">
      <w:r w:rsidRPr="008B1465">
        <w:t xml:space="preserve">Information about the Accord Coordinator, for the purposes of the Liquor Act, is at </w:t>
      </w:r>
      <w:r w:rsidRPr="00F56FBF">
        <w:rPr>
          <w:b/>
        </w:rPr>
        <w:t>Schedule 1</w:t>
      </w:r>
      <w:r>
        <w:t>.</w:t>
      </w:r>
    </w:p>
    <w:p w14:paraId="65BB82FC" w14:textId="77777777" w:rsidR="000D07D6" w:rsidRPr="00381394" w:rsidRDefault="00E81D4F" w:rsidP="00381394">
      <w:pPr>
        <w:pStyle w:val="Heading2"/>
      </w:pPr>
      <w:bookmarkStart w:id="6" w:name="_Toc450822244"/>
      <w:bookmarkStart w:id="7" w:name="_Toc159581458"/>
      <w:r w:rsidRPr="00381394">
        <w:t>Monitoring and R</w:t>
      </w:r>
      <w:r w:rsidR="000D07D6" w:rsidRPr="00381394">
        <w:t>eview of Accord</w:t>
      </w:r>
      <w:bookmarkEnd w:id="6"/>
      <w:bookmarkEnd w:id="7"/>
    </w:p>
    <w:p w14:paraId="659CF3DB" w14:textId="77777777" w:rsidR="000D07D6" w:rsidRPr="008B1465" w:rsidRDefault="000D07D6" w:rsidP="00914C29">
      <w:r w:rsidRPr="008B1465">
        <w:t xml:space="preserve">Accord Members will: </w:t>
      </w:r>
    </w:p>
    <w:p w14:paraId="5144117E" w14:textId="57800206" w:rsidR="000D07D6" w:rsidRPr="008B1465" w:rsidRDefault="00165DCB" w:rsidP="00C03B9F">
      <w:pPr>
        <w:pStyle w:val="ListParagraph"/>
        <w:numPr>
          <w:ilvl w:val="0"/>
          <w:numId w:val="21"/>
        </w:numPr>
        <w:ind w:left="714" w:hanging="357"/>
      </w:pPr>
      <w:r>
        <w:t>M</w:t>
      </w:r>
      <w:r w:rsidR="000D07D6" w:rsidRPr="008B1465">
        <w:t xml:space="preserve">onitor and evaluate the progress of the Accord; </w:t>
      </w:r>
    </w:p>
    <w:p w14:paraId="6A62D595" w14:textId="4E80268A" w:rsidR="000D07D6" w:rsidRPr="00914C29" w:rsidRDefault="00165DCB" w:rsidP="00C03B9F">
      <w:pPr>
        <w:pStyle w:val="ListParagraph"/>
        <w:numPr>
          <w:ilvl w:val="0"/>
          <w:numId w:val="21"/>
        </w:numPr>
        <w:ind w:left="714" w:hanging="357"/>
        <w:rPr>
          <w:sz w:val="24"/>
        </w:rPr>
      </w:pPr>
      <w:r>
        <w:t>R</w:t>
      </w:r>
      <w:r w:rsidR="000D07D6" w:rsidRPr="008B1465">
        <w:t>eview</w:t>
      </w:r>
      <w:r w:rsidR="00C30596">
        <w:t xml:space="preserve"> and make changes to</w:t>
      </w:r>
      <w:r w:rsidR="000D07D6" w:rsidRPr="008B1465">
        <w:t xml:space="preserve"> this Accord document every two years or more often as necessary.</w:t>
      </w:r>
    </w:p>
    <w:p w14:paraId="6CA8ABBD" w14:textId="77777777" w:rsidR="000D07D6" w:rsidRPr="00381394" w:rsidRDefault="000D07D6" w:rsidP="00381394">
      <w:pPr>
        <w:pStyle w:val="Heading2"/>
      </w:pPr>
      <w:bookmarkStart w:id="8" w:name="_Toc450822245"/>
      <w:bookmarkStart w:id="9" w:name="_Toc159581459"/>
      <w:r w:rsidRPr="00381394">
        <w:t>Frequency of meetings</w:t>
      </w:r>
      <w:bookmarkEnd w:id="8"/>
      <w:bookmarkEnd w:id="9"/>
    </w:p>
    <w:p w14:paraId="1DD1601B" w14:textId="1F86DE6E" w:rsidR="000D07D6" w:rsidRPr="008B1465" w:rsidRDefault="000D07D6" w:rsidP="000D07D6">
      <w:pPr>
        <w:pStyle w:val="IndentParaLevel1"/>
        <w:ind w:left="0"/>
        <w:rPr>
          <w:rFonts w:ascii="Lato" w:hAnsi="Lato" w:cs="Arial"/>
        </w:rPr>
      </w:pPr>
      <w:r w:rsidRPr="008B1465">
        <w:rPr>
          <w:rFonts w:ascii="Lato" w:hAnsi="Lato" w:cs="Arial"/>
        </w:rPr>
        <w:t xml:space="preserve">Members will </w:t>
      </w:r>
      <w:r w:rsidR="00E167A1">
        <w:rPr>
          <w:rFonts w:ascii="Lato" w:hAnsi="Lato" w:cs="Arial"/>
        </w:rPr>
        <w:t>endeavour to</w:t>
      </w:r>
      <w:r w:rsidRPr="008B1465">
        <w:rPr>
          <w:rFonts w:ascii="Lato" w:hAnsi="Lato" w:cs="Arial"/>
        </w:rPr>
        <w:t xml:space="preserve"> 4 times a year.</w:t>
      </w:r>
    </w:p>
    <w:p w14:paraId="0460BBC3" w14:textId="77777777" w:rsidR="000D07D6" w:rsidRPr="00381394" w:rsidRDefault="000D07D6" w:rsidP="00381394">
      <w:pPr>
        <w:pStyle w:val="Heading2"/>
      </w:pPr>
      <w:bookmarkStart w:id="10" w:name="_Toc450822246"/>
      <w:bookmarkStart w:id="11" w:name="_Toc159581460"/>
      <w:r w:rsidRPr="00381394">
        <w:t>Accord area</w:t>
      </w:r>
      <w:bookmarkEnd w:id="10"/>
      <w:bookmarkEnd w:id="11"/>
    </w:p>
    <w:p w14:paraId="0E0FD40D" w14:textId="697C1871" w:rsidR="00206B80" w:rsidRPr="00206B80" w:rsidRDefault="00206B80" w:rsidP="000D07D6">
      <w:pPr>
        <w:pStyle w:val="IndentParaLevel1"/>
        <w:ind w:left="0"/>
        <w:rPr>
          <w:rFonts w:ascii="Lato" w:hAnsi="Lato" w:cs="Arial"/>
          <w:iCs/>
          <w:highlight w:val="yellow"/>
        </w:rPr>
      </w:pPr>
      <w:r w:rsidRPr="00972119">
        <w:rPr>
          <w:rFonts w:ascii="Lato" w:hAnsi="Lato" w:cs="Arial"/>
          <w:iCs/>
        </w:rPr>
        <w:t xml:space="preserve">The area included in this </w:t>
      </w:r>
      <w:r w:rsidR="001C6A7D">
        <w:rPr>
          <w:rFonts w:ascii="Lato" w:hAnsi="Lato" w:cs="Arial"/>
          <w:iCs/>
        </w:rPr>
        <w:t>A</w:t>
      </w:r>
      <w:r w:rsidRPr="00972119">
        <w:rPr>
          <w:rFonts w:ascii="Lato" w:hAnsi="Lato" w:cs="Arial"/>
          <w:iCs/>
        </w:rPr>
        <w:t xml:space="preserve">ccord </w:t>
      </w:r>
      <w:r w:rsidR="00B91B6F" w:rsidRPr="00972119">
        <w:rPr>
          <w:rFonts w:ascii="Lato" w:hAnsi="Lato" w:cs="Arial"/>
          <w:iCs/>
        </w:rPr>
        <w:t xml:space="preserve">is the area shown on the map contained in </w:t>
      </w:r>
      <w:r w:rsidR="00B91B6F" w:rsidRPr="005B0285">
        <w:rPr>
          <w:rFonts w:ascii="Lato" w:hAnsi="Lato" w:cs="Arial"/>
          <w:b/>
          <w:iCs/>
        </w:rPr>
        <w:t xml:space="preserve">Schedule </w:t>
      </w:r>
      <w:r w:rsidR="00C16CA8" w:rsidRPr="005B0285">
        <w:rPr>
          <w:rFonts w:ascii="Lato" w:hAnsi="Lato" w:cs="Arial"/>
          <w:b/>
          <w:iCs/>
        </w:rPr>
        <w:t>2</w:t>
      </w:r>
      <w:r w:rsidRPr="005B0285">
        <w:rPr>
          <w:rFonts w:ascii="Lato" w:hAnsi="Lato" w:cs="Arial"/>
          <w:iCs/>
        </w:rPr>
        <w:t>.</w:t>
      </w:r>
    </w:p>
    <w:p w14:paraId="1046B0A5" w14:textId="77777777" w:rsidR="000D07D6" w:rsidRPr="00381394" w:rsidRDefault="000D07D6" w:rsidP="00381394">
      <w:pPr>
        <w:pStyle w:val="Heading1"/>
      </w:pPr>
      <w:bookmarkStart w:id="12" w:name="_Toc450822247"/>
      <w:bookmarkStart w:id="13" w:name="_Toc159581461"/>
      <w:r w:rsidRPr="00381394">
        <w:t>Accord principles</w:t>
      </w:r>
      <w:bookmarkEnd w:id="12"/>
      <w:bookmarkEnd w:id="13"/>
    </w:p>
    <w:p w14:paraId="02F36D15" w14:textId="77777777" w:rsidR="000D07D6" w:rsidRPr="008B1465" w:rsidRDefault="000D07D6" w:rsidP="000D07D6">
      <w:pPr>
        <w:rPr>
          <w:rFonts w:cs="Arial"/>
          <w:b/>
        </w:rPr>
      </w:pPr>
      <w:r w:rsidRPr="008B1465">
        <w:rPr>
          <w:rFonts w:cs="Arial"/>
        </w:rPr>
        <w:t xml:space="preserve">The following principles have been adopted by Licensees in order to reduce individual and social harms by: </w:t>
      </w:r>
    </w:p>
    <w:p w14:paraId="4FAC6883" w14:textId="5E7C9917" w:rsidR="000D07D6" w:rsidRPr="008B1465" w:rsidRDefault="00165DCB" w:rsidP="00C03B9F">
      <w:pPr>
        <w:pStyle w:val="ListParagraph"/>
        <w:numPr>
          <w:ilvl w:val="0"/>
          <w:numId w:val="34"/>
        </w:numPr>
        <w:ind w:left="714" w:hanging="357"/>
      </w:pPr>
      <w:r>
        <w:t>A</w:t>
      </w:r>
      <w:r w:rsidR="000D07D6" w:rsidRPr="008B1465">
        <w:t>llowing patrons to enjoy drinking socially as long as they do not interfere with the rights and enjoyment of others;</w:t>
      </w:r>
    </w:p>
    <w:p w14:paraId="2432580A" w14:textId="266095AE" w:rsidR="000D07D6" w:rsidRPr="008B1465" w:rsidRDefault="00165DCB" w:rsidP="00C03B9F">
      <w:pPr>
        <w:pStyle w:val="ListParagraph"/>
        <w:numPr>
          <w:ilvl w:val="0"/>
          <w:numId w:val="33"/>
        </w:numPr>
        <w:ind w:left="714" w:hanging="357"/>
      </w:pPr>
      <w:r>
        <w:t>M</w:t>
      </w:r>
      <w:r w:rsidR="000D07D6" w:rsidRPr="008B1465">
        <w:t xml:space="preserve">eeting responsibilities to individuals and the community by upholding the responsible service of alcohol philosophy; </w:t>
      </w:r>
    </w:p>
    <w:p w14:paraId="3A683812" w14:textId="4D2B48D7" w:rsidR="000D07D6" w:rsidRPr="008B1465" w:rsidRDefault="00165DCB" w:rsidP="00C03B9F">
      <w:pPr>
        <w:pStyle w:val="ListParagraph"/>
        <w:numPr>
          <w:ilvl w:val="0"/>
          <w:numId w:val="33"/>
        </w:numPr>
        <w:ind w:left="714" w:hanging="357"/>
      </w:pPr>
      <w:r>
        <w:t>P</w:t>
      </w:r>
      <w:r w:rsidR="000D07D6" w:rsidRPr="008B1465">
        <w:t xml:space="preserve">roviding and maintaining a safe and secure environment for patrons, staff and the general community; </w:t>
      </w:r>
    </w:p>
    <w:p w14:paraId="4B3BEC78" w14:textId="3F99D8E7" w:rsidR="000D07D6" w:rsidRPr="008B1465" w:rsidRDefault="00165DCB" w:rsidP="00C03B9F">
      <w:pPr>
        <w:pStyle w:val="ListParagraph"/>
        <w:numPr>
          <w:ilvl w:val="0"/>
          <w:numId w:val="33"/>
        </w:numPr>
        <w:ind w:left="714" w:hanging="357"/>
      </w:pPr>
      <w:r>
        <w:t>Z</w:t>
      </w:r>
      <w:r w:rsidR="000D07D6" w:rsidRPr="008B1465">
        <w:t>ero tolerance to anti-social and violent behaviour; and</w:t>
      </w:r>
    </w:p>
    <w:p w14:paraId="54EBA0F1" w14:textId="73F758AB" w:rsidR="00A96B84" w:rsidRPr="00A96B84" w:rsidRDefault="00165DCB" w:rsidP="00C03B9F">
      <w:pPr>
        <w:pStyle w:val="ListParagraph"/>
        <w:numPr>
          <w:ilvl w:val="0"/>
          <w:numId w:val="33"/>
        </w:numPr>
        <w:ind w:left="714" w:hanging="357"/>
      </w:pPr>
      <w:r>
        <w:t>B</w:t>
      </w:r>
      <w:r w:rsidR="000D07D6" w:rsidRPr="008B1465">
        <w:t>uilding partnerships with other stakeholders to develop, implement and support local solutions to improve community safety and reduce</w:t>
      </w:r>
      <w:r w:rsidR="00A96B84">
        <w:t xml:space="preserve"> alcohol-related harm generally.</w:t>
      </w:r>
    </w:p>
    <w:p w14:paraId="6E8A2639" w14:textId="77777777" w:rsidR="000D07D6" w:rsidRPr="00381394" w:rsidRDefault="000D07D6" w:rsidP="00381394">
      <w:pPr>
        <w:pStyle w:val="Heading1"/>
      </w:pPr>
      <w:bookmarkStart w:id="14" w:name="_Toc450822248"/>
      <w:bookmarkStart w:id="15" w:name="_Toc159581462"/>
      <w:r w:rsidRPr="00381394">
        <w:t>Accord Objectives</w:t>
      </w:r>
      <w:bookmarkEnd w:id="14"/>
      <w:bookmarkEnd w:id="15"/>
      <w:r w:rsidRPr="00381394">
        <w:t xml:space="preserve"> </w:t>
      </w:r>
    </w:p>
    <w:p w14:paraId="44E94F65" w14:textId="77777777" w:rsidR="000D07D6" w:rsidRPr="008B1465" w:rsidRDefault="000D07D6" w:rsidP="000D07D6">
      <w:pPr>
        <w:rPr>
          <w:rFonts w:cs="Arial"/>
        </w:rPr>
      </w:pPr>
      <w:r w:rsidRPr="008B1465">
        <w:rPr>
          <w:rFonts w:cs="Arial"/>
        </w:rPr>
        <w:t xml:space="preserve">In order to meet the principles of the Accord, Licensees are committed to: </w:t>
      </w:r>
    </w:p>
    <w:p w14:paraId="4597A4BE" w14:textId="5C5A1DF4" w:rsidR="000D07D6" w:rsidRDefault="00165DCB" w:rsidP="00C03B9F">
      <w:pPr>
        <w:pStyle w:val="ListParagraph"/>
        <w:numPr>
          <w:ilvl w:val="0"/>
          <w:numId w:val="17"/>
        </w:numPr>
        <w:ind w:left="714" w:hanging="357"/>
        <w:rPr>
          <w:rFonts w:cs="Arial"/>
        </w:rPr>
      </w:pPr>
      <w:r>
        <w:rPr>
          <w:rFonts w:cs="Arial"/>
        </w:rPr>
        <w:t>A</w:t>
      </w:r>
      <w:r w:rsidR="000D07D6" w:rsidRPr="008B1465">
        <w:rPr>
          <w:rFonts w:cs="Arial"/>
        </w:rPr>
        <w:t xml:space="preserve"> zero tolerance approach towards anti-social and violent behaviour in and around their licensed premises;</w:t>
      </w:r>
    </w:p>
    <w:p w14:paraId="6597D8B3" w14:textId="4AD1D2D1" w:rsidR="002F1188" w:rsidRPr="008B1465" w:rsidRDefault="00165DCB" w:rsidP="00C03B9F">
      <w:pPr>
        <w:pStyle w:val="ListParagraph"/>
        <w:numPr>
          <w:ilvl w:val="0"/>
          <w:numId w:val="17"/>
        </w:numPr>
        <w:ind w:left="714" w:hanging="357"/>
        <w:rPr>
          <w:rFonts w:cs="Arial"/>
        </w:rPr>
      </w:pPr>
      <w:r>
        <w:rPr>
          <w:rFonts w:cs="Arial"/>
        </w:rPr>
        <w:t>R</w:t>
      </w:r>
      <w:r w:rsidR="007412FA">
        <w:rPr>
          <w:rFonts w:cs="Arial"/>
        </w:rPr>
        <w:t>educing risk of secondary supply and consumption of liquor in public places;</w:t>
      </w:r>
      <w:r w:rsidR="002F1188">
        <w:rPr>
          <w:rFonts w:cs="Arial"/>
        </w:rPr>
        <w:t xml:space="preserve"> </w:t>
      </w:r>
    </w:p>
    <w:p w14:paraId="0D613667" w14:textId="03C74702" w:rsidR="000D07D6" w:rsidRPr="008B1465" w:rsidRDefault="00165DCB" w:rsidP="00C03B9F">
      <w:pPr>
        <w:pStyle w:val="ListParagraph"/>
        <w:numPr>
          <w:ilvl w:val="0"/>
          <w:numId w:val="17"/>
        </w:numPr>
        <w:ind w:left="714" w:hanging="357"/>
        <w:rPr>
          <w:rFonts w:cs="Arial"/>
        </w:rPr>
      </w:pPr>
      <w:r>
        <w:rPr>
          <w:rFonts w:cs="Arial"/>
        </w:rPr>
        <w:t>T</w:t>
      </w:r>
      <w:r w:rsidR="000D07D6" w:rsidRPr="008B1465">
        <w:rPr>
          <w:rFonts w:cs="Arial"/>
        </w:rPr>
        <w:t>he responsible service of alcohol in licensed premises;</w:t>
      </w:r>
    </w:p>
    <w:p w14:paraId="6570CC0E" w14:textId="31A430A5" w:rsidR="000D07D6" w:rsidRPr="008B1465" w:rsidRDefault="00165DCB" w:rsidP="00C03B9F">
      <w:pPr>
        <w:pStyle w:val="ListParagraph"/>
        <w:numPr>
          <w:ilvl w:val="0"/>
          <w:numId w:val="17"/>
        </w:numPr>
        <w:ind w:left="714" w:hanging="357"/>
        <w:rPr>
          <w:rFonts w:cs="Arial"/>
        </w:rPr>
      </w:pPr>
      <w:r>
        <w:rPr>
          <w:rFonts w:cs="Arial"/>
        </w:rPr>
        <w:t>E</w:t>
      </w:r>
      <w:r w:rsidR="000D07D6" w:rsidRPr="008B1465">
        <w:rPr>
          <w:rFonts w:cs="Arial"/>
        </w:rPr>
        <w:t>nsuring safety and security within the licensed premises and as far as reasonably practical, external to the licensed premises;</w:t>
      </w:r>
    </w:p>
    <w:p w14:paraId="33512F98" w14:textId="01C06127" w:rsidR="000D07D6" w:rsidRPr="008B1465" w:rsidRDefault="00165DCB" w:rsidP="00C03B9F">
      <w:pPr>
        <w:pStyle w:val="ListParagraph"/>
        <w:numPr>
          <w:ilvl w:val="0"/>
          <w:numId w:val="17"/>
        </w:numPr>
        <w:ind w:left="714" w:hanging="357"/>
        <w:rPr>
          <w:rFonts w:cs="Arial"/>
        </w:rPr>
      </w:pPr>
      <w:r>
        <w:rPr>
          <w:rFonts w:cs="Arial"/>
        </w:rPr>
        <w:t>I</w:t>
      </w:r>
      <w:r w:rsidR="000D07D6" w:rsidRPr="008B1465">
        <w:rPr>
          <w:rFonts w:cs="Arial"/>
        </w:rPr>
        <w:t>mproving the general amenity of</w:t>
      </w:r>
      <w:r w:rsidR="002F1188">
        <w:rPr>
          <w:rFonts w:cs="Arial"/>
        </w:rPr>
        <w:t xml:space="preserve"> </w:t>
      </w:r>
      <w:r w:rsidR="005E305B">
        <w:rPr>
          <w:rFonts w:cs="Arial"/>
        </w:rPr>
        <w:t>Tennant Creek</w:t>
      </w:r>
      <w:r w:rsidR="000D07D6" w:rsidRPr="008B1465">
        <w:rPr>
          <w:rFonts w:cs="Arial"/>
        </w:rPr>
        <w:t>; and</w:t>
      </w:r>
    </w:p>
    <w:p w14:paraId="3239F934" w14:textId="0668F5D1" w:rsidR="00994F0E" w:rsidRPr="005E305B" w:rsidRDefault="00165DCB" w:rsidP="00994F0E">
      <w:pPr>
        <w:pStyle w:val="ListParagraph"/>
        <w:numPr>
          <w:ilvl w:val="0"/>
          <w:numId w:val="17"/>
        </w:numPr>
        <w:ind w:left="714" w:hanging="357"/>
        <w:rPr>
          <w:rFonts w:cs="Arial"/>
        </w:rPr>
      </w:pPr>
      <w:r>
        <w:rPr>
          <w:rFonts w:cs="Arial"/>
        </w:rPr>
        <w:t>A</w:t>
      </w:r>
      <w:r w:rsidR="000D07D6" w:rsidRPr="008B1465">
        <w:rPr>
          <w:rFonts w:cs="Arial"/>
        </w:rPr>
        <w:t xml:space="preserve"> flexible approach to working with other stakeholders in order to deal with emerging issues linked to alcohol-related harm.</w:t>
      </w:r>
    </w:p>
    <w:p w14:paraId="0C3D964A" w14:textId="77777777" w:rsidR="000D07D6" w:rsidRPr="00381394" w:rsidRDefault="000D07D6" w:rsidP="00381394">
      <w:pPr>
        <w:pStyle w:val="Heading1"/>
      </w:pPr>
      <w:bookmarkStart w:id="16" w:name="_Toc450822249"/>
      <w:bookmarkStart w:id="17" w:name="_Toc159581463"/>
      <w:r w:rsidRPr="00381394">
        <w:lastRenderedPageBreak/>
        <w:t>Accord Strategies</w:t>
      </w:r>
      <w:bookmarkEnd w:id="16"/>
      <w:bookmarkEnd w:id="17"/>
    </w:p>
    <w:p w14:paraId="31BB46A3" w14:textId="7CA48343" w:rsidR="000D07D6" w:rsidRPr="008B1465" w:rsidRDefault="007D1813" w:rsidP="000D07D6">
      <w:pPr>
        <w:autoSpaceDE w:val="0"/>
        <w:autoSpaceDN w:val="0"/>
        <w:adjustRightInd w:val="0"/>
        <w:rPr>
          <w:rFonts w:cs="Arial"/>
        </w:rPr>
      </w:pPr>
      <w:r w:rsidRPr="007D1813">
        <w:rPr>
          <w:rFonts w:cs="Arial"/>
        </w:rPr>
        <w:t xml:space="preserve">The accord </w:t>
      </w:r>
      <w:r w:rsidR="000D07D6" w:rsidRPr="008B1465">
        <w:rPr>
          <w:rFonts w:cs="Arial"/>
        </w:rPr>
        <w:t xml:space="preserve">strategies identified by Licensees as a standard of responsible management within </w:t>
      </w:r>
      <w:r w:rsidR="00C42C46">
        <w:rPr>
          <w:rFonts w:cs="Arial"/>
        </w:rPr>
        <w:t>Tennant Creek</w:t>
      </w:r>
      <w:r w:rsidR="000D07D6" w:rsidRPr="008B1465">
        <w:rPr>
          <w:rFonts w:cs="Arial"/>
        </w:rPr>
        <w:t>.</w:t>
      </w:r>
      <w:r>
        <w:rPr>
          <w:rFonts w:cs="Arial"/>
        </w:rPr>
        <w:t xml:space="preserve"> </w:t>
      </w:r>
    </w:p>
    <w:p w14:paraId="7891A611" w14:textId="77777777" w:rsidR="003F7CE6" w:rsidRPr="002F17CA" w:rsidRDefault="003F7CE6" w:rsidP="002F17CA">
      <w:pPr>
        <w:pStyle w:val="Heading2"/>
      </w:pPr>
      <w:bookmarkStart w:id="18" w:name="_Toc159581464"/>
      <w:bookmarkStart w:id="19" w:name="_Toc450822250"/>
      <w:bookmarkStart w:id="20" w:name="iddDel069_mcn110_eq_delete"/>
      <w:r w:rsidRPr="002F17CA">
        <w:t>Commitment from Licensees</w:t>
      </w:r>
      <w:bookmarkEnd w:id="18"/>
    </w:p>
    <w:p w14:paraId="22628B4E" w14:textId="588A3D8A" w:rsidR="00272E99" w:rsidRDefault="003F7CE6" w:rsidP="003F7CE6">
      <w:r w:rsidRPr="003F7CE6">
        <w:t xml:space="preserve">In addition to adhering to </w:t>
      </w:r>
      <w:r w:rsidR="00B91B6F">
        <w:t>their</w:t>
      </w:r>
      <w:r w:rsidRPr="003F7CE6">
        <w:t xml:space="preserve"> legal obligations, including the </w:t>
      </w:r>
      <w:r w:rsidRPr="00FF1214">
        <w:rPr>
          <w:i/>
        </w:rPr>
        <w:t>Liquor Act 2019</w:t>
      </w:r>
      <w:r w:rsidRPr="003F7CE6">
        <w:t xml:space="preserve">, </w:t>
      </w:r>
      <w:r w:rsidR="00272E99">
        <w:t xml:space="preserve">the following </w:t>
      </w:r>
      <w:r w:rsidRPr="003F7CE6">
        <w:t>licence conditions</w:t>
      </w:r>
      <w:r w:rsidR="00272E99">
        <w:t xml:space="preserve"> apply for takeaway alcohol in Tennat Creek: </w:t>
      </w:r>
    </w:p>
    <w:p w14:paraId="0958B6F9" w14:textId="77777777" w:rsidR="00272E99" w:rsidRDefault="00272E99" w:rsidP="003F7CE6">
      <w:r w:rsidRPr="00272E99">
        <w:rPr>
          <w:b/>
          <w:bCs/>
        </w:rPr>
        <w:t>Takeaway Hours With the exception of bush orders</w:t>
      </w:r>
      <w:r>
        <w:t xml:space="preserve">, </w:t>
      </w:r>
    </w:p>
    <w:p w14:paraId="4B7289E0" w14:textId="77777777" w:rsidR="00272E99" w:rsidRDefault="00272E99" w:rsidP="003F7CE6">
      <w:r>
        <w:t xml:space="preserve">Takeaway sales of liquor from hotels, roadside inns and clubs shall be only be allowed during the following hours: </w:t>
      </w:r>
    </w:p>
    <w:p w14:paraId="646A62AE" w14:textId="6058AA90" w:rsidR="00272E99" w:rsidRDefault="00272E99" w:rsidP="00272E99">
      <w:pPr>
        <w:pStyle w:val="ListParagraph"/>
        <w:numPr>
          <w:ilvl w:val="0"/>
          <w:numId w:val="38"/>
        </w:numPr>
      </w:pPr>
      <w:r>
        <w:t xml:space="preserve">Monday to Friday between the hours of 16:00 and 19:00; </w:t>
      </w:r>
    </w:p>
    <w:p w14:paraId="5DB18070" w14:textId="2C085F7E" w:rsidR="00272E99" w:rsidRDefault="00272E99" w:rsidP="00272E99">
      <w:pPr>
        <w:pStyle w:val="ListParagraph"/>
        <w:numPr>
          <w:ilvl w:val="0"/>
          <w:numId w:val="38"/>
        </w:numPr>
      </w:pPr>
      <w:r>
        <w:t xml:space="preserve">Saturday and Public Holidays between the hours of 16:00 and 19:00; and </w:t>
      </w:r>
    </w:p>
    <w:p w14:paraId="5BDCB3BC" w14:textId="77777777" w:rsidR="0022003D" w:rsidRDefault="00272E99" w:rsidP="00272E99">
      <w:pPr>
        <w:pStyle w:val="ListParagraph"/>
        <w:numPr>
          <w:ilvl w:val="0"/>
          <w:numId w:val="38"/>
        </w:numPr>
      </w:pPr>
      <w:r>
        <w:t xml:space="preserve">No trading on Sunday, Good Friday and Christmas Day. </w:t>
      </w:r>
    </w:p>
    <w:p w14:paraId="01C8B656" w14:textId="77777777" w:rsidR="0022003D" w:rsidRDefault="0022003D" w:rsidP="0022003D"/>
    <w:p w14:paraId="663AA4A6" w14:textId="10954D71" w:rsidR="0022003D" w:rsidRPr="0022003D" w:rsidRDefault="00272E99" w:rsidP="0022003D">
      <w:r w:rsidRPr="0022003D">
        <w:rPr>
          <w:b/>
          <w:bCs/>
        </w:rPr>
        <w:t>Takeaway Restrictions</w:t>
      </w:r>
      <w:r w:rsidR="0022003D">
        <w:t xml:space="preserve">: </w:t>
      </w:r>
      <w:r w:rsidRPr="0022003D">
        <w:t xml:space="preserve"> </w:t>
      </w:r>
    </w:p>
    <w:p w14:paraId="1BCCE9A1" w14:textId="77777777" w:rsidR="0022003D" w:rsidRDefault="00272E99" w:rsidP="0022003D">
      <w:pPr>
        <w:ind w:left="360"/>
      </w:pPr>
      <w:r>
        <w:t xml:space="preserve">Liquor sold for consumption away from the premises will be limited to no more than one of the following products per person per day: </w:t>
      </w:r>
    </w:p>
    <w:p w14:paraId="085CF85A" w14:textId="77777777" w:rsidR="0022003D" w:rsidRDefault="00272E99" w:rsidP="0022003D">
      <w:pPr>
        <w:ind w:left="360"/>
      </w:pPr>
      <w:r>
        <w:t xml:space="preserve">(1) 30 cans or stubbies or mid-strength or light beer; or </w:t>
      </w:r>
    </w:p>
    <w:p w14:paraId="153D5598" w14:textId="77777777" w:rsidR="0022003D" w:rsidRDefault="00272E99" w:rsidP="0022003D">
      <w:pPr>
        <w:ind w:left="360"/>
      </w:pPr>
      <w:r>
        <w:t xml:space="preserve">(2) 24 cans or stubbies of full strength beer; or </w:t>
      </w:r>
    </w:p>
    <w:p w14:paraId="1EF7E055" w14:textId="77777777" w:rsidR="0022003D" w:rsidRDefault="00272E99" w:rsidP="0022003D">
      <w:pPr>
        <w:ind w:left="360"/>
      </w:pPr>
      <w:r>
        <w:t xml:space="preserve">(3) 12 cans or bottles of Ready To Drink (RTDs) mixes; or </w:t>
      </w:r>
    </w:p>
    <w:p w14:paraId="2E77DC62" w14:textId="77777777" w:rsidR="0022003D" w:rsidRDefault="00272E99" w:rsidP="0022003D">
      <w:pPr>
        <w:ind w:left="360"/>
      </w:pPr>
      <w:r>
        <w:t xml:space="preserve">(4) One two (2) litre cask of wine; or </w:t>
      </w:r>
    </w:p>
    <w:p w14:paraId="24F424A5" w14:textId="77777777" w:rsidR="0022003D" w:rsidRDefault="00272E99" w:rsidP="0022003D">
      <w:pPr>
        <w:ind w:left="360"/>
      </w:pPr>
      <w:r>
        <w:t xml:space="preserve">(5) One bottle of fortified wine; or </w:t>
      </w:r>
    </w:p>
    <w:p w14:paraId="241C3810" w14:textId="77777777" w:rsidR="0022003D" w:rsidRDefault="00272E99" w:rsidP="0022003D">
      <w:pPr>
        <w:ind w:left="360"/>
      </w:pPr>
      <w:r>
        <w:t xml:space="preserve">(6) One bottle of Green Ginger Wine; or </w:t>
      </w:r>
    </w:p>
    <w:p w14:paraId="273119E1" w14:textId="77777777" w:rsidR="0022003D" w:rsidRDefault="00272E99" w:rsidP="0022003D">
      <w:pPr>
        <w:ind w:left="360"/>
      </w:pPr>
      <w:r>
        <w:t xml:space="preserve">(7) Two (2) x 750ml bottles of wine; or </w:t>
      </w:r>
    </w:p>
    <w:p w14:paraId="1E60793D" w14:textId="699F8152" w:rsidR="00272E99" w:rsidRDefault="00272E99" w:rsidP="0022003D">
      <w:pPr>
        <w:ind w:left="360"/>
      </w:pPr>
      <w:r>
        <w:t>(8) One 750ml bottle of spirits. The sale of port, wine in glass container larger than one (1) litre and beer in bottles of 750ml or more remains prohibited.</w:t>
      </w:r>
    </w:p>
    <w:p w14:paraId="0CF21C7F" w14:textId="77777777" w:rsidR="0022003D" w:rsidRDefault="0022003D" w:rsidP="003F7CE6">
      <w:pPr>
        <w:rPr>
          <w:b/>
          <w:bCs/>
        </w:rPr>
      </w:pPr>
    </w:p>
    <w:p w14:paraId="42B98521" w14:textId="4AC89B14" w:rsidR="00272E99" w:rsidRDefault="00272E99" w:rsidP="003F7CE6">
      <w:r w:rsidRPr="00272E99">
        <w:rPr>
          <w:b/>
          <w:bCs/>
        </w:rPr>
        <w:t>Additional Takeaway Restrictions</w:t>
      </w:r>
      <w:r>
        <w:t xml:space="preserve"> </w:t>
      </w:r>
    </w:p>
    <w:p w14:paraId="280D804E" w14:textId="77777777" w:rsidR="00272E99" w:rsidRDefault="00272E99" w:rsidP="003F7CE6">
      <w:r>
        <w:t xml:space="preserve">The following restrictions apply to the takeaway facility: </w:t>
      </w:r>
    </w:p>
    <w:p w14:paraId="7F34AD4E" w14:textId="77777777" w:rsidR="00272E99" w:rsidRDefault="00272E99" w:rsidP="003F7CE6">
      <w:r>
        <w:t xml:space="preserve">(a) With the exception of wine in casks and Darwin Stubby Souvenir packs takeaway sales of liquor of any type being sold or supplied in a container larger than one (1) litre is prohibited; </w:t>
      </w:r>
    </w:p>
    <w:p w14:paraId="72517BD8" w14:textId="77777777" w:rsidR="00272E99" w:rsidRDefault="00272E99" w:rsidP="003F7CE6">
      <w:r>
        <w:t xml:space="preserve">(b) Wine in casks cannot be sold or supplied in containers larger than two (2) litres; </w:t>
      </w:r>
    </w:p>
    <w:p w14:paraId="61B81B56" w14:textId="77777777" w:rsidR="00272E99" w:rsidRDefault="00272E99" w:rsidP="003F7CE6">
      <w:r>
        <w:t xml:space="preserve">(c) Takeaway sales of cask wine, fortified wine and Stones Ginger Wine to be limited to the hours of 16:00hrs to 18:00hrs only. </w:t>
      </w:r>
    </w:p>
    <w:p w14:paraId="1177E1D8" w14:textId="77777777" w:rsidR="00272E99" w:rsidRDefault="00272E99" w:rsidP="003F7CE6">
      <w:r>
        <w:lastRenderedPageBreak/>
        <w:t xml:space="preserve">(d) On any given day, sale to a person of more than one (1) bottle of fortified wine or Green Ginger Wine or one (1) cask of wine is prohibited and Licensees who knowingly or recklessly make such sales will be in breach of this condition. </w:t>
      </w:r>
    </w:p>
    <w:p w14:paraId="45218B41" w14:textId="77777777" w:rsidR="00272E99" w:rsidRDefault="00272E99" w:rsidP="003F7CE6">
      <w:r>
        <w:t xml:space="preserve">(e) Sale of wine in glass containers of a capacity greater than one (1) litre are prohibited; </w:t>
      </w:r>
    </w:p>
    <w:p w14:paraId="0D75A906" w14:textId="77777777" w:rsidR="00272E99" w:rsidRDefault="00272E99" w:rsidP="003F7CE6">
      <w:r>
        <w:t xml:space="preserve">(f) Takeaway sale of Port in any container is prohibited; </w:t>
      </w:r>
    </w:p>
    <w:p w14:paraId="782199A7" w14:textId="77777777" w:rsidR="00272E99" w:rsidRDefault="00272E99" w:rsidP="003F7CE6">
      <w:r>
        <w:t xml:space="preserve">(g) Takeaway sales of 750ml and 800ml beer bottle (long necks) prohibited. </w:t>
      </w:r>
    </w:p>
    <w:p w14:paraId="09F3F1FE" w14:textId="3F3BD987" w:rsidR="00272E99" w:rsidRDefault="00272E99" w:rsidP="003F7CE6">
      <w:r>
        <w:t>(h) Liquor may not be sold to a taxi driver where the taxi driver is acting as purchasing agent for a third party, or in circumstances which might lead the reasonable man to believe that the liquor purchased is not for the taxi driver’s personal consumption.</w:t>
      </w:r>
    </w:p>
    <w:p w14:paraId="19498CB4" w14:textId="77777777" w:rsidR="0022003D" w:rsidRDefault="0022003D" w:rsidP="003F7CE6"/>
    <w:p w14:paraId="5CCBAB2A" w14:textId="77777777" w:rsidR="000D07D6" w:rsidRPr="002F17CA" w:rsidRDefault="000D07D6" w:rsidP="002F17CA">
      <w:pPr>
        <w:pStyle w:val="Heading2"/>
      </w:pPr>
      <w:bookmarkStart w:id="21" w:name="_Toc450822251"/>
      <w:bookmarkStart w:id="22" w:name="_Toc159581465"/>
      <w:bookmarkStart w:id="23" w:name="iddDel039_mn111_eq_N"/>
      <w:bookmarkStart w:id="24" w:name="iddContextmn111"/>
      <w:bookmarkStart w:id="25" w:name="_Toc472826004"/>
      <w:bookmarkEnd w:id="19"/>
      <w:r w:rsidRPr="002F17CA">
        <w:t>Safety and security</w:t>
      </w:r>
      <w:bookmarkEnd w:id="21"/>
      <w:bookmarkEnd w:id="22"/>
    </w:p>
    <w:p w14:paraId="0C724D64" w14:textId="77777777" w:rsidR="000D07D6" w:rsidRPr="008B1465" w:rsidRDefault="000D07D6" w:rsidP="000D07D6">
      <w:pPr>
        <w:rPr>
          <w:rFonts w:cs="Arial"/>
          <w:b/>
        </w:rPr>
      </w:pPr>
      <w:r w:rsidRPr="008B1465">
        <w:rPr>
          <w:rFonts w:cs="Arial"/>
          <w:b/>
        </w:rPr>
        <w:t>Provision of a safe environment</w:t>
      </w:r>
      <w:r w:rsidR="000E704C" w:rsidRPr="008B1465">
        <w:rPr>
          <w:rFonts w:cs="Arial"/>
          <w:b/>
        </w:rPr>
        <w:t>:</w:t>
      </w:r>
    </w:p>
    <w:p w14:paraId="2D94C3F2" w14:textId="27EFF946" w:rsidR="000D07D6" w:rsidRDefault="00165DCB" w:rsidP="00C03B9F">
      <w:pPr>
        <w:pStyle w:val="ListParagraph"/>
        <w:numPr>
          <w:ilvl w:val="0"/>
          <w:numId w:val="19"/>
        </w:numPr>
        <w:ind w:left="714" w:hanging="357"/>
      </w:pPr>
      <w:r w:rsidRPr="002D25D5">
        <w:t>L</w:t>
      </w:r>
      <w:r w:rsidR="000D07D6" w:rsidRPr="002D25D5">
        <w:t xml:space="preserve">icensee to ensure CCTV is operating as specified in licence conditions. </w:t>
      </w:r>
    </w:p>
    <w:p w14:paraId="56BEA1A2" w14:textId="52553F12" w:rsidR="00272E99" w:rsidRPr="002D25D5" w:rsidRDefault="00272E99" w:rsidP="00C03B9F">
      <w:pPr>
        <w:pStyle w:val="ListParagraph"/>
        <w:numPr>
          <w:ilvl w:val="0"/>
          <w:numId w:val="19"/>
        </w:numPr>
        <w:ind w:left="714" w:hanging="357"/>
      </w:pPr>
      <w:r>
        <w:t>Licensee to record and report any suspicious sales or behaviour to NT Police and/or Licensing NT</w:t>
      </w:r>
    </w:p>
    <w:p w14:paraId="3F2DF13B" w14:textId="77777777" w:rsidR="000D07D6" w:rsidRPr="008B1465" w:rsidRDefault="000E704C" w:rsidP="000D07D6">
      <w:pPr>
        <w:rPr>
          <w:rFonts w:cs="Arial"/>
          <w:b/>
        </w:rPr>
      </w:pPr>
      <w:r w:rsidRPr="008B1465">
        <w:rPr>
          <w:rFonts w:cs="Arial"/>
          <w:b/>
        </w:rPr>
        <w:t>R</w:t>
      </w:r>
      <w:r w:rsidR="000D07D6" w:rsidRPr="008B1465">
        <w:rPr>
          <w:rFonts w:cs="Arial"/>
          <w:b/>
        </w:rPr>
        <w:t>elationship with other authorities</w:t>
      </w:r>
      <w:r>
        <w:rPr>
          <w:rFonts w:cs="Arial"/>
          <w:b/>
        </w:rPr>
        <w:t>:</w:t>
      </w:r>
      <w:r w:rsidR="000D07D6" w:rsidRPr="008B1465">
        <w:rPr>
          <w:rFonts w:cs="Arial"/>
          <w:b/>
        </w:rPr>
        <w:t xml:space="preserve"> </w:t>
      </w:r>
    </w:p>
    <w:p w14:paraId="608C47DD" w14:textId="188CA1BD" w:rsidR="000D07D6" w:rsidRDefault="000D07D6" w:rsidP="00381394">
      <w:pPr>
        <w:pStyle w:val="ListParagraph"/>
        <w:rPr>
          <w:rFonts w:eastAsia="Times New Roman"/>
        </w:rPr>
      </w:pPr>
      <w:r w:rsidRPr="008B1465">
        <w:rPr>
          <w:rFonts w:eastAsia="Times New Roman"/>
        </w:rPr>
        <w:t xml:space="preserve">Close liaison and co-operation will be maintained with </w:t>
      </w:r>
      <w:r w:rsidR="00141199">
        <w:rPr>
          <w:rFonts w:eastAsia="Times New Roman"/>
        </w:rPr>
        <w:t xml:space="preserve">NT </w:t>
      </w:r>
      <w:r w:rsidRPr="008B1465">
        <w:rPr>
          <w:rFonts w:eastAsia="Times New Roman"/>
        </w:rPr>
        <w:t xml:space="preserve">Police and Licensing NT on measures to improve public safety in and around licensed premises. </w:t>
      </w:r>
    </w:p>
    <w:p w14:paraId="6E7930D2" w14:textId="77777777" w:rsidR="00C42C46" w:rsidRPr="008B1465" w:rsidRDefault="00C42C46" w:rsidP="00381394">
      <w:pPr>
        <w:pStyle w:val="ListParagraph"/>
        <w:rPr>
          <w:rFonts w:eastAsia="Times New Roman"/>
        </w:rPr>
      </w:pPr>
    </w:p>
    <w:p w14:paraId="430307AC" w14:textId="1D85A001" w:rsidR="000D07D6" w:rsidRPr="00165DCB" w:rsidRDefault="000D07D6" w:rsidP="00165DCB">
      <w:pPr>
        <w:pStyle w:val="Heading2"/>
      </w:pPr>
      <w:bookmarkStart w:id="26" w:name="_Toc450822252"/>
      <w:bookmarkStart w:id="27" w:name="_Toc159581466"/>
      <w:bookmarkStart w:id="28" w:name="_Toc77651232"/>
      <w:bookmarkEnd w:id="20"/>
      <w:bookmarkEnd w:id="23"/>
      <w:bookmarkEnd w:id="24"/>
      <w:r w:rsidRPr="00165DCB">
        <w:t>Improving the amenity of</w:t>
      </w:r>
      <w:bookmarkEnd w:id="26"/>
      <w:r w:rsidR="00272E99">
        <w:t xml:space="preserve"> Tennant Creek</w:t>
      </w:r>
      <w:bookmarkEnd w:id="27"/>
      <w:r w:rsidR="00272E99">
        <w:t xml:space="preserve"> </w:t>
      </w:r>
    </w:p>
    <w:p w14:paraId="664A37E9" w14:textId="77777777" w:rsidR="000D07D6" w:rsidRPr="008B1465" w:rsidRDefault="000D07D6" w:rsidP="000D07D6">
      <w:pPr>
        <w:rPr>
          <w:rFonts w:eastAsia="Arial Unicode MS" w:cs="Arial"/>
          <w:b/>
          <w:sz w:val="28"/>
          <w:szCs w:val="32"/>
        </w:rPr>
      </w:pPr>
      <w:r w:rsidRPr="008B1465">
        <w:rPr>
          <w:rFonts w:cs="Arial"/>
          <w:b/>
        </w:rPr>
        <w:t>Licensees as ‘good neighbours’</w:t>
      </w:r>
      <w:r w:rsidR="000E704C" w:rsidRPr="008B1465">
        <w:rPr>
          <w:rFonts w:cs="Arial"/>
          <w:b/>
        </w:rPr>
        <w:t>:</w:t>
      </w:r>
    </w:p>
    <w:p w14:paraId="484FCB19" w14:textId="30F7B079" w:rsidR="000D07D6" w:rsidRPr="008B1465" w:rsidRDefault="000D07D6" w:rsidP="00C03B9F">
      <w:pPr>
        <w:pStyle w:val="ListParagraph"/>
        <w:numPr>
          <w:ilvl w:val="0"/>
          <w:numId w:val="24"/>
        </w:numPr>
        <w:ind w:left="714" w:hanging="357"/>
        <w:rPr>
          <w:rFonts w:eastAsia="Times New Roman"/>
        </w:rPr>
      </w:pPr>
      <w:r w:rsidRPr="008B1465">
        <w:rPr>
          <w:rFonts w:eastAsia="Times New Roman"/>
        </w:rPr>
        <w:t xml:space="preserve">All licensed premises and Licensees to operate as a “good neighbour” and have a genuine desire to respond to complaints and concerns of other traders/residents in </w:t>
      </w:r>
      <w:r w:rsidR="00C041B4">
        <w:rPr>
          <w:rFonts w:eastAsia="Times New Roman"/>
        </w:rPr>
        <w:t xml:space="preserve">the neighbourhood </w:t>
      </w:r>
      <w:r w:rsidRPr="008B1465">
        <w:rPr>
          <w:rFonts w:eastAsia="Times New Roman"/>
        </w:rPr>
        <w:t xml:space="preserve">by having a complaint procedure in place. </w:t>
      </w:r>
    </w:p>
    <w:p w14:paraId="382F55AD" w14:textId="77777777" w:rsidR="000D07D6" w:rsidRPr="008B1465" w:rsidRDefault="000D07D6" w:rsidP="00C03B9F">
      <w:pPr>
        <w:pStyle w:val="ListParagraph"/>
        <w:numPr>
          <w:ilvl w:val="0"/>
          <w:numId w:val="25"/>
        </w:numPr>
        <w:ind w:left="714" w:hanging="357"/>
        <w:rPr>
          <w:rFonts w:eastAsia="Times New Roman"/>
        </w:rPr>
      </w:pPr>
      <w:r w:rsidRPr="008B1465">
        <w:rPr>
          <w:rFonts w:eastAsia="Times New Roman"/>
        </w:rPr>
        <w:t xml:space="preserve">Licensees to ensure any litter or waste identified within close proximity is picked up and disposed of in rubbish containers. </w:t>
      </w:r>
    </w:p>
    <w:p w14:paraId="0AF68E4A" w14:textId="77777777" w:rsidR="000D07D6" w:rsidRPr="008B1465" w:rsidRDefault="000D07D6" w:rsidP="00C03B9F">
      <w:pPr>
        <w:pStyle w:val="ListParagraph"/>
        <w:numPr>
          <w:ilvl w:val="0"/>
          <w:numId w:val="25"/>
        </w:numPr>
        <w:ind w:left="714" w:hanging="357"/>
        <w:rPr>
          <w:rFonts w:eastAsia="Times New Roman"/>
        </w:rPr>
      </w:pPr>
      <w:r w:rsidRPr="008B1465">
        <w:rPr>
          <w:rFonts w:eastAsia="Times New Roman"/>
        </w:rPr>
        <w:t xml:space="preserve">Licensees will monitor patrons waiting to enter the licensed premises to ensure that patrons do not impact on the amenity of the area. </w:t>
      </w:r>
      <w:r w:rsidR="00381394">
        <w:rPr>
          <w:rFonts w:eastAsia="Times New Roman"/>
        </w:rPr>
        <w:br/>
      </w:r>
    </w:p>
    <w:p w14:paraId="2FBD6874" w14:textId="77777777" w:rsidR="000D07D6" w:rsidRPr="008B1465" w:rsidRDefault="000D07D6" w:rsidP="000D07D6">
      <w:pPr>
        <w:rPr>
          <w:rFonts w:cs="Arial"/>
          <w:b/>
        </w:rPr>
      </w:pPr>
      <w:r w:rsidRPr="008B1465">
        <w:rPr>
          <w:rFonts w:cs="Arial"/>
          <w:b/>
        </w:rPr>
        <w:t>Leaving the licensed premises</w:t>
      </w:r>
      <w:r w:rsidR="000E704C" w:rsidRPr="008B1465">
        <w:rPr>
          <w:rFonts w:cs="Arial"/>
          <w:b/>
        </w:rPr>
        <w:t>:</w:t>
      </w:r>
      <w:r w:rsidRPr="008B1465">
        <w:rPr>
          <w:rFonts w:cs="Arial"/>
          <w:b/>
        </w:rPr>
        <w:t xml:space="preserve"> </w:t>
      </w:r>
    </w:p>
    <w:p w14:paraId="105CED21" w14:textId="77777777" w:rsidR="000D07D6" w:rsidRPr="008B1465" w:rsidRDefault="000D07D6" w:rsidP="00C03B9F">
      <w:pPr>
        <w:pStyle w:val="ListParagraph"/>
        <w:numPr>
          <w:ilvl w:val="0"/>
          <w:numId w:val="26"/>
        </w:numPr>
        <w:ind w:left="714" w:hanging="357"/>
        <w:rPr>
          <w:rFonts w:eastAsia="Times New Roman"/>
        </w:rPr>
      </w:pPr>
      <w:r w:rsidRPr="008B1465">
        <w:rPr>
          <w:rFonts w:eastAsia="Times New Roman"/>
        </w:rPr>
        <w:t xml:space="preserve">Licensees will make all endeavours to ensure patrons do not leave the licensed premises with alcohol or glass (unless takeaway alcohol is permitted under licence conditions). </w:t>
      </w:r>
    </w:p>
    <w:p w14:paraId="5801CD4C" w14:textId="77777777" w:rsidR="000D07D6" w:rsidRDefault="000D07D6" w:rsidP="00C03B9F">
      <w:pPr>
        <w:pStyle w:val="ListParagraph"/>
        <w:numPr>
          <w:ilvl w:val="0"/>
          <w:numId w:val="26"/>
        </w:numPr>
        <w:ind w:left="714" w:hanging="357"/>
        <w:rPr>
          <w:rFonts w:eastAsia="Times New Roman"/>
        </w:rPr>
      </w:pPr>
      <w:r w:rsidRPr="008B1465">
        <w:rPr>
          <w:rFonts w:eastAsia="Times New Roman"/>
        </w:rPr>
        <w:t xml:space="preserve">All patrons have access to information on transport options when leaving the venue, including directions to a taxi rank. </w:t>
      </w:r>
    </w:p>
    <w:p w14:paraId="1DC33B21" w14:textId="77777777" w:rsidR="00C42C46" w:rsidRPr="008B1465" w:rsidRDefault="00C42C46" w:rsidP="00C42C46">
      <w:pPr>
        <w:pStyle w:val="ListParagraph"/>
        <w:ind w:left="714"/>
        <w:rPr>
          <w:rFonts w:eastAsia="Times New Roman"/>
        </w:rPr>
      </w:pPr>
    </w:p>
    <w:p w14:paraId="582DD34B" w14:textId="3FFE4C45" w:rsidR="000D07D6" w:rsidRPr="00165DCB" w:rsidRDefault="000D07D6" w:rsidP="00165DCB">
      <w:pPr>
        <w:pStyle w:val="Heading2"/>
      </w:pPr>
      <w:bookmarkStart w:id="29" w:name="_Toc450822253"/>
      <w:bookmarkStart w:id="30" w:name="_Toc159581467"/>
      <w:r w:rsidRPr="00165DCB">
        <w:lastRenderedPageBreak/>
        <w:t xml:space="preserve">Encouraging the growth of a more responsible drinking culture in </w:t>
      </w:r>
      <w:bookmarkEnd w:id="29"/>
      <w:r w:rsidR="00C42C46">
        <w:t>Tennant Creek</w:t>
      </w:r>
      <w:bookmarkEnd w:id="30"/>
    </w:p>
    <w:p w14:paraId="710FD9A8" w14:textId="77777777" w:rsidR="000D07D6" w:rsidRPr="007607B3" w:rsidRDefault="000D07D6" w:rsidP="007607B3">
      <w:pPr>
        <w:rPr>
          <w:b/>
          <w:bCs/>
        </w:rPr>
      </w:pPr>
      <w:r w:rsidRPr="00BE44F4">
        <w:rPr>
          <w:b/>
        </w:rPr>
        <w:t>Licensees will:</w:t>
      </w:r>
    </w:p>
    <w:p w14:paraId="081DF413" w14:textId="77777777" w:rsidR="000D07D6" w:rsidRPr="008B1465" w:rsidRDefault="000D07D6" w:rsidP="00C03B9F">
      <w:pPr>
        <w:pStyle w:val="ListParagraph"/>
        <w:numPr>
          <w:ilvl w:val="0"/>
          <w:numId w:val="31"/>
        </w:numPr>
        <w:ind w:left="714" w:hanging="357"/>
        <w:rPr>
          <w:rFonts w:eastAsia="Times New Roman"/>
          <w:bCs/>
        </w:rPr>
      </w:pPr>
      <w:r w:rsidRPr="008B1465">
        <w:rPr>
          <w:rFonts w:eastAsia="Times New Roman"/>
        </w:rPr>
        <w:t>Display campaign material promoting responsible drinking and other harm reduction initiatives.</w:t>
      </w:r>
    </w:p>
    <w:p w14:paraId="00294211" w14:textId="241B468D" w:rsidR="000D07D6" w:rsidRPr="00165DCB" w:rsidRDefault="000D07D6" w:rsidP="00C03B9F">
      <w:pPr>
        <w:pStyle w:val="ListParagraph"/>
        <w:numPr>
          <w:ilvl w:val="0"/>
          <w:numId w:val="31"/>
        </w:numPr>
        <w:ind w:left="714" w:hanging="357"/>
        <w:rPr>
          <w:rFonts w:eastAsia="Times New Roman"/>
          <w:bCs/>
        </w:rPr>
      </w:pPr>
      <w:r w:rsidRPr="008B1465">
        <w:rPr>
          <w:rFonts w:eastAsia="Times New Roman"/>
        </w:rPr>
        <w:t>Support Advisers and service providers, where appropriate, with other liquor supply control, alcohol harm reduction and alcohol harm prevention measures.</w:t>
      </w:r>
    </w:p>
    <w:p w14:paraId="456E57D4" w14:textId="7616F9AB" w:rsidR="00165DCB" w:rsidRDefault="00165DCB" w:rsidP="00165DCB">
      <w:pPr>
        <w:pStyle w:val="Heading2"/>
        <w:rPr>
          <w:rFonts w:eastAsia="Times New Roman"/>
        </w:rPr>
      </w:pPr>
      <w:bookmarkStart w:id="31" w:name="_Toc159581468"/>
      <w:r>
        <w:rPr>
          <w:rFonts w:eastAsia="Times New Roman"/>
        </w:rPr>
        <w:t>Accord performance indicators</w:t>
      </w:r>
      <w:bookmarkEnd w:id="31"/>
    </w:p>
    <w:p w14:paraId="6A7511A6" w14:textId="7FEE4E3F" w:rsidR="00165DCB" w:rsidRDefault="00165DCB" w:rsidP="00165DCB">
      <w:r>
        <w:t>The performance indicators for reviewing the effectiveness of the Accord:</w:t>
      </w:r>
    </w:p>
    <w:p w14:paraId="743CBBB2" w14:textId="59509F9D" w:rsidR="00165DCB" w:rsidRDefault="00165DCB" w:rsidP="003B0972">
      <w:pPr>
        <w:pStyle w:val="ListParagraph"/>
        <w:numPr>
          <w:ilvl w:val="0"/>
          <w:numId w:val="35"/>
        </w:numPr>
        <w:ind w:left="714" w:hanging="357"/>
      </w:pPr>
      <w:r>
        <w:t>Measurable reduction in alcohol</w:t>
      </w:r>
      <w:r w:rsidR="00141199">
        <w:t>-</w:t>
      </w:r>
      <w:r>
        <w:t xml:space="preserve">related crime and anti-social behaviour associated with takeaway liquor within the </w:t>
      </w:r>
      <w:r w:rsidR="00272E99">
        <w:t>Tennant Creek area</w:t>
      </w:r>
      <w:r>
        <w:t>;</w:t>
      </w:r>
    </w:p>
    <w:p w14:paraId="5F6D2140" w14:textId="2AE573BB" w:rsidR="00165DCB" w:rsidRDefault="00165DCB" w:rsidP="003B0972">
      <w:pPr>
        <w:pStyle w:val="ListParagraph"/>
        <w:numPr>
          <w:ilvl w:val="0"/>
          <w:numId w:val="35"/>
        </w:numPr>
        <w:ind w:left="714" w:hanging="357"/>
      </w:pPr>
      <w:r>
        <w:t xml:space="preserve">To increase the number of people in the community who perceive </w:t>
      </w:r>
      <w:r w:rsidR="00272E99">
        <w:t>Tennant Creek</w:t>
      </w:r>
      <w:r>
        <w:t xml:space="preserve"> to be safer; and</w:t>
      </w:r>
    </w:p>
    <w:p w14:paraId="61B929DE" w14:textId="72728EA2" w:rsidR="00165DCB" w:rsidRDefault="00165DCB" w:rsidP="003B0972">
      <w:pPr>
        <w:pStyle w:val="ListParagraph"/>
        <w:numPr>
          <w:ilvl w:val="0"/>
          <w:numId w:val="35"/>
        </w:numPr>
        <w:ind w:left="714" w:hanging="357"/>
      </w:pPr>
      <w:r>
        <w:t>An enhanced relationship between community, licensees, local police, local government and Licensing NT.</w:t>
      </w:r>
    </w:p>
    <w:p w14:paraId="42762886" w14:textId="77777777" w:rsidR="00C42C46" w:rsidRPr="00165DCB" w:rsidRDefault="00C42C46" w:rsidP="00C42C46">
      <w:pPr>
        <w:pStyle w:val="ListParagraph"/>
        <w:ind w:left="714"/>
      </w:pPr>
    </w:p>
    <w:p w14:paraId="49D82C64" w14:textId="47668650" w:rsidR="000D07D6" w:rsidRPr="009340B5" w:rsidRDefault="00155B94" w:rsidP="009340B5">
      <w:pPr>
        <w:pStyle w:val="Heading1"/>
      </w:pPr>
      <w:bookmarkStart w:id="32" w:name="_Toc450822254"/>
      <w:bookmarkStart w:id="33" w:name="_Toc159581469"/>
      <w:r>
        <w:t>NT</w:t>
      </w:r>
      <w:r w:rsidRPr="009340B5">
        <w:t xml:space="preserve"> </w:t>
      </w:r>
      <w:r w:rsidR="000D07D6" w:rsidRPr="009340B5">
        <w:t>Police</w:t>
      </w:r>
      <w:bookmarkEnd w:id="32"/>
      <w:bookmarkEnd w:id="33"/>
    </w:p>
    <w:p w14:paraId="052BC43C" w14:textId="77777777" w:rsidR="000D07D6" w:rsidRPr="00BE44F4" w:rsidRDefault="000D07D6" w:rsidP="00BE44F4">
      <w:pPr>
        <w:rPr>
          <w:b/>
          <w:bCs/>
        </w:rPr>
      </w:pPr>
      <w:r w:rsidRPr="00BE44F4">
        <w:rPr>
          <w:b/>
        </w:rPr>
        <w:t>Agree to:</w:t>
      </w:r>
    </w:p>
    <w:p w14:paraId="7B13F3BB" w14:textId="68674089" w:rsidR="000D07D6" w:rsidRPr="008B1465" w:rsidRDefault="00081A17" w:rsidP="00BE44F4">
      <w:pPr>
        <w:pStyle w:val="ListParagraph"/>
        <w:numPr>
          <w:ilvl w:val="0"/>
          <w:numId w:val="30"/>
        </w:numPr>
        <w:rPr>
          <w:rFonts w:eastAsia="Times New Roman"/>
          <w:bCs/>
        </w:rPr>
      </w:pPr>
      <w:r>
        <w:rPr>
          <w:rFonts w:eastAsia="Times New Roman"/>
        </w:rPr>
        <w:t xml:space="preserve">Provide support </w:t>
      </w:r>
      <w:r w:rsidR="000D07D6" w:rsidRPr="008B1465">
        <w:rPr>
          <w:rFonts w:eastAsia="Times New Roman"/>
        </w:rPr>
        <w:t xml:space="preserve">at </w:t>
      </w:r>
      <w:r>
        <w:rPr>
          <w:rFonts w:eastAsia="Times New Roman"/>
        </w:rPr>
        <w:t xml:space="preserve">key times and locations identified by </w:t>
      </w:r>
      <w:r w:rsidR="00141199">
        <w:rPr>
          <w:rFonts w:eastAsia="Times New Roman"/>
        </w:rPr>
        <w:t>A</w:t>
      </w:r>
      <w:r>
        <w:rPr>
          <w:rFonts w:eastAsia="Times New Roman"/>
        </w:rPr>
        <w:t>ccord members</w:t>
      </w:r>
      <w:r w:rsidR="009A103B">
        <w:rPr>
          <w:rFonts w:eastAsia="Times New Roman"/>
        </w:rPr>
        <w:t>.</w:t>
      </w:r>
    </w:p>
    <w:p w14:paraId="7042F65E" w14:textId="77777777" w:rsidR="00A7462E" w:rsidRPr="00A7462E" w:rsidRDefault="00A7462E" w:rsidP="00A7462E">
      <w:pPr>
        <w:pStyle w:val="ListParagraph"/>
        <w:numPr>
          <w:ilvl w:val="0"/>
          <w:numId w:val="30"/>
        </w:numPr>
        <w:rPr>
          <w:rFonts w:eastAsia="Times New Roman"/>
          <w:bCs/>
        </w:rPr>
      </w:pPr>
      <w:r w:rsidRPr="00A7462E">
        <w:rPr>
          <w:rFonts w:eastAsia="Times New Roman"/>
          <w:bCs/>
        </w:rPr>
        <w:t>Work with Accord members to reduce the prevalence of alcohol related harm, violence and social order.</w:t>
      </w:r>
    </w:p>
    <w:p w14:paraId="53F27639" w14:textId="77777777" w:rsidR="00A7462E" w:rsidRPr="00A7462E" w:rsidRDefault="00A7462E" w:rsidP="00A7462E">
      <w:pPr>
        <w:pStyle w:val="ListParagraph"/>
        <w:numPr>
          <w:ilvl w:val="0"/>
          <w:numId w:val="30"/>
        </w:numPr>
        <w:rPr>
          <w:rFonts w:eastAsia="Times New Roman"/>
          <w:bCs/>
        </w:rPr>
      </w:pPr>
      <w:r w:rsidRPr="00A7462E">
        <w:rPr>
          <w:rFonts w:eastAsia="Times New Roman"/>
          <w:bCs/>
        </w:rPr>
        <w:t>Assist licensees to ensure they are adhering to their obligations under the Liquor Act.</w:t>
      </w:r>
    </w:p>
    <w:p w14:paraId="5571A66D" w14:textId="77777777" w:rsidR="00A7462E" w:rsidRPr="00A7462E" w:rsidRDefault="00A7462E" w:rsidP="00A7462E">
      <w:pPr>
        <w:pStyle w:val="ListParagraph"/>
        <w:numPr>
          <w:ilvl w:val="0"/>
          <w:numId w:val="30"/>
        </w:numPr>
        <w:rPr>
          <w:rFonts w:eastAsia="Times New Roman"/>
          <w:bCs/>
        </w:rPr>
      </w:pPr>
      <w:r w:rsidRPr="00A7462E">
        <w:rPr>
          <w:rFonts w:eastAsia="Times New Roman"/>
          <w:bCs/>
        </w:rPr>
        <w:t>Meet with Accord members and other relevant stakeholder as required.</w:t>
      </w:r>
    </w:p>
    <w:p w14:paraId="7A03D151" w14:textId="77777777" w:rsidR="009A103B" w:rsidRDefault="009A103B" w:rsidP="009A103B">
      <w:pPr>
        <w:rPr>
          <w:rFonts w:eastAsia="Times New Roman"/>
          <w:bCs/>
        </w:rPr>
      </w:pPr>
    </w:p>
    <w:p w14:paraId="053C512C" w14:textId="77777777" w:rsidR="009A103B" w:rsidRPr="009A103B" w:rsidRDefault="009A103B" w:rsidP="009A103B">
      <w:pPr>
        <w:rPr>
          <w:rFonts w:eastAsia="Times New Roman"/>
          <w:bCs/>
        </w:rPr>
      </w:pPr>
    </w:p>
    <w:p w14:paraId="390813CF" w14:textId="0815D527" w:rsidR="000D07D6" w:rsidRPr="009340B5" w:rsidRDefault="000D07D6" w:rsidP="009340B5">
      <w:pPr>
        <w:pStyle w:val="Heading1"/>
      </w:pPr>
      <w:bookmarkStart w:id="34" w:name="_Toc450822255"/>
      <w:bookmarkStart w:id="35" w:name="_Toc159581470"/>
      <w:r w:rsidRPr="009340B5">
        <w:t>Licensing NT</w:t>
      </w:r>
      <w:bookmarkEnd w:id="34"/>
      <w:bookmarkEnd w:id="35"/>
    </w:p>
    <w:p w14:paraId="05ECBCFA" w14:textId="77777777" w:rsidR="000D07D6" w:rsidRPr="008B1465" w:rsidRDefault="000D07D6" w:rsidP="000D07D6">
      <w:pPr>
        <w:pStyle w:val="IndentParaLevel1"/>
        <w:ind w:left="0"/>
        <w:rPr>
          <w:rFonts w:ascii="Lato" w:hAnsi="Lato" w:cs="Arial"/>
          <w:b/>
        </w:rPr>
      </w:pPr>
      <w:r w:rsidRPr="008B1465">
        <w:rPr>
          <w:rFonts w:ascii="Lato" w:hAnsi="Lato" w:cs="Arial"/>
          <w:b/>
        </w:rPr>
        <w:t>Licensing NT agrees to:</w:t>
      </w:r>
    </w:p>
    <w:p w14:paraId="661A6EF3" w14:textId="0ED231AE" w:rsidR="000D07D6" w:rsidRPr="008B1465" w:rsidRDefault="00165DCB" w:rsidP="00C03B9F">
      <w:pPr>
        <w:pStyle w:val="ListParagraph"/>
        <w:numPr>
          <w:ilvl w:val="0"/>
          <w:numId w:val="27"/>
        </w:numPr>
        <w:ind w:left="714" w:hanging="357"/>
        <w:rPr>
          <w:rFonts w:eastAsia="Times New Roman"/>
        </w:rPr>
      </w:pPr>
      <w:r>
        <w:rPr>
          <w:rFonts w:eastAsia="Times New Roman"/>
        </w:rPr>
        <w:t>W</w:t>
      </w:r>
      <w:r w:rsidR="000D07D6" w:rsidRPr="008B1465">
        <w:rPr>
          <w:rFonts w:eastAsia="Times New Roman"/>
        </w:rPr>
        <w:t xml:space="preserve">ork with Licensees and </w:t>
      </w:r>
      <w:r w:rsidR="00155B94">
        <w:rPr>
          <w:rFonts w:eastAsia="Times New Roman"/>
        </w:rPr>
        <w:t xml:space="preserve">NT </w:t>
      </w:r>
      <w:r w:rsidR="000D07D6" w:rsidRPr="008B1465">
        <w:rPr>
          <w:rFonts w:eastAsia="Times New Roman"/>
        </w:rPr>
        <w:t>Police to implement the Accord and improve community safety;</w:t>
      </w:r>
    </w:p>
    <w:p w14:paraId="1F1F5FF5" w14:textId="70915DE2" w:rsidR="000D07D6" w:rsidRPr="008B1465" w:rsidRDefault="00165DCB" w:rsidP="00C03B9F">
      <w:pPr>
        <w:pStyle w:val="ListParagraph"/>
        <w:numPr>
          <w:ilvl w:val="0"/>
          <w:numId w:val="27"/>
        </w:numPr>
        <w:ind w:left="714" w:hanging="357"/>
        <w:rPr>
          <w:rFonts w:eastAsia="Times New Roman"/>
        </w:rPr>
      </w:pPr>
      <w:r>
        <w:rPr>
          <w:rFonts w:eastAsia="Times New Roman"/>
        </w:rPr>
        <w:t>S</w:t>
      </w:r>
      <w:r w:rsidR="000D07D6" w:rsidRPr="008B1465">
        <w:rPr>
          <w:rFonts w:eastAsia="Times New Roman"/>
        </w:rPr>
        <w:t xml:space="preserve">upport the </w:t>
      </w:r>
      <w:r w:rsidR="00F42D6A">
        <w:rPr>
          <w:rFonts w:eastAsia="Times New Roman"/>
        </w:rPr>
        <w:t>Tennant Creek</w:t>
      </w:r>
      <w:r w:rsidR="009A103B">
        <w:rPr>
          <w:lang w:eastAsia="en-AU"/>
        </w:rPr>
        <w:t xml:space="preserve"> </w:t>
      </w:r>
      <w:r w:rsidR="000D07D6" w:rsidRPr="008B1465">
        <w:rPr>
          <w:rFonts w:eastAsia="Times New Roman"/>
        </w:rPr>
        <w:t>Accord by providing advice to all liquor licence holders as to relevant liquor licensing laws; and</w:t>
      </w:r>
    </w:p>
    <w:p w14:paraId="37E18493" w14:textId="07C21769" w:rsidR="008F1EEE" w:rsidRDefault="00165DCB" w:rsidP="00C03B9F">
      <w:pPr>
        <w:pStyle w:val="ListParagraph"/>
        <w:numPr>
          <w:ilvl w:val="0"/>
          <w:numId w:val="27"/>
        </w:numPr>
        <w:ind w:left="714" w:hanging="357"/>
        <w:rPr>
          <w:rFonts w:eastAsia="Times New Roman"/>
        </w:rPr>
      </w:pPr>
      <w:r>
        <w:rPr>
          <w:rFonts w:eastAsia="Times New Roman"/>
        </w:rPr>
        <w:t>M</w:t>
      </w:r>
      <w:r w:rsidR="000D07D6" w:rsidRPr="008B1465">
        <w:rPr>
          <w:rFonts w:eastAsia="Times New Roman"/>
        </w:rPr>
        <w:t xml:space="preserve">eet with Licensees and </w:t>
      </w:r>
      <w:r w:rsidR="00155B94">
        <w:rPr>
          <w:rFonts w:eastAsia="Times New Roman"/>
        </w:rPr>
        <w:t xml:space="preserve">NT </w:t>
      </w:r>
      <w:r w:rsidR="000D07D6" w:rsidRPr="008B1465">
        <w:rPr>
          <w:rFonts w:eastAsia="Times New Roman"/>
        </w:rPr>
        <w:t>Police to discuss and resolve relevant issues that imp</w:t>
      </w:r>
      <w:r w:rsidR="00081A17">
        <w:rPr>
          <w:rFonts w:eastAsia="Times New Roman"/>
        </w:rPr>
        <w:t xml:space="preserve">act on the </w:t>
      </w:r>
      <w:r w:rsidR="00F42D6A">
        <w:rPr>
          <w:rFonts w:eastAsia="Times New Roman"/>
        </w:rPr>
        <w:t>Tennat Creek</w:t>
      </w:r>
      <w:r w:rsidR="009A103B">
        <w:rPr>
          <w:lang w:eastAsia="en-AU"/>
        </w:rPr>
        <w:t xml:space="preserve"> </w:t>
      </w:r>
      <w:r w:rsidR="00081A17">
        <w:rPr>
          <w:rFonts w:eastAsia="Times New Roman"/>
        </w:rPr>
        <w:t>commun</w:t>
      </w:r>
      <w:r w:rsidR="008F1EEE">
        <w:rPr>
          <w:rFonts w:eastAsia="Times New Roman"/>
        </w:rPr>
        <w:t>ity.</w:t>
      </w:r>
    </w:p>
    <w:p w14:paraId="5FEB36A1" w14:textId="77777777" w:rsidR="00C42C46" w:rsidRDefault="00C42C46" w:rsidP="00C42C46">
      <w:pPr>
        <w:pStyle w:val="ListParagraph"/>
        <w:ind w:left="714"/>
        <w:rPr>
          <w:rFonts w:eastAsia="Times New Roman"/>
        </w:rPr>
      </w:pPr>
    </w:p>
    <w:p w14:paraId="378A0C65" w14:textId="77777777" w:rsidR="00C42C46" w:rsidRDefault="00C42C46" w:rsidP="00C42C46">
      <w:pPr>
        <w:pStyle w:val="ListParagraph"/>
        <w:ind w:left="714"/>
        <w:rPr>
          <w:rFonts w:eastAsia="Times New Roman"/>
        </w:rPr>
      </w:pPr>
    </w:p>
    <w:p w14:paraId="6A5D5361" w14:textId="77777777" w:rsidR="00C42C46" w:rsidRPr="00C03B9F" w:rsidRDefault="00C42C46" w:rsidP="00C42C46">
      <w:pPr>
        <w:pStyle w:val="ListParagraph"/>
        <w:ind w:left="714"/>
        <w:rPr>
          <w:rFonts w:eastAsia="Times New Roman"/>
        </w:rPr>
      </w:pPr>
    </w:p>
    <w:p w14:paraId="27750496" w14:textId="77777777" w:rsidR="000D07D6" w:rsidRPr="009340B5" w:rsidRDefault="000D07D6" w:rsidP="009340B5">
      <w:pPr>
        <w:pStyle w:val="Heading1"/>
      </w:pPr>
      <w:bookmarkStart w:id="36" w:name="_Toc311641665"/>
      <w:bookmarkStart w:id="37" w:name="_Toc450822256"/>
      <w:bookmarkStart w:id="38" w:name="_Toc159581471"/>
      <w:r w:rsidRPr="009340B5">
        <w:lastRenderedPageBreak/>
        <w:t>Compliance with all laws</w:t>
      </w:r>
      <w:bookmarkEnd w:id="36"/>
      <w:bookmarkEnd w:id="37"/>
      <w:bookmarkEnd w:id="38"/>
    </w:p>
    <w:p w14:paraId="4F3DAC88" w14:textId="77777777" w:rsidR="000D07D6" w:rsidRPr="008B1465" w:rsidRDefault="000D07D6" w:rsidP="009340B5">
      <w:pPr>
        <w:pStyle w:val="ListParagraph"/>
        <w:numPr>
          <w:ilvl w:val="0"/>
          <w:numId w:val="28"/>
        </w:numPr>
      </w:pPr>
      <w:r w:rsidRPr="008B1465">
        <w:t xml:space="preserve">Licensees must comply with all relevant laws pertaining to the operation of their businesses, and acknowledge that this Accord does not in any way limit any obligations and responsibilities under such laws. </w:t>
      </w:r>
    </w:p>
    <w:p w14:paraId="6B42C15A" w14:textId="77777777" w:rsidR="00974CDD" w:rsidRDefault="00974CDD" w:rsidP="00974CDD">
      <w:bookmarkStart w:id="39" w:name="_Toc450822258"/>
      <w:bookmarkStart w:id="40" w:name="iddDel070_mN177_eq_N"/>
      <w:bookmarkStart w:id="41" w:name="_Ref200439042"/>
      <w:bookmarkEnd w:id="25"/>
      <w:bookmarkEnd w:id="28"/>
    </w:p>
    <w:p w14:paraId="7B007900" w14:textId="77777777" w:rsidR="00974CDD" w:rsidRPr="00974CDD" w:rsidRDefault="00974CDD" w:rsidP="00974CDD"/>
    <w:p w14:paraId="5C2EF700" w14:textId="77777777" w:rsidR="00914C29" w:rsidRDefault="00914C29" w:rsidP="008B1465">
      <w:pPr>
        <w:pStyle w:val="Heading2"/>
        <w:numPr>
          <w:ilvl w:val="0"/>
          <w:numId w:val="0"/>
        </w:numPr>
        <w:rPr>
          <w:rFonts w:ascii="Lato" w:hAnsi="Lato"/>
          <w:iCs w:val="0"/>
          <w:color w:val="1F1F5F" w:themeColor="text1"/>
          <w:kern w:val="32"/>
          <w:sz w:val="36"/>
        </w:rPr>
      </w:pPr>
    </w:p>
    <w:p w14:paraId="10C69A89" w14:textId="77777777" w:rsidR="00914C29" w:rsidRDefault="00914C29" w:rsidP="008B1465">
      <w:pPr>
        <w:pStyle w:val="Heading2"/>
        <w:numPr>
          <w:ilvl w:val="0"/>
          <w:numId w:val="0"/>
        </w:numPr>
        <w:rPr>
          <w:rFonts w:ascii="Lato" w:hAnsi="Lato"/>
          <w:iCs w:val="0"/>
          <w:color w:val="1F1F5F" w:themeColor="text1"/>
          <w:kern w:val="32"/>
          <w:sz w:val="36"/>
        </w:rPr>
      </w:pPr>
    </w:p>
    <w:p w14:paraId="2E2343F3" w14:textId="77777777" w:rsidR="00914C29" w:rsidRDefault="00914C29" w:rsidP="008B1465">
      <w:pPr>
        <w:pStyle w:val="Heading2"/>
        <w:numPr>
          <w:ilvl w:val="0"/>
          <w:numId w:val="0"/>
        </w:numPr>
        <w:rPr>
          <w:rFonts w:ascii="Lato" w:hAnsi="Lato"/>
          <w:iCs w:val="0"/>
          <w:color w:val="1F1F5F" w:themeColor="text1"/>
          <w:kern w:val="32"/>
          <w:sz w:val="36"/>
        </w:rPr>
      </w:pPr>
    </w:p>
    <w:p w14:paraId="19F29460" w14:textId="77777777" w:rsidR="00914C29" w:rsidRDefault="00914C29" w:rsidP="008B1465">
      <w:pPr>
        <w:pStyle w:val="Heading2"/>
        <w:numPr>
          <w:ilvl w:val="0"/>
          <w:numId w:val="0"/>
        </w:numPr>
        <w:rPr>
          <w:rFonts w:ascii="Lato" w:hAnsi="Lato"/>
          <w:iCs w:val="0"/>
          <w:color w:val="1F1F5F" w:themeColor="text1"/>
          <w:kern w:val="32"/>
          <w:sz w:val="36"/>
        </w:rPr>
      </w:pPr>
    </w:p>
    <w:p w14:paraId="0A32EB37" w14:textId="77777777" w:rsidR="00686BF4" w:rsidRPr="00686BF4" w:rsidRDefault="00686BF4" w:rsidP="00686BF4"/>
    <w:p w14:paraId="17C1DD2E" w14:textId="77777777" w:rsidR="00F32F57" w:rsidRDefault="00F32F57">
      <w:pPr>
        <w:rPr>
          <w:rFonts w:asciiTheme="majorHAnsi" w:eastAsiaTheme="majorEastAsia" w:hAnsiTheme="majorHAnsi" w:cstheme="majorBidi"/>
          <w:bCs/>
          <w:color w:val="1F1F5F" w:themeColor="text1"/>
          <w:kern w:val="32"/>
          <w:sz w:val="36"/>
          <w:szCs w:val="32"/>
        </w:rPr>
      </w:pPr>
      <w:r>
        <w:br w:type="page"/>
      </w:r>
    </w:p>
    <w:p w14:paraId="79FF80EF" w14:textId="7D95859D" w:rsidR="00C94487" w:rsidRPr="00495FFF" w:rsidRDefault="000D07D6" w:rsidP="00C03B9F">
      <w:pPr>
        <w:pStyle w:val="Heading1"/>
        <w:numPr>
          <w:ilvl w:val="0"/>
          <w:numId w:val="0"/>
        </w:numPr>
        <w:ind w:left="357" w:hanging="357"/>
        <w:rPr>
          <w:iCs/>
          <w:sz w:val="34"/>
          <w:szCs w:val="34"/>
        </w:rPr>
      </w:pPr>
      <w:bookmarkStart w:id="42" w:name="_Toc159581472"/>
      <w:r w:rsidRPr="00495FFF">
        <w:rPr>
          <w:sz w:val="34"/>
          <w:szCs w:val="34"/>
        </w:rPr>
        <w:lastRenderedPageBreak/>
        <w:t xml:space="preserve">Schedule 1: Members and Coordinator of the </w:t>
      </w:r>
      <w:r w:rsidR="003C47B0">
        <w:rPr>
          <w:sz w:val="34"/>
          <w:szCs w:val="34"/>
        </w:rPr>
        <w:t xml:space="preserve">Tennant Creek </w:t>
      </w:r>
      <w:r w:rsidRPr="00495FFF">
        <w:rPr>
          <w:sz w:val="34"/>
          <w:szCs w:val="34"/>
        </w:rPr>
        <w:t>Accord</w:t>
      </w:r>
      <w:bookmarkStart w:id="43" w:name="_Ref219188252"/>
      <w:bookmarkEnd w:id="39"/>
      <w:bookmarkEnd w:id="42"/>
    </w:p>
    <w:tbl>
      <w:tblPr>
        <w:tblStyle w:val="TableGrid"/>
        <w:tblW w:w="10063" w:type="dxa"/>
        <w:tblInd w:w="-150" w:type="dxa"/>
        <w:tblBorders>
          <w:insideH w:val="single" w:sz="4" w:space="0" w:color="D9D9D9" w:themeColor="background1" w:themeShade="D9"/>
          <w:insideV w:val="none" w:sz="0" w:space="0" w:color="auto"/>
        </w:tblBorders>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706"/>
        <w:gridCol w:w="2120"/>
        <w:gridCol w:w="3544"/>
        <w:gridCol w:w="2693"/>
      </w:tblGrid>
      <w:tr w:rsidR="00AF00BF" w:rsidRPr="00525C70" w14:paraId="749128B0" w14:textId="77777777" w:rsidTr="00B61FF3">
        <w:trPr>
          <w:cantSplit/>
          <w:trHeight w:val="737"/>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A024CFB" w14:textId="77777777" w:rsidR="00AF00BF" w:rsidRPr="00495FFF" w:rsidRDefault="00AF00BF" w:rsidP="00D337B9">
            <w:pPr>
              <w:rPr>
                <w:b/>
                <w:color w:val="FFFFFF" w:themeColor="background1"/>
              </w:rPr>
            </w:pPr>
            <w:r w:rsidRPr="00495FFF">
              <w:rPr>
                <w:b/>
                <w:color w:val="FFFFFF" w:themeColor="background1"/>
              </w:rPr>
              <w:t>Venue / Outlet</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BD9E026" w14:textId="77777777" w:rsidR="00AF00BF" w:rsidRPr="00495FFF" w:rsidRDefault="00AF00BF" w:rsidP="00D337B9">
            <w:pPr>
              <w:rPr>
                <w:b/>
                <w:color w:val="FFFFFF" w:themeColor="background1"/>
              </w:rPr>
            </w:pPr>
            <w:r w:rsidRPr="00495FFF">
              <w:rPr>
                <w:b/>
                <w:color w:val="FFFFFF" w:themeColor="background1"/>
              </w:rPr>
              <w:t>Representative</w:t>
            </w: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9702DD8" w14:textId="77777777" w:rsidR="00AF00BF" w:rsidRPr="00495FFF" w:rsidRDefault="00AF00BF" w:rsidP="00495FFF">
            <w:pPr>
              <w:spacing w:after="0"/>
              <w:rPr>
                <w:b/>
                <w:color w:val="FFFFFF" w:themeColor="background1"/>
              </w:rPr>
            </w:pPr>
            <w:r w:rsidRPr="00495FFF">
              <w:rPr>
                <w:b/>
                <w:color w:val="FFFFFF" w:themeColor="background1"/>
              </w:rPr>
              <w:t xml:space="preserve">Email Address </w:t>
            </w:r>
          </w:p>
          <w:p w14:paraId="08AA3626" w14:textId="25C59EF7" w:rsidR="00AF00BF" w:rsidRPr="00495FFF" w:rsidRDefault="00AF00BF" w:rsidP="00495FFF">
            <w:pPr>
              <w:spacing w:after="0"/>
              <w:rPr>
                <w:b/>
                <w:color w:val="FFFFFF" w:themeColor="background1"/>
              </w:rPr>
            </w:pPr>
            <w:r w:rsidRPr="00495FFF">
              <w:rPr>
                <w:b/>
                <w:color w:val="FFFFFF" w:themeColor="background1"/>
              </w:rPr>
              <w:t>(optional)</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4078C7AE" w14:textId="3FFDDA3D" w:rsidR="00AF00BF" w:rsidRPr="00495FFF" w:rsidRDefault="00AF00BF" w:rsidP="00D337B9">
            <w:pPr>
              <w:rPr>
                <w:b/>
                <w:color w:val="FFFFFF" w:themeColor="background1"/>
              </w:rPr>
            </w:pPr>
            <w:r w:rsidRPr="00495FFF">
              <w:rPr>
                <w:b/>
                <w:color w:val="FFFFFF" w:themeColor="background1"/>
              </w:rPr>
              <w:t>Signature</w:t>
            </w:r>
          </w:p>
        </w:tc>
      </w:tr>
      <w:tr w:rsidR="00AF00BF" w:rsidRPr="00525C70" w14:paraId="4A7B8B50" w14:textId="77777777" w:rsidTr="00B61FF3">
        <w:trPr>
          <w:cantSplit/>
          <w:trHeight w:val="650"/>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FD2D6E7" w14:textId="4981CF84" w:rsidR="00AF00BF" w:rsidRPr="00416155" w:rsidRDefault="00AF00BF" w:rsidP="00D337B9">
            <w:pPr>
              <w:rPr>
                <w:rFonts w:asciiTheme="minorHAnsi" w:hAnsiTheme="minorHAnsi"/>
                <w:sz w:val="20"/>
                <w:szCs w:val="20"/>
              </w:rPr>
            </w:pPr>
            <w:r>
              <w:rPr>
                <w:rFonts w:asciiTheme="minorHAnsi" w:hAnsiTheme="minorHAnsi"/>
                <w:sz w:val="20"/>
                <w:szCs w:val="20"/>
              </w:rPr>
              <w:t xml:space="preserve">Tennant Creek Hotel </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B6B223C" w14:textId="6FCE0D7D" w:rsidR="00AF00BF" w:rsidRPr="00416155" w:rsidRDefault="00B61FF3" w:rsidP="00D337B9">
            <w:pPr>
              <w:rPr>
                <w:rFonts w:asciiTheme="minorHAnsi" w:hAnsiTheme="minorHAnsi"/>
                <w:sz w:val="20"/>
                <w:szCs w:val="20"/>
              </w:rPr>
            </w:pPr>
            <w:r w:rsidRPr="00B61FF3">
              <w:rPr>
                <w:rFonts w:asciiTheme="minorHAnsi" w:hAnsiTheme="minorHAnsi"/>
                <w:sz w:val="20"/>
                <w:szCs w:val="20"/>
              </w:rPr>
              <w:t>Aymeric Giordana</w:t>
            </w: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B7227E8" w14:textId="4B6B2B74" w:rsidR="00AF00BF" w:rsidRPr="00416155" w:rsidRDefault="00B61FF3" w:rsidP="00495FFF">
            <w:pPr>
              <w:spacing w:after="0"/>
              <w:rPr>
                <w:rFonts w:asciiTheme="minorHAnsi" w:hAnsiTheme="minorHAnsi" w:cs="Helvetica"/>
                <w:color w:val="0563C1"/>
                <w:sz w:val="20"/>
                <w:szCs w:val="20"/>
                <w:u w:val="single"/>
              </w:rPr>
            </w:pPr>
            <w:r w:rsidRPr="00B61FF3">
              <w:rPr>
                <w:rFonts w:asciiTheme="minorHAnsi" w:hAnsiTheme="minorHAnsi" w:cs="Helvetica"/>
                <w:color w:val="0563C1"/>
                <w:sz w:val="20"/>
                <w:szCs w:val="20"/>
                <w:u w:val="single"/>
              </w:rPr>
              <w:t>manager@tennantcreekhotel.com.au</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0D1F6E" w14:textId="04EBF712" w:rsidR="00AF00BF" w:rsidRPr="00416155" w:rsidRDefault="00AF00BF" w:rsidP="00D337B9">
            <w:pPr>
              <w:rPr>
                <w:rFonts w:asciiTheme="minorHAnsi" w:hAnsiTheme="minorHAnsi"/>
                <w:sz w:val="20"/>
                <w:szCs w:val="20"/>
              </w:rPr>
            </w:pPr>
          </w:p>
        </w:tc>
      </w:tr>
      <w:tr w:rsidR="00AF00BF" w:rsidRPr="00525C70" w14:paraId="182727C8" w14:textId="77777777" w:rsidTr="00B61FF3">
        <w:trPr>
          <w:cantSplit/>
          <w:trHeight w:val="554"/>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09C596D" w14:textId="6DFEAE98" w:rsidR="00AF00BF" w:rsidRPr="00416155" w:rsidRDefault="00AF00BF" w:rsidP="00D337B9">
            <w:pPr>
              <w:rPr>
                <w:rFonts w:asciiTheme="minorHAnsi" w:hAnsiTheme="minorHAnsi"/>
                <w:sz w:val="20"/>
                <w:szCs w:val="20"/>
              </w:rPr>
            </w:pPr>
            <w:r>
              <w:rPr>
                <w:rFonts w:asciiTheme="minorHAnsi" w:hAnsiTheme="minorHAnsi"/>
                <w:sz w:val="20"/>
                <w:szCs w:val="20"/>
              </w:rPr>
              <w:t xml:space="preserve">Goldfields Hotel </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545FB1C" w14:textId="0A827CDD" w:rsidR="00AF00BF" w:rsidRPr="00416155" w:rsidRDefault="00AF00BF" w:rsidP="00D337B9">
            <w:pPr>
              <w:rPr>
                <w:rFonts w:asciiTheme="minorHAnsi" w:hAnsiTheme="minorHAnsi"/>
                <w:sz w:val="20"/>
                <w:szCs w:val="20"/>
              </w:rPr>
            </w:pPr>
            <w:r>
              <w:rPr>
                <w:rFonts w:asciiTheme="minorHAnsi" w:hAnsiTheme="minorHAnsi"/>
                <w:sz w:val="20"/>
                <w:szCs w:val="20"/>
              </w:rPr>
              <w:t xml:space="preserve">Jason Groves </w:t>
            </w: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C1A7B1B" w14:textId="38A19DDF" w:rsidR="00AF00BF" w:rsidRPr="00416155" w:rsidRDefault="00B61FF3" w:rsidP="00966D68">
            <w:pPr>
              <w:rPr>
                <w:rFonts w:asciiTheme="minorHAnsi" w:hAnsiTheme="minorHAnsi"/>
                <w:sz w:val="20"/>
                <w:szCs w:val="20"/>
              </w:rPr>
            </w:pPr>
            <w:r w:rsidRPr="00B61FF3">
              <w:rPr>
                <w:rFonts w:asciiTheme="minorHAnsi" w:hAnsiTheme="minorHAnsi" w:cs="Helvetica"/>
                <w:color w:val="0563C1"/>
                <w:sz w:val="20"/>
                <w:szCs w:val="20"/>
                <w:u w:val="single"/>
              </w:rPr>
              <w:t>goldies1@chariot.net.au</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8BF2625" w14:textId="1571DC3B" w:rsidR="00AF00BF" w:rsidRPr="00416155" w:rsidRDefault="00AF00BF" w:rsidP="00D337B9">
            <w:pPr>
              <w:rPr>
                <w:rFonts w:asciiTheme="minorHAnsi" w:hAnsiTheme="minorHAnsi"/>
                <w:sz w:val="20"/>
                <w:szCs w:val="20"/>
              </w:rPr>
            </w:pPr>
          </w:p>
        </w:tc>
      </w:tr>
      <w:tr w:rsidR="00AF00BF" w:rsidRPr="00525C70" w14:paraId="399DC4D7" w14:textId="77777777" w:rsidTr="00B61FF3">
        <w:trPr>
          <w:cantSplit/>
          <w:trHeight w:val="562"/>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12DE6A5" w14:textId="277DDCE8" w:rsidR="00AF00BF" w:rsidRPr="00416155" w:rsidRDefault="00AF00BF" w:rsidP="00D337B9">
            <w:pPr>
              <w:rPr>
                <w:rFonts w:asciiTheme="minorHAnsi" w:hAnsiTheme="minorHAnsi"/>
                <w:sz w:val="20"/>
                <w:szCs w:val="20"/>
              </w:rPr>
            </w:pPr>
            <w:r w:rsidRPr="00224BFF">
              <w:rPr>
                <w:rFonts w:asciiTheme="minorHAnsi" w:hAnsiTheme="minorHAnsi"/>
                <w:sz w:val="20"/>
                <w:szCs w:val="20"/>
              </w:rPr>
              <w:t>Sporties Club</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1F42FF0" w14:textId="10789B6D" w:rsidR="00AF00BF" w:rsidRPr="00416155" w:rsidRDefault="00B61FF3" w:rsidP="00D337B9">
            <w:pPr>
              <w:rPr>
                <w:rFonts w:asciiTheme="minorHAnsi" w:hAnsiTheme="minorHAnsi"/>
                <w:sz w:val="20"/>
                <w:szCs w:val="20"/>
              </w:rPr>
            </w:pPr>
            <w:r>
              <w:rPr>
                <w:rFonts w:asciiTheme="minorHAnsi" w:hAnsiTheme="minorHAnsi"/>
                <w:sz w:val="20"/>
                <w:szCs w:val="20"/>
              </w:rPr>
              <w:t xml:space="preserve">Rob </w:t>
            </w:r>
            <w:proofErr w:type="spellStart"/>
            <w:r>
              <w:rPr>
                <w:rFonts w:asciiTheme="minorHAnsi" w:hAnsiTheme="minorHAnsi"/>
                <w:sz w:val="20"/>
                <w:szCs w:val="20"/>
              </w:rPr>
              <w:t>Goulds</w:t>
            </w:r>
            <w:proofErr w:type="spellEnd"/>
            <w:r>
              <w:rPr>
                <w:rFonts w:asciiTheme="minorHAnsi" w:hAnsiTheme="minorHAnsi"/>
                <w:sz w:val="20"/>
                <w:szCs w:val="20"/>
              </w:rPr>
              <w:t xml:space="preserve"> </w:t>
            </w: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4A418B2" w14:textId="1BCA5D53" w:rsidR="00AF00BF" w:rsidRPr="00416155" w:rsidRDefault="00000000" w:rsidP="00966D68">
            <w:pPr>
              <w:rPr>
                <w:rFonts w:asciiTheme="minorHAnsi" w:hAnsiTheme="minorHAnsi"/>
                <w:sz w:val="20"/>
                <w:szCs w:val="20"/>
              </w:rPr>
            </w:pPr>
            <w:hyperlink r:id="rId19" w:history="1">
              <w:r w:rsidR="00D72B06" w:rsidRPr="006D1D15">
                <w:rPr>
                  <w:rStyle w:val="Hyperlink"/>
                  <w:rFonts w:asciiTheme="minorHAnsi" w:hAnsiTheme="minorHAnsi"/>
                  <w:sz w:val="20"/>
                  <w:szCs w:val="20"/>
                </w:rPr>
                <w:t>sportiesclubinc@bigpond.com</w:t>
              </w:r>
            </w:hyperlink>
            <w:r w:rsidR="00D72B06">
              <w:rPr>
                <w:rFonts w:asciiTheme="minorHAnsi" w:hAnsiTheme="minorHAnsi"/>
                <w:sz w:val="20"/>
                <w:szCs w:val="20"/>
              </w:rPr>
              <w:t xml:space="preserve"> </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FDFD93D" w14:textId="2EF19313" w:rsidR="00AF00BF" w:rsidRPr="00416155" w:rsidRDefault="00AF00BF" w:rsidP="00D337B9">
            <w:pPr>
              <w:rPr>
                <w:rFonts w:asciiTheme="minorHAnsi" w:hAnsiTheme="minorHAnsi"/>
                <w:sz w:val="20"/>
                <w:szCs w:val="20"/>
              </w:rPr>
            </w:pPr>
          </w:p>
        </w:tc>
      </w:tr>
      <w:tr w:rsidR="00AF00BF" w:rsidRPr="00525C70" w14:paraId="11ECE6B1" w14:textId="77777777" w:rsidTr="00B61FF3">
        <w:trPr>
          <w:cantSplit/>
          <w:trHeight w:val="543"/>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495311D" w14:textId="099C7666" w:rsidR="00AF00BF" w:rsidRPr="00416155" w:rsidRDefault="00AF00BF" w:rsidP="00D337B9">
            <w:pPr>
              <w:rPr>
                <w:rFonts w:asciiTheme="minorHAnsi" w:hAnsiTheme="minorHAnsi"/>
                <w:sz w:val="20"/>
                <w:szCs w:val="20"/>
              </w:rPr>
            </w:pPr>
            <w:r w:rsidRPr="00AF00BF">
              <w:rPr>
                <w:rFonts w:asciiTheme="minorHAnsi" w:hAnsiTheme="minorHAnsi"/>
                <w:sz w:val="20"/>
                <w:szCs w:val="20"/>
              </w:rPr>
              <w:t>Tennant Creek Memorial Club</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CC32447" w14:textId="6CBD0A0E" w:rsidR="00AF00BF" w:rsidRPr="00416155" w:rsidRDefault="00AF00BF" w:rsidP="00FF1214">
            <w:pPr>
              <w:pStyle w:val="IndentParaLevel1"/>
              <w:spacing w:after="0"/>
              <w:ind w:left="0"/>
              <w:jc w:val="both"/>
              <w:rPr>
                <w:sz w:val="20"/>
                <w:szCs w:val="20"/>
              </w:rPr>
            </w:pPr>
            <w:r>
              <w:rPr>
                <w:rFonts w:asciiTheme="minorHAnsi" w:hAnsiTheme="minorHAnsi"/>
                <w:sz w:val="20"/>
                <w:szCs w:val="20"/>
              </w:rPr>
              <w:t>Jordan Jenkins</w:t>
            </w: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4963E97" w14:textId="0C94E1D4" w:rsidR="00AF00BF" w:rsidRPr="00416155" w:rsidRDefault="00000000" w:rsidP="00D337B9">
            <w:pPr>
              <w:rPr>
                <w:rFonts w:asciiTheme="minorHAnsi" w:hAnsiTheme="minorHAnsi"/>
                <w:sz w:val="20"/>
                <w:szCs w:val="20"/>
              </w:rPr>
            </w:pPr>
            <w:hyperlink r:id="rId20" w:history="1">
              <w:r w:rsidR="00D72B06" w:rsidRPr="006D1D15">
                <w:rPr>
                  <w:rStyle w:val="Hyperlink"/>
                  <w:rFonts w:asciiTheme="minorHAnsi" w:hAnsiTheme="minorHAnsi"/>
                  <w:sz w:val="20"/>
                  <w:szCs w:val="20"/>
                </w:rPr>
                <w:t>info@tcmcnt.com.au</w:t>
              </w:r>
            </w:hyperlink>
            <w:r w:rsidR="00D72B06">
              <w:rPr>
                <w:rFonts w:asciiTheme="minorHAnsi" w:hAnsiTheme="minorHAnsi"/>
                <w:sz w:val="20"/>
                <w:szCs w:val="20"/>
              </w:rPr>
              <w:t xml:space="preserve"> </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55390F6" w14:textId="26542182" w:rsidR="00AF00BF" w:rsidRPr="00416155" w:rsidRDefault="00AF00BF" w:rsidP="00D337B9">
            <w:pPr>
              <w:rPr>
                <w:rFonts w:asciiTheme="minorHAnsi" w:hAnsiTheme="minorHAnsi"/>
                <w:sz w:val="20"/>
                <w:szCs w:val="20"/>
              </w:rPr>
            </w:pPr>
          </w:p>
        </w:tc>
      </w:tr>
      <w:tr w:rsidR="00AF00BF" w:rsidRPr="00525C70" w14:paraId="6A1DA9E8" w14:textId="77777777" w:rsidTr="00B61FF3">
        <w:trPr>
          <w:cantSplit/>
          <w:trHeight w:val="543"/>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32F0963" w14:textId="66CFB6D7" w:rsidR="00AF00BF" w:rsidRPr="00416155" w:rsidRDefault="00AF00BF" w:rsidP="00D337B9">
            <w:pPr>
              <w:rPr>
                <w:rFonts w:asciiTheme="minorHAnsi" w:hAnsiTheme="minorHAnsi"/>
                <w:sz w:val="20"/>
                <w:szCs w:val="20"/>
              </w:rPr>
            </w:pPr>
            <w:r>
              <w:rPr>
                <w:rFonts w:asciiTheme="minorHAnsi" w:hAnsiTheme="minorHAnsi"/>
                <w:sz w:val="20"/>
                <w:szCs w:val="20"/>
              </w:rPr>
              <w:t>Headframe Bottleshop</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120707F" w14:textId="359530D7" w:rsidR="00AF00BF" w:rsidRPr="00416155" w:rsidRDefault="00AF00BF" w:rsidP="00D337B9">
            <w:pPr>
              <w:rPr>
                <w:rFonts w:asciiTheme="minorHAnsi" w:hAnsiTheme="minorHAnsi"/>
                <w:sz w:val="20"/>
                <w:szCs w:val="20"/>
              </w:rPr>
            </w:pP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15769A4" w14:textId="5492BB50" w:rsidR="00AF00BF" w:rsidRPr="00416155" w:rsidRDefault="00AF00BF" w:rsidP="00D337B9">
            <w:pPr>
              <w:rPr>
                <w:rFonts w:asciiTheme="minorHAnsi" w:hAnsiTheme="minorHAnsi"/>
                <w:sz w:val="20"/>
                <w:szCs w:val="20"/>
              </w:rPr>
            </w:pP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488AB3A" w14:textId="73BBA936" w:rsidR="00AF00BF" w:rsidRPr="00416155" w:rsidRDefault="00AF00BF" w:rsidP="00D337B9">
            <w:pPr>
              <w:rPr>
                <w:rFonts w:asciiTheme="minorHAnsi" w:hAnsiTheme="minorHAnsi"/>
                <w:sz w:val="20"/>
                <w:szCs w:val="20"/>
              </w:rPr>
            </w:pPr>
          </w:p>
        </w:tc>
      </w:tr>
      <w:tr w:rsidR="00AF00BF" w:rsidRPr="00525C70" w14:paraId="6D0D1CD6" w14:textId="77777777" w:rsidTr="00B61FF3">
        <w:trPr>
          <w:cantSplit/>
          <w:trHeight w:val="63"/>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7106830" w14:textId="1D17392C" w:rsidR="00AF00BF" w:rsidRDefault="00AF00BF" w:rsidP="00D337B9">
            <w:pPr>
              <w:rPr>
                <w:rFonts w:asciiTheme="minorHAnsi" w:hAnsiTheme="minorHAnsi"/>
                <w:sz w:val="20"/>
                <w:szCs w:val="20"/>
              </w:rPr>
            </w:pPr>
            <w:r w:rsidRPr="00224BFF">
              <w:rPr>
                <w:rFonts w:asciiTheme="minorHAnsi" w:hAnsiTheme="minorHAnsi"/>
                <w:sz w:val="20"/>
                <w:szCs w:val="20"/>
              </w:rPr>
              <w:t>Bluestone Motor Inn</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1EF1461" w14:textId="77777777" w:rsidR="00AF00BF" w:rsidRDefault="00AF00BF" w:rsidP="00D337B9">
            <w:pPr>
              <w:rPr>
                <w:rFonts w:asciiTheme="minorHAnsi" w:hAnsiTheme="minorHAnsi"/>
                <w:sz w:val="20"/>
                <w:szCs w:val="20"/>
              </w:rPr>
            </w:pP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BED897A" w14:textId="291EF301" w:rsidR="00AF00BF" w:rsidRPr="00416155" w:rsidRDefault="00000000" w:rsidP="00D337B9">
            <w:pPr>
              <w:rPr>
                <w:sz w:val="20"/>
                <w:szCs w:val="20"/>
              </w:rPr>
            </w:pPr>
            <w:hyperlink r:id="rId21" w:history="1">
              <w:r w:rsidR="00D72B06" w:rsidRPr="006D1D15">
                <w:rPr>
                  <w:rStyle w:val="Hyperlink"/>
                  <w:sz w:val="20"/>
                  <w:szCs w:val="20"/>
                </w:rPr>
                <w:t>manager@bluestonemotorinn.com.au</w:t>
              </w:r>
            </w:hyperlink>
            <w:r w:rsidR="00D72B06">
              <w:rPr>
                <w:sz w:val="20"/>
                <w:szCs w:val="20"/>
              </w:rPr>
              <w:t xml:space="preserve"> </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2C00F06" w14:textId="77777777" w:rsidR="00AF00BF" w:rsidRPr="00416155" w:rsidRDefault="00AF00BF" w:rsidP="00D337B9">
            <w:pPr>
              <w:rPr>
                <w:rFonts w:asciiTheme="minorHAnsi" w:hAnsiTheme="minorHAnsi"/>
                <w:sz w:val="20"/>
                <w:szCs w:val="20"/>
              </w:rPr>
            </w:pPr>
          </w:p>
        </w:tc>
      </w:tr>
      <w:tr w:rsidR="00AF00BF" w:rsidRPr="00525C70" w14:paraId="37443F01" w14:textId="77777777" w:rsidTr="00B61FF3">
        <w:trPr>
          <w:cantSplit/>
          <w:trHeight w:val="63"/>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66D94C1" w14:textId="0CAD2F3C" w:rsidR="00AF00BF" w:rsidRDefault="00AF00BF" w:rsidP="00D337B9">
            <w:pPr>
              <w:rPr>
                <w:rFonts w:asciiTheme="minorHAnsi" w:hAnsiTheme="minorHAnsi"/>
                <w:sz w:val="20"/>
                <w:szCs w:val="20"/>
              </w:rPr>
            </w:pPr>
            <w:r w:rsidRPr="00224BFF">
              <w:rPr>
                <w:rFonts w:asciiTheme="minorHAnsi" w:hAnsiTheme="minorHAnsi"/>
                <w:sz w:val="20"/>
                <w:szCs w:val="20"/>
              </w:rPr>
              <w:t>Outback Caravan Park</w:t>
            </w: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8E0DEB8" w14:textId="6BF31C01" w:rsidR="00AF00BF" w:rsidRDefault="00D72B06" w:rsidP="00D337B9">
            <w:pPr>
              <w:rPr>
                <w:rFonts w:asciiTheme="minorHAnsi" w:hAnsiTheme="minorHAnsi"/>
                <w:sz w:val="20"/>
                <w:szCs w:val="20"/>
              </w:rPr>
            </w:pPr>
            <w:r>
              <w:rPr>
                <w:rFonts w:asciiTheme="minorHAnsi" w:hAnsiTheme="minorHAnsi"/>
                <w:sz w:val="20"/>
                <w:szCs w:val="20"/>
              </w:rPr>
              <w:t xml:space="preserve">Steve Baldwin </w:t>
            </w: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5CD2350" w14:textId="7BDFFDD2" w:rsidR="00AF00BF" w:rsidRPr="00416155" w:rsidRDefault="00000000" w:rsidP="00D337B9">
            <w:pPr>
              <w:rPr>
                <w:sz w:val="20"/>
                <w:szCs w:val="20"/>
              </w:rPr>
            </w:pPr>
            <w:hyperlink r:id="rId22" w:history="1">
              <w:r w:rsidR="00D72B06" w:rsidRPr="006D1D15">
                <w:rPr>
                  <w:rStyle w:val="Hyperlink"/>
                  <w:sz w:val="20"/>
                  <w:szCs w:val="20"/>
                </w:rPr>
                <w:t>steveb@aqagrp.com.au</w:t>
              </w:r>
            </w:hyperlink>
            <w:r w:rsidR="00D72B06">
              <w:rPr>
                <w:sz w:val="20"/>
                <w:szCs w:val="20"/>
              </w:rPr>
              <w:t xml:space="preserve"> </w:t>
            </w: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9D0B889" w14:textId="77777777" w:rsidR="00AF00BF" w:rsidRPr="00416155" w:rsidRDefault="00AF00BF" w:rsidP="00D337B9">
            <w:pPr>
              <w:rPr>
                <w:rFonts w:asciiTheme="minorHAnsi" w:hAnsiTheme="minorHAnsi"/>
                <w:sz w:val="20"/>
                <w:szCs w:val="20"/>
              </w:rPr>
            </w:pPr>
          </w:p>
        </w:tc>
      </w:tr>
      <w:tr w:rsidR="00AF00BF" w:rsidRPr="00525C70" w14:paraId="18E199E6" w14:textId="77777777" w:rsidTr="00B61FF3">
        <w:trPr>
          <w:cantSplit/>
          <w:trHeight w:val="63"/>
        </w:trPr>
        <w:tc>
          <w:tcPr>
            <w:tcW w:w="17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C305378" w14:textId="177B12F7" w:rsidR="00AF00BF" w:rsidRDefault="00AF00BF" w:rsidP="00D337B9">
            <w:pPr>
              <w:rPr>
                <w:rFonts w:asciiTheme="minorHAnsi" w:hAnsiTheme="minorHAnsi"/>
                <w:sz w:val="20"/>
                <w:szCs w:val="20"/>
              </w:rPr>
            </w:pPr>
          </w:p>
        </w:tc>
        <w:tc>
          <w:tcPr>
            <w:tcW w:w="212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937912F" w14:textId="77777777" w:rsidR="00AF00BF" w:rsidRDefault="00AF00BF" w:rsidP="00D337B9">
            <w:pPr>
              <w:rPr>
                <w:rFonts w:asciiTheme="minorHAnsi" w:hAnsiTheme="minorHAnsi"/>
                <w:sz w:val="20"/>
                <w:szCs w:val="20"/>
              </w:rPr>
            </w:pPr>
          </w:p>
        </w:tc>
        <w:tc>
          <w:tcPr>
            <w:tcW w:w="354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3C96F73" w14:textId="77777777" w:rsidR="00AF00BF" w:rsidRPr="00416155" w:rsidRDefault="00AF00BF" w:rsidP="00D337B9">
            <w:pPr>
              <w:rPr>
                <w:sz w:val="20"/>
                <w:szCs w:val="20"/>
              </w:rPr>
            </w:pPr>
          </w:p>
        </w:tc>
        <w:tc>
          <w:tcPr>
            <w:tcW w:w="269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1C54B2B" w14:textId="77777777" w:rsidR="00AF00BF" w:rsidRPr="00416155" w:rsidRDefault="00AF00BF" w:rsidP="00D337B9">
            <w:pPr>
              <w:rPr>
                <w:rFonts w:asciiTheme="minorHAnsi" w:hAnsiTheme="minorHAnsi"/>
                <w:sz w:val="20"/>
                <w:szCs w:val="20"/>
              </w:rPr>
            </w:pPr>
          </w:p>
        </w:tc>
      </w:tr>
    </w:tbl>
    <w:p w14:paraId="14D2F001" w14:textId="343354DC" w:rsidR="000E704C" w:rsidRDefault="008B1465" w:rsidP="000E704C">
      <w:pPr>
        <w:rPr>
          <w:rFonts w:eastAsiaTheme="majorEastAsia" w:cstheme="majorBidi"/>
          <w:bCs/>
          <w:color w:val="1F1F5F" w:themeColor="text1"/>
          <w:kern w:val="32"/>
          <w:sz w:val="36"/>
          <w:szCs w:val="32"/>
        </w:rPr>
      </w:pPr>
      <w:r>
        <w:br/>
      </w:r>
      <w:r w:rsidR="000E704C" w:rsidRPr="00507658">
        <w:rPr>
          <w:rFonts w:eastAsiaTheme="majorEastAsia" w:cstheme="majorBidi"/>
          <w:bCs/>
          <w:color w:val="1F1F5F" w:themeColor="text1"/>
          <w:kern w:val="32"/>
          <w:sz w:val="32"/>
          <w:szCs w:val="32"/>
        </w:rPr>
        <w:t>Accord Partners</w:t>
      </w:r>
    </w:p>
    <w:tbl>
      <w:tblPr>
        <w:tblStyle w:val="TableGrid"/>
        <w:tblW w:w="10346" w:type="dxa"/>
        <w:tblInd w:w="-150" w:type="dxa"/>
        <w:tblBorders>
          <w:insideH w:val="single" w:sz="4" w:space="0" w:color="D9D9D9" w:themeColor="background1" w:themeShade="D9"/>
          <w:insideV w:val="none" w:sz="0" w:space="0" w:color="auto"/>
        </w:tblBorders>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2345"/>
        <w:gridCol w:w="1906"/>
        <w:gridCol w:w="2835"/>
        <w:gridCol w:w="3260"/>
      </w:tblGrid>
      <w:tr w:rsidR="00F36FDF" w:rsidRPr="00525C70" w14:paraId="7C710658" w14:textId="77777777" w:rsidTr="00AF00BF">
        <w:trPr>
          <w:cantSplit/>
          <w:trHeight w:val="460"/>
        </w:trPr>
        <w:tc>
          <w:tcPr>
            <w:tcW w:w="234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B4E0484" w14:textId="77777777" w:rsidR="00F36FDF" w:rsidRPr="007863F7" w:rsidRDefault="00F36FDF" w:rsidP="00D337B9">
            <w:pPr>
              <w:rPr>
                <w:b/>
                <w:color w:val="FFFFFF" w:themeColor="background1"/>
              </w:rPr>
            </w:pPr>
            <w:r w:rsidRPr="007863F7">
              <w:rPr>
                <w:b/>
                <w:color w:val="FFFFFF" w:themeColor="background1"/>
              </w:rPr>
              <w:t>Venue / Outlet</w:t>
            </w:r>
          </w:p>
        </w:tc>
        <w:tc>
          <w:tcPr>
            <w:tcW w:w="19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B1037F5" w14:textId="77777777" w:rsidR="00F36FDF" w:rsidRPr="007863F7" w:rsidRDefault="00F36FDF" w:rsidP="00D337B9">
            <w:pPr>
              <w:rPr>
                <w:b/>
                <w:color w:val="FFFFFF" w:themeColor="background1"/>
              </w:rPr>
            </w:pPr>
            <w:r w:rsidRPr="007863F7">
              <w:rPr>
                <w:b/>
                <w:color w:val="FFFFFF" w:themeColor="background1"/>
              </w:rPr>
              <w:t>Representative</w:t>
            </w:r>
          </w:p>
        </w:tc>
        <w:tc>
          <w:tcPr>
            <w:tcW w:w="283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6759601" w14:textId="5731FEB0" w:rsidR="00F36FDF" w:rsidRPr="007863F7" w:rsidRDefault="00F36FDF" w:rsidP="00D337B9">
            <w:pPr>
              <w:rPr>
                <w:b/>
                <w:color w:val="FFFFFF" w:themeColor="background1"/>
              </w:rPr>
            </w:pPr>
            <w:r w:rsidRPr="007863F7">
              <w:rPr>
                <w:b/>
                <w:color w:val="FFFFFF" w:themeColor="background1"/>
              </w:rPr>
              <w:t>Email</w:t>
            </w:r>
            <w:r w:rsidR="0009707D" w:rsidRPr="007863F7">
              <w:rPr>
                <w:b/>
                <w:color w:val="FFFFFF" w:themeColor="background1"/>
              </w:rPr>
              <w:t xml:space="preserve"> Address  </w:t>
            </w:r>
            <w:r w:rsidRPr="007863F7">
              <w:rPr>
                <w:b/>
                <w:color w:val="FFFFFF" w:themeColor="background1"/>
              </w:rPr>
              <w:t>(optional)</w:t>
            </w:r>
          </w:p>
        </w:tc>
        <w:tc>
          <w:tcPr>
            <w:tcW w:w="32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83FA385" w14:textId="0224BD0F" w:rsidR="00F36FDF" w:rsidRPr="007863F7" w:rsidRDefault="00F36FDF" w:rsidP="00D337B9">
            <w:pPr>
              <w:rPr>
                <w:b/>
                <w:color w:val="FFFFFF" w:themeColor="background1"/>
              </w:rPr>
            </w:pPr>
            <w:r w:rsidRPr="007863F7">
              <w:rPr>
                <w:b/>
                <w:color w:val="FFFFFF" w:themeColor="background1"/>
              </w:rPr>
              <w:t>Signature</w:t>
            </w:r>
          </w:p>
        </w:tc>
      </w:tr>
      <w:tr w:rsidR="00F36FDF" w:rsidRPr="00525C70" w14:paraId="411B4DB6" w14:textId="77777777" w:rsidTr="00AF00BF">
        <w:trPr>
          <w:cantSplit/>
          <w:trHeight w:val="781"/>
        </w:trPr>
        <w:tc>
          <w:tcPr>
            <w:tcW w:w="234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70D66CA" w14:textId="77777777" w:rsidR="00F36FDF" w:rsidRPr="00416155" w:rsidRDefault="00F36FDF" w:rsidP="00416155">
            <w:pPr>
              <w:spacing w:after="0"/>
              <w:rPr>
                <w:sz w:val="20"/>
                <w:szCs w:val="20"/>
              </w:rPr>
            </w:pPr>
            <w:r w:rsidRPr="00416155">
              <w:rPr>
                <w:sz w:val="20"/>
                <w:szCs w:val="20"/>
              </w:rPr>
              <w:t>Licensing NT</w:t>
            </w:r>
          </w:p>
        </w:tc>
        <w:tc>
          <w:tcPr>
            <w:tcW w:w="19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82D20EE" w14:textId="0D0439B1" w:rsidR="00F36FDF" w:rsidRPr="00416155" w:rsidRDefault="00F36FDF" w:rsidP="00D337B9">
            <w:pPr>
              <w:rPr>
                <w:sz w:val="20"/>
                <w:szCs w:val="20"/>
              </w:rPr>
            </w:pPr>
          </w:p>
        </w:tc>
        <w:tc>
          <w:tcPr>
            <w:tcW w:w="283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B625C98" w14:textId="6A55060F" w:rsidR="007650D8" w:rsidRPr="007650D8" w:rsidRDefault="007650D8" w:rsidP="002A3598"/>
        </w:tc>
        <w:tc>
          <w:tcPr>
            <w:tcW w:w="32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6554A96" w14:textId="78088EFC" w:rsidR="00F36FDF" w:rsidRPr="00525C70" w:rsidRDefault="00F36FDF" w:rsidP="00D337B9"/>
        </w:tc>
      </w:tr>
      <w:tr w:rsidR="00F36FDF" w:rsidRPr="00525C70" w14:paraId="3EDAA86C" w14:textId="77777777" w:rsidTr="00AF00BF">
        <w:trPr>
          <w:cantSplit/>
          <w:trHeight w:val="781"/>
        </w:trPr>
        <w:tc>
          <w:tcPr>
            <w:tcW w:w="234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F810446" w14:textId="77777777" w:rsidR="00F36FDF" w:rsidRPr="00416155" w:rsidRDefault="00F36FDF" w:rsidP="00D337B9">
            <w:pPr>
              <w:rPr>
                <w:sz w:val="20"/>
                <w:szCs w:val="20"/>
              </w:rPr>
            </w:pPr>
            <w:r w:rsidRPr="00416155">
              <w:rPr>
                <w:sz w:val="20"/>
                <w:szCs w:val="20"/>
              </w:rPr>
              <w:t>NT Police</w:t>
            </w:r>
          </w:p>
        </w:tc>
        <w:tc>
          <w:tcPr>
            <w:tcW w:w="19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38DE45F" w14:textId="69C2ED7A" w:rsidR="00F36FDF" w:rsidRPr="00416155" w:rsidRDefault="00F36FDF" w:rsidP="00D337B9">
            <w:pPr>
              <w:rPr>
                <w:sz w:val="20"/>
                <w:szCs w:val="20"/>
              </w:rPr>
            </w:pPr>
          </w:p>
        </w:tc>
        <w:tc>
          <w:tcPr>
            <w:tcW w:w="283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7065C6A" w14:textId="761D62CB" w:rsidR="00F36FDF" w:rsidRPr="00416155" w:rsidRDefault="00F36FDF" w:rsidP="00D337B9">
            <w:pPr>
              <w:rPr>
                <w:sz w:val="20"/>
                <w:szCs w:val="20"/>
              </w:rPr>
            </w:pPr>
          </w:p>
        </w:tc>
        <w:tc>
          <w:tcPr>
            <w:tcW w:w="32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57EDC6B" w14:textId="07872796" w:rsidR="00F36FDF" w:rsidRPr="00525C70" w:rsidRDefault="00F36FDF" w:rsidP="00D337B9"/>
        </w:tc>
      </w:tr>
      <w:tr w:rsidR="00F36FDF" w:rsidRPr="00525C70" w14:paraId="00D465BB" w14:textId="77777777" w:rsidTr="00AF00BF">
        <w:trPr>
          <w:cantSplit/>
          <w:trHeight w:val="781"/>
        </w:trPr>
        <w:tc>
          <w:tcPr>
            <w:tcW w:w="234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57C0FDF" w14:textId="77777777" w:rsidR="00F36FDF" w:rsidRPr="00416155" w:rsidRDefault="00F36FDF" w:rsidP="00D337B9">
            <w:pPr>
              <w:rPr>
                <w:sz w:val="20"/>
                <w:szCs w:val="20"/>
              </w:rPr>
            </w:pPr>
            <w:r w:rsidRPr="00416155">
              <w:rPr>
                <w:sz w:val="20"/>
                <w:szCs w:val="20"/>
              </w:rPr>
              <w:t>Hospitality NT</w:t>
            </w:r>
          </w:p>
        </w:tc>
        <w:tc>
          <w:tcPr>
            <w:tcW w:w="19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379D9A4" w14:textId="20C1349E" w:rsidR="00F36FDF" w:rsidRPr="00416155" w:rsidRDefault="00AF00BF" w:rsidP="00D337B9">
            <w:pPr>
              <w:rPr>
                <w:sz w:val="20"/>
                <w:szCs w:val="20"/>
              </w:rPr>
            </w:pPr>
            <w:r>
              <w:rPr>
                <w:sz w:val="20"/>
                <w:szCs w:val="20"/>
              </w:rPr>
              <w:t>Sarah Andrews</w:t>
            </w:r>
          </w:p>
        </w:tc>
        <w:tc>
          <w:tcPr>
            <w:tcW w:w="283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32E868F" w14:textId="6EF95505" w:rsidR="00F36FDF" w:rsidRPr="00416155" w:rsidRDefault="00AF00BF" w:rsidP="00D337B9">
            <w:pPr>
              <w:rPr>
                <w:sz w:val="20"/>
                <w:szCs w:val="20"/>
              </w:rPr>
            </w:pPr>
            <w:r>
              <w:rPr>
                <w:sz w:val="20"/>
                <w:szCs w:val="20"/>
              </w:rPr>
              <w:t>sarah</w:t>
            </w:r>
            <w:r w:rsidR="0009707D" w:rsidRPr="00416155">
              <w:rPr>
                <w:sz w:val="20"/>
                <w:szCs w:val="20"/>
              </w:rPr>
              <w:t>@hospitalitynt.com.au</w:t>
            </w:r>
          </w:p>
        </w:tc>
        <w:tc>
          <w:tcPr>
            <w:tcW w:w="32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49F5D8A" w14:textId="7A142DD0" w:rsidR="00F36FDF" w:rsidRPr="00525C70" w:rsidRDefault="00F36FDF" w:rsidP="00D337B9"/>
        </w:tc>
      </w:tr>
      <w:tr w:rsidR="00F36FDF" w:rsidRPr="00525C70" w14:paraId="5BA24E47" w14:textId="77777777" w:rsidTr="00AF00BF">
        <w:trPr>
          <w:cantSplit/>
          <w:trHeight w:val="596"/>
        </w:trPr>
        <w:tc>
          <w:tcPr>
            <w:tcW w:w="234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F4F6E4E" w14:textId="55948704" w:rsidR="00F36FDF" w:rsidRPr="00416155" w:rsidRDefault="00F36FDF" w:rsidP="00D337B9">
            <w:pPr>
              <w:rPr>
                <w:sz w:val="20"/>
                <w:szCs w:val="20"/>
              </w:rPr>
            </w:pPr>
          </w:p>
        </w:tc>
        <w:tc>
          <w:tcPr>
            <w:tcW w:w="19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5478917" w14:textId="792CD486" w:rsidR="00F36FDF" w:rsidRPr="00416155" w:rsidRDefault="00F36FDF" w:rsidP="00277C06">
            <w:pPr>
              <w:pStyle w:val="IndentParaLevel1"/>
              <w:spacing w:after="0"/>
              <w:ind w:left="0"/>
              <w:jc w:val="both"/>
              <w:rPr>
                <w:sz w:val="20"/>
                <w:szCs w:val="20"/>
              </w:rPr>
            </w:pPr>
          </w:p>
        </w:tc>
        <w:tc>
          <w:tcPr>
            <w:tcW w:w="283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6384C16" w14:textId="3E0C79A6" w:rsidR="00F36FDF" w:rsidRPr="007650D8" w:rsidRDefault="00F36FDF" w:rsidP="00D337B9">
            <w:pPr>
              <w:rPr>
                <w:sz w:val="20"/>
                <w:szCs w:val="20"/>
              </w:rPr>
            </w:pPr>
          </w:p>
        </w:tc>
        <w:tc>
          <w:tcPr>
            <w:tcW w:w="32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4632C2B" w14:textId="5AED21D8" w:rsidR="00F36FDF" w:rsidRPr="00525C70" w:rsidRDefault="00F36FDF" w:rsidP="00D337B9"/>
        </w:tc>
      </w:tr>
      <w:tr w:rsidR="00BC5A1D" w:rsidRPr="00525C70" w14:paraId="54D91A99" w14:textId="77777777" w:rsidTr="00AF00BF">
        <w:trPr>
          <w:cantSplit/>
          <w:trHeight w:val="596"/>
        </w:trPr>
        <w:tc>
          <w:tcPr>
            <w:tcW w:w="234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8E9ED50" w14:textId="6E3F9F38" w:rsidR="00BC5A1D" w:rsidRPr="00416155" w:rsidRDefault="00BC5A1D" w:rsidP="00D337B9">
            <w:pPr>
              <w:rPr>
                <w:sz w:val="20"/>
                <w:szCs w:val="20"/>
              </w:rPr>
            </w:pPr>
          </w:p>
        </w:tc>
        <w:tc>
          <w:tcPr>
            <w:tcW w:w="190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1420302" w14:textId="19CC11AB" w:rsidR="00BC5A1D" w:rsidRPr="00416155" w:rsidRDefault="00BC5A1D" w:rsidP="00D337B9">
            <w:pPr>
              <w:rPr>
                <w:sz w:val="20"/>
                <w:szCs w:val="20"/>
              </w:rPr>
            </w:pPr>
          </w:p>
        </w:tc>
        <w:tc>
          <w:tcPr>
            <w:tcW w:w="283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C7A41C4" w14:textId="44CE9D5F" w:rsidR="00BC5A1D" w:rsidRPr="00416155" w:rsidRDefault="00BC5A1D" w:rsidP="00D337B9">
            <w:pPr>
              <w:rPr>
                <w:sz w:val="20"/>
                <w:szCs w:val="20"/>
              </w:rPr>
            </w:pPr>
          </w:p>
        </w:tc>
        <w:tc>
          <w:tcPr>
            <w:tcW w:w="32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939AE1C" w14:textId="77777777" w:rsidR="00BC5A1D" w:rsidRPr="00525C70" w:rsidRDefault="00BC5A1D" w:rsidP="00D337B9"/>
        </w:tc>
      </w:tr>
    </w:tbl>
    <w:p w14:paraId="2B464DEC" w14:textId="77777777" w:rsidR="00277C06" w:rsidRDefault="00277C06" w:rsidP="00416155">
      <w:pPr>
        <w:pStyle w:val="IndentParaLevel1"/>
        <w:spacing w:before="120" w:after="0"/>
        <w:ind w:left="0"/>
        <w:jc w:val="both"/>
        <w:rPr>
          <w:rFonts w:ascii="Lato" w:hAnsi="Lato" w:cs="Arial"/>
          <w:b/>
        </w:rPr>
      </w:pPr>
    </w:p>
    <w:p w14:paraId="71F5A468" w14:textId="5B9C7C33" w:rsidR="00416155" w:rsidRDefault="00277C06" w:rsidP="00416155">
      <w:pPr>
        <w:pStyle w:val="IndentParaLevel1"/>
        <w:spacing w:before="120" w:after="0"/>
        <w:ind w:left="0"/>
        <w:jc w:val="both"/>
        <w:rPr>
          <w:rFonts w:ascii="Lato" w:hAnsi="Lato" w:cs="Arial"/>
          <w:b/>
        </w:rPr>
      </w:pPr>
      <w:r>
        <w:rPr>
          <w:rFonts w:ascii="Lato" w:hAnsi="Lato" w:cs="Arial"/>
          <w:b/>
        </w:rPr>
        <w:t xml:space="preserve">Tennant Creek </w:t>
      </w:r>
      <w:r w:rsidR="000D07D6" w:rsidRPr="008B1465">
        <w:rPr>
          <w:rFonts w:ascii="Lato" w:hAnsi="Lato" w:cs="Arial"/>
          <w:b/>
        </w:rPr>
        <w:t>Accord Coordinator</w:t>
      </w:r>
    </w:p>
    <w:p w14:paraId="197CD90A" w14:textId="682F2B05" w:rsidR="00F36FDF" w:rsidRDefault="00277C06" w:rsidP="00416155">
      <w:pPr>
        <w:pStyle w:val="IndentParaLevel1"/>
        <w:spacing w:after="0"/>
        <w:ind w:left="0"/>
        <w:jc w:val="both"/>
        <w:rPr>
          <w:rFonts w:ascii="Lato" w:hAnsi="Lato" w:cs="Arial"/>
        </w:rPr>
      </w:pPr>
      <w:bookmarkStart w:id="44" w:name="_Ref218485719"/>
      <w:bookmarkEnd w:id="40"/>
      <w:bookmarkEnd w:id="41"/>
      <w:bookmarkEnd w:id="43"/>
      <w:r>
        <w:rPr>
          <w:rFonts w:ascii="Lato" w:hAnsi="Lato" w:cs="Arial"/>
        </w:rPr>
        <w:t xml:space="preserve">Sarah Andrews </w:t>
      </w:r>
    </w:p>
    <w:p w14:paraId="22176DAE" w14:textId="0C324A56" w:rsidR="00744B71" w:rsidRDefault="00277C06" w:rsidP="00416155">
      <w:pPr>
        <w:pStyle w:val="IndentParaLevel1"/>
        <w:spacing w:after="0"/>
        <w:ind w:left="0"/>
        <w:jc w:val="both"/>
        <w:rPr>
          <w:rFonts w:ascii="Lato" w:hAnsi="Lato" w:cs="Arial"/>
        </w:rPr>
      </w:pPr>
      <w:r>
        <w:rPr>
          <w:rFonts w:ascii="Lato" w:hAnsi="Lato" w:cs="Arial"/>
        </w:rPr>
        <w:t xml:space="preserve">Hospitality NT </w:t>
      </w:r>
    </w:p>
    <w:p w14:paraId="74D9F66F" w14:textId="359863BF" w:rsidR="00744B71" w:rsidRDefault="00000000" w:rsidP="00416155">
      <w:pPr>
        <w:pStyle w:val="IndentParaLevel1"/>
        <w:spacing w:after="0"/>
        <w:ind w:left="0"/>
        <w:jc w:val="both"/>
        <w:rPr>
          <w:rFonts w:ascii="Lato" w:hAnsi="Lato" w:cs="Arial"/>
          <w:b/>
        </w:rPr>
      </w:pPr>
      <w:hyperlink r:id="rId23" w:history="1">
        <w:r w:rsidR="00277C06">
          <w:rPr>
            <w:rStyle w:val="Hyperlink"/>
            <w:rFonts w:ascii="Lato" w:hAnsi="Lato" w:cs="Arial"/>
            <w:b/>
          </w:rPr>
          <w:t>sarah@hospitalitynt.com.au</w:t>
        </w:r>
      </w:hyperlink>
      <w:r w:rsidR="00277C06">
        <w:rPr>
          <w:rStyle w:val="Hyperlink"/>
          <w:rFonts w:ascii="Lato" w:hAnsi="Lato" w:cs="Arial"/>
          <w:b/>
        </w:rPr>
        <w:t xml:space="preserve"> </w:t>
      </w:r>
    </w:p>
    <w:p w14:paraId="7F9A0770" w14:textId="77777777" w:rsidR="004A0DE6" w:rsidRDefault="004A0DE6" w:rsidP="000D07D6">
      <w:pPr>
        <w:pStyle w:val="Heading2"/>
        <w:numPr>
          <w:ilvl w:val="0"/>
          <w:numId w:val="0"/>
        </w:numPr>
        <w:rPr>
          <w:rFonts w:ascii="Lato" w:hAnsi="Lato"/>
          <w:iCs w:val="0"/>
          <w:color w:val="1F1F5F" w:themeColor="text1"/>
          <w:kern w:val="32"/>
          <w:sz w:val="36"/>
        </w:rPr>
      </w:pPr>
      <w:bookmarkStart w:id="45" w:name="_Toc450822260"/>
    </w:p>
    <w:p w14:paraId="01551D5F" w14:textId="77777777" w:rsidR="00224BFF" w:rsidRDefault="00224BFF" w:rsidP="00224BFF"/>
    <w:p w14:paraId="231DD20A" w14:textId="39EC663E" w:rsidR="00CC1D3E" w:rsidRPr="00B61FF3" w:rsidRDefault="00224BFF" w:rsidP="00B61FF3">
      <w:pPr>
        <w:pStyle w:val="Heading1"/>
        <w:numPr>
          <w:ilvl w:val="0"/>
          <w:numId w:val="0"/>
        </w:numPr>
        <w:ind w:left="357" w:hanging="357"/>
        <w:rPr>
          <w:iCs/>
          <w:sz w:val="34"/>
          <w:szCs w:val="34"/>
        </w:rPr>
      </w:pPr>
      <w:bookmarkStart w:id="46" w:name="_Toc159581473"/>
      <w:r w:rsidRPr="00495FFF">
        <w:rPr>
          <w:sz w:val="34"/>
          <w:szCs w:val="34"/>
        </w:rPr>
        <w:t xml:space="preserve">Schedule </w:t>
      </w:r>
      <w:r>
        <w:rPr>
          <w:sz w:val="34"/>
          <w:szCs w:val="34"/>
        </w:rPr>
        <w:t>2</w:t>
      </w:r>
      <w:r w:rsidRPr="00495FFF">
        <w:rPr>
          <w:sz w:val="34"/>
          <w:szCs w:val="34"/>
        </w:rPr>
        <w:t xml:space="preserve">: </w:t>
      </w:r>
      <w:r>
        <w:rPr>
          <w:sz w:val="34"/>
          <w:szCs w:val="34"/>
        </w:rPr>
        <w:t>Area of the</w:t>
      </w:r>
      <w:r w:rsidRPr="00495FFF">
        <w:rPr>
          <w:sz w:val="34"/>
          <w:szCs w:val="34"/>
        </w:rPr>
        <w:t xml:space="preserve"> </w:t>
      </w:r>
      <w:r>
        <w:rPr>
          <w:sz w:val="34"/>
          <w:szCs w:val="34"/>
        </w:rPr>
        <w:t xml:space="preserve">Tennant Creek Liquor </w:t>
      </w:r>
      <w:r w:rsidRPr="00495FFF">
        <w:rPr>
          <w:sz w:val="34"/>
          <w:szCs w:val="34"/>
        </w:rPr>
        <w:t>Accord</w:t>
      </w:r>
      <w:bookmarkEnd w:id="46"/>
    </w:p>
    <w:p w14:paraId="616A47D3" w14:textId="6D3D3109" w:rsidR="00B61FF3" w:rsidRPr="00224BFF" w:rsidRDefault="000C0352" w:rsidP="00CC1D3E">
      <w:pPr>
        <w:jc w:val="center"/>
        <w:sectPr w:rsidR="00B61FF3" w:rsidRPr="00224BFF" w:rsidSect="00C95D30">
          <w:pgSz w:w="11906" w:h="16838" w:code="9"/>
          <w:pgMar w:top="794" w:right="794" w:bottom="794" w:left="794" w:header="794" w:footer="794" w:gutter="0"/>
          <w:cols w:space="708"/>
          <w:docGrid w:linePitch="360"/>
        </w:sectPr>
      </w:pPr>
      <w:r>
        <w:rPr>
          <w:noProof/>
          <w:lang w:eastAsia="en-AU"/>
        </w:rPr>
        <w:drawing>
          <wp:inline distT="0" distB="0" distL="0" distR="0" wp14:anchorId="5F8F05CD" wp14:editId="787DF488">
            <wp:extent cx="5056248" cy="7359650"/>
            <wp:effectExtent l="0" t="0" r="0" b="0"/>
            <wp:docPr id="115773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3456" name="Picture 115773456"/>
                    <pic:cNvPicPr/>
                  </pic:nvPicPr>
                  <pic:blipFill>
                    <a:blip r:embed="rId24">
                      <a:extLst>
                        <a:ext uri="{28A0092B-C50C-407E-A947-70E740481C1C}">
                          <a14:useLocalDpi xmlns:a14="http://schemas.microsoft.com/office/drawing/2010/main" val="0"/>
                        </a:ext>
                      </a:extLst>
                    </a:blip>
                    <a:stretch>
                      <a:fillRect/>
                    </a:stretch>
                  </pic:blipFill>
                  <pic:spPr>
                    <a:xfrm>
                      <a:off x="0" y="0"/>
                      <a:ext cx="5061331" cy="7367049"/>
                    </a:xfrm>
                    <a:prstGeom prst="rect">
                      <a:avLst/>
                    </a:prstGeom>
                  </pic:spPr>
                </pic:pic>
              </a:graphicData>
            </a:graphic>
          </wp:inline>
        </w:drawing>
      </w:r>
    </w:p>
    <w:bookmarkEnd w:id="44"/>
    <w:bookmarkEnd w:id="45"/>
    <w:p w14:paraId="4C684E74" w14:textId="45275CB2" w:rsidR="004E21C2" w:rsidRPr="00EF7621" w:rsidRDefault="004E21C2" w:rsidP="00C9281D">
      <w:pPr>
        <w:pStyle w:val="Heading1"/>
        <w:numPr>
          <w:ilvl w:val="0"/>
          <w:numId w:val="0"/>
        </w:numPr>
      </w:pPr>
    </w:p>
    <w:sectPr w:rsidR="004E21C2" w:rsidRPr="00EF7621" w:rsidSect="00C95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98FB" w14:textId="77777777" w:rsidR="002B52E4" w:rsidRDefault="002B52E4">
      <w:r>
        <w:separator/>
      </w:r>
    </w:p>
  </w:endnote>
  <w:endnote w:type="continuationSeparator" w:id="0">
    <w:p w14:paraId="40761D46" w14:textId="77777777" w:rsidR="002B52E4" w:rsidRDefault="002B52E4">
      <w:r>
        <w:continuationSeparator/>
      </w:r>
    </w:p>
  </w:endnote>
  <w:endnote w:type="continuationNotice" w:id="1">
    <w:p w14:paraId="5AF81BE1" w14:textId="77777777" w:rsidR="002B52E4" w:rsidRDefault="002B52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ENMID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7B0177FC" w14:textId="58A0B237" w:rsidR="00155B94" w:rsidRDefault="00155B9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8C26" w14:textId="77777777" w:rsidR="00155B94" w:rsidRPr="00F538BD" w:rsidRDefault="00155B94" w:rsidP="004E7885">
    <w:pPr>
      <w:spacing w:after="0"/>
      <w:jc w:val="right"/>
      <w:rPr>
        <w:sz w:val="6"/>
        <w:szCs w:val="6"/>
      </w:rPr>
    </w:pPr>
    <w:r w:rsidRPr="001852AF">
      <w:rPr>
        <w:noProof/>
        <w:lang w:eastAsia="en-AU"/>
      </w:rPr>
      <w:drawing>
        <wp:inline distT="0" distB="0" distL="0" distR="0" wp14:anchorId="3DE1EAD2" wp14:editId="1EFA4F43">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974" w14:textId="77777777" w:rsidR="00155B94" w:rsidRDefault="00155B94"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DF40" w14:textId="77777777" w:rsidR="00155B94" w:rsidRPr="00F538BD" w:rsidRDefault="00155B94"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321E" w14:textId="77777777" w:rsidR="00155B94" w:rsidRPr="00A50829" w:rsidRDefault="00155B94"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Pr>
    <w:tblGrid>
      <w:gridCol w:w="10318"/>
    </w:tblGrid>
    <w:tr w:rsidR="00155B94" w:rsidRPr="00132658" w14:paraId="4A55EFAB" w14:textId="77777777" w:rsidTr="00F759D1">
      <w:trPr>
        <w:cantSplit/>
        <w:trHeight w:hRule="exact" w:val="850"/>
        <w:tblHeader/>
      </w:trPr>
      <w:tc>
        <w:tcPr>
          <w:tcW w:w="10318" w:type="dxa"/>
          <w:vAlign w:val="bottom"/>
        </w:tcPr>
        <w:p w14:paraId="62AAB7B1" w14:textId="167228E5" w:rsidR="00155B94" w:rsidRPr="00AC4488" w:rsidRDefault="00155B94"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799A">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799A">
            <w:rPr>
              <w:rStyle w:val="PageNumber"/>
              <w:noProof/>
            </w:rPr>
            <w:t>12</w:t>
          </w:r>
          <w:r w:rsidRPr="00AC4488">
            <w:rPr>
              <w:rStyle w:val="PageNumber"/>
            </w:rPr>
            <w:fldChar w:fldCharType="end"/>
          </w:r>
        </w:p>
      </w:tc>
    </w:tr>
  </w:tbl>
  <w:p w14:paraId="5DD86250" w14:textId="77777777" w:rsidR="00155B94" w:rsidRDefault="00155B94"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1EC9" w14:textId="77777777" w:rsidR="002B52E4" w:rsidRDefault="002B52E4">
      <w:r>
        <w:separator/>
      </w:r>
    </w:p>
  </w:footnote>
  <w:footnote w:type="continuationSeparator" w:id="0">
    <w:p w14:paraId="2B05F22F" w14:textId="77777777" w:rsidR="002B52E4" w:rsidRDefault="002B52E4">
      <w:r>
        <w:continuationSeparator/>
      </w:r>
    </w:p>
  </w:footnote>
  <w:footnote w:type="continuationNotice" w:id="1">
    <w:p w14:paraId="19A048D9" w14:textId="77777777" w:rsidR="002B52E4" w:rsidRDefault="002B52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784E" w14:textId="631D0B3E" w:rsidR="00155B94" w:rsidRPr="008E0345" w:rsidRDefault="00000000" w:rsidP="005A5A44">
    <w:pPr>
      <w:pStyle w:val="Header"/>
    </w:pPr>
    <w:sdt>
      <w:sdtPr>
        <w:alias w:val="Title"/>
        <w:tag w:val=""/>
        <w:id w:val="-477918894"/>
        <w:placeholder>
          <w:docPart w:val="866B47627150472EB11F37482FEA5F72"/>
        </w:placeholder>
        <w:dataBinding w:prefixMappings="xmlns:ns0='http://purl.org/dc/elements/1.1/' xmlns:ns1='http://schemas.openxmlformats.org/package/2006/metadata/core-properties' " w:xpath="/ns1:coreProperties[1]/ns0:title[1]" w:storeItemID="{6C3C8BC8-F283-45AE-878A-BAB7291924A1}"/>
        <w:text/>
      </w:sdtPr>
      <w:sdtContent>
        <w:r w:rsidR="004E4D15">
          <w:t>Tennant Creek Liquor Accord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F865" w14:textId="6B6B5498" w:rsidR="00155B94" w:rsidRPr="00BD0F38" w:rsidRDefault="00155B94" w:rsidP="00A32EFF">
    <w:pPr>
      <w:tabs>
        <w:tab w:val="right" w:pos="10318"/>
      </w:tabs>
    </w:pPr>
    <w:r w:rsidRPr="00BD0F38">
      <w:rPr>
        <w:noProof/>
        <w:lang w:eastAsia="en-AU"/>
      </w:rPr>
      <w:drawing>
        <wp:anchor distT="0" distB="0" distL="0" distR="0" simplePos="0" relativeHeight="251659264" behindDoc="0" locked="0" layoutInCell="1" allowOverlap="1" wp14:anchorId="762C5914" wp14:editId="1E62584B">
          <wp:simplePos x="0" y="0"/>
          <wp:positionH relativeFrom="page">
            <wp:align>left</wp:align>
          </wp:positionH>
          <wp:positionV relativeFrom="page">
            <wp:posOffset>3393830</wp:posOffset>
          </wp:positionV>
          <wp:extent cx="7553130" cy="5448285"/>
          <wp:effectExtent l="0" t="0" r="0" b="635"/>
          <wp:wrapTopAndBottom/>
          <wp:docPr id="9"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8DC9" w14:textId="37726A08" w:rsidR="00155B94" w:rsidRPr="004E7885" w:rsidRDefault="00000000" w:rsidP="004E7885">
    <w:pPr>
      <w:pStyle w:val="Header"/>
    </w:pPr>
    <w:sdt>
      <w:sdtPr>
        <w:alias w:val="Title"/>
        <w:tag w:val="Title"/>
        <w:id w:val="94911156"/>
        <w:lock w:val="sdtLocked"/>
        <w:placeholder>
          <w:docPart w:val="866B47627150472EB11F37482FEA5F72"/>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4E4D15">
          <w:t>Tennant Creek Liquor Accord</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F0" w14:textId="77777777" w:rsidR="00155B94" w:rsidRPr="00274F1C" w:rsidRDefault="00155B94"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A34FC0488743421D887F6861F22FC2FB"/>
      </w:placeholder>
      <w:dataBinding w:prefixMappings="xmlns:ns0='http://purl.org/dc/elements/1.1/' xmlns:ns1='http://schemas.openxmlformats.org/package/2006/metadata/core-properties' " w:xpath="/ns1:coreProperties[1]/ns0:title[1]" w:storeItemID="{6C3C8BC8-F283-45AE-878A-BAB7291924A1}"/>
      <w:text/>
    </w:sdtPr>
    <w:sdtContent>
      <w:p w14:paraId="33687ADD" w14:textId="18D5ED15" w:rsidR="00155B94" w:rsidRPr="00964B22" w:rsidRDefault="004E4D15" w:rsidP="008E0345">
        <w:pPr>
          <w:pStyle w:val="Header"/>
          <w:rPr>
            <w:b/>
          </w:rPr>
        </w:pPr>
        <w:r>
          <w:t>Tennant Creek Liquor Accord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256903"/>
    <w:multiLevelType w:val="hybridMultilevel"/>
    <w:tmpl w:val="24BEE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2B7EC9"/>
    <w:multiLevelType w:val="hybridMultilevel"/>
    <w:tmpl w:val="D770776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34388"/>
    <w:multiLevelType w:val="hybridMultilevel"/>
    <w:tmpl w:val="E312AB8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2203F8"/>
    <w:multiLevelType w:val="hybridMultilevel"/>
    <w:tmpl w:val="F892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0B4B85"/>
    <w:multiLevelType w:val="hybridMultilevel"/>
    <w:tmpl w:val="F606F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2C4F85"/>
    <w:multiLevelType w:val="hybridMultilevel"/>
    <w:tmpl w:val="CA04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D40C15"/>
    <w:multiLevelType w:val="hybridMultilevel"/>
    <w:tmpl w:val="816EC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2C4B9D"/>
    <w:multiLevelType w:val="hybridMultilevel"/>
    <w:tmpl w:val="8AC678EA"/>
    <w:lvl w:ilvl="0" w:tplc="0C090001">
      <w:start w:val="1"/>
      <w:numFmt w:val="bullet"/>
      <w:lvlText w:val=""/>
      <w:lvlJc w:val="left"/>
      <w:pPr>
        <w:ind w:left="360" w:hanging="360"/>
      </w:pPr>
      <w:rPr>
        <w:rFonts w:ascii="Symbol" w:hAnsi="Symbol" w:hint="default"/>
      </w:rPr>
    </w:lvl>
    <w:lvl w:ilvl="1" w:tplc="2160A9A0">
      <w:numFmt w:val="bullet"/>
      <w:lvlText w:val="•"/>
      <w:lvlJc w:val="left"/>
      <w:pPr>
        <w:ind w:left="1080" w:hanging="360"/>
      </w:pPr>
      <w:rPr>
        <w:rFonts w:ascii="Lato" w:eastAsia="Calibri" w:hAnsi="Lato"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0E317B9"/>
    <w:multiLevelType w:val="hybridMultilevel"/>
    <w:tmpl w:val="A000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862080"/>
    <w:multiLevelType w:val="hybridMultilevel"/>
    <w:tmpl w:val="82A69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2A6CE4"/>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CFA4BBE"/>
    <w:multiLevelType w:val="hybridMultilevel"/>
    <w:tmpl w:val="B602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4D9C2814"/>
    <w:multiLevelType w:val="hybridMultilevel"/>
    <w:tmpl w:val="7CD0A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694832"/>
    <w:multiLevelType w:val="hybridMultilevel"/>
    <w:tmpl w:val="D88AE9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237067"/>
    <w:multiLevelType w:val="hybridMultilevel"/>
    <w:tmpl w:val="C8E0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8D2275D"/>
    <w:multiLevelType w:val="hybridMultilevel"/>
    <w:tmpl w:val="C31A6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B8D067E"/>
    <w:multiLevelType w:val="hybridMultilevel"/>
    <w:tmpl w:val="8246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C54870"/>
    <w:multiLevelType w:val="hybridMultilevel"/>
    <w:tmpl w:val="3FC852E2"/>
    <w:lvl w:ilvl="0" w:tplc="70BEBA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00C700D"/>
    <w:multiLevelType w:val="hybridMultilevel"/>
    <w:tmpl w:val="0408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993352"/>
    <w:multiLevelType w:val="hybridMultilevel"/>
    <w:tmpl w:val="2F5C50BC"/>
    <w:lvl w:ilvl="0" w:tplc="FFFFFFFF">
      <w:start w:val="1"/>
      <w:numFmt w:val="bullet"/>
      <w:lvlText w:val=""/>
      <w:lvlJc w:val="left"/>
      <w:pPr>
        <w:tabs>
          <w:tab w:val="num" w:pos="964"/>
        </w:tabs>
        <w:ind w:left="964" w:hanging="964"/>
      </w:pPr>
      <w:rPr>
        <w:rFonts w:ascii="Symbol" w:hAnsi="Symbol" w:hint="default"/>
      </w:rPr>
    </w:lvl>
    <w:lvl w:ilvl="1" w:tplc="FFFFFFFF">
      <w:start w:val="1"/>
      <w:numFmt w:val="upperLetter"/>
      <w:pStyle w:val="Recital"/>
      <w:lvlText w:val="%2."/>
      <w:lvlJc w:val="left"/>
      <w:pPr>
        <w:tabs>
          <w:tab w:val="num" w:pos="2044"/>
        </w:tabs>
        <w:ind w:left="2044" w:hanging="96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60239C"/>
    <w:multiLevelType w:val="hybridMultilevel"/>
    <w:tmpl w:val="C2443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F4E4AF3"/>
    <w:multiLevelType w:val="multilevel"/>
    <w:tmpl w:val="3782F450"/>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2."/>
      <w:lvlJc w:val="left"/>
      <w:pPr>
        <w:tabs>
          <w:tab w:val="num" w:pos="964"/>
        </w:tabs>
        <w:ind w:left="964" w:hanging="964"/>
      </w:pPr>
      <w:rPr>
        <w:rFonts w:hint="default"/>
        <w:b w:val="0"/>
        <w:i w:val="0"/>
        <w:sz w:val="22"/>
        <w:u w:val="none"/>
      </w:rPr>
    </w:lvl>
    <w:lvl w:ilvl="2">
      <w:start w:val="1"/>
      <w:numFmt w:val="decimal"/>
      <w:pStyle w:val="CUNumber3"/>
      <w:lvlText w:val="%3."/>
      <w:lvlJc w:val="left"/>
      <w:pPr>
        <w:tabs>
          <w:tab w:val="num" w:pos="1928"/>
        </w:tabs>
        <w:ind w:left="1928" w:hanging="964"/>
      </w:pPr>
      <w:rPr>
        <w:rFonts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4" w15:restartNumberingAfterBreak="0">
    <w:nsid w:val="6F68384B"/>
    <w:multiLevelType w:val="hybridMultilevel"/>
    <w:tmpl w:val="BF76A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0023AFB"/>
    <w:multiLevelType w:val="hybridMultilevel"/>
    <w:tmpl w:val="DE48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5A50489"/>
    <w:multiLevelType w:val="hybridMultilevel"/>
    <w:tmpl w:val="341A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0" w15:restartNumberingAfterBreak="0">
    <w:nsid w:val="7A0844C6"/>
    <w:multiLevelType w:val="hybridMultilevel"/>
    <w:tmpl w:val="4E54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62" w15:restartNumberingAfterBreak="0">
    <w:nsid w:val="7C8677D9"/>
    <w:multiLevelType w:val="hybridMultilevel"/>
    <w:tmpl w:val="1056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D23DE7"/>
    <w:multiLevelType w:val="hybridMultilevel"/>
    <w:tmpl w:val="15C4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74696220">
    <w:abstractNumId w:val="25"/>
  </w:num>
  <w:num w:numId="2" w16cid:durableId="767577202">
    <w:abstractNumId w:val="16"/>
  </w:num>
  <w:num w:numId="3" w16cid:durableId="391931500">
    <w:abstractNumId w:val="59"/>
  </w:num>
  <w:num w:numId="4" w16cid:durableId="168257828">
    <w:abstractNumId w:val="34"/>
  </w:num>
  <w:num w:numId="5" w16cid:durableId="1232501379">
    <w:abstractNumId w:val="20"/>
  </w:num>
  <w:num w:numId="6" w16cid:durableId="632097753">
    <w:abstractNumId w:val="9"/>
  </w:num>
  <w:num w:numId="7" w16cid:durableId="442577825">
    <w:abstractNumId w:val="39"/>
  </w:num>
  <w:num w:numId="8" w16cid:durableId="1018897241">
    <w:abstractNumId w:val="19"/>
  </w:num>
  <w:num w:numId="9" w16cid:durableId="1775783157">
    <w:abstractNumId w:val="26"/>
  </w:num>
  <w:num w:numId="10" w16cid:durableId="300186716">
    <w:abstractNumId w:val="53"/>
  </w:num>
  <w:num w:numId="11" w16cid:durableId="322976895">
    <w:abstractNumId w:val="50"/>
  </w:num>
  <w:num w:numId="12" w16cid:durableId="1989818071">
    <w:abstractNumId w:val="61"/>
  </w:num>
  <w:num w:numId="13" w16cid:durableId="199316863">
    <w:abstractNumId w:val="51"/>
  </w:num>
  <w:num w:numId="14" w16cid:durableId="986592546">
    <w:abstractNumId w:val="15"/>
  </w:num>
  <w:num w:numId="15" w16cid:durableId="256910397">
    <w:abstractNumId w:val="31"/>
  </w:num>
  <w:num w:numId="16" w16cid:durableId="1771270476">
    <w:abstractNumId w:val="54"/>
  </w:num>
  <w:num w:numId="17" w16cid:durableId="420640672">
    <w:abstractNumId w:val="1"/>
  </w:num>
  <w:num w:numId="18" w16cid:durableId="993144904">
    <w:abstractNumId w:val="28"/>
  </w:num>
  <w:num w:numId="19" w16cid:durableId="1691057276">
    <w:abstractNumId w:val="35"/>
  </w:num>
  <w:num w:numId="20" w16cid:durableId="1768650951">
    <w:abstractNumId w:val="13"/>
  </w:num>
  <w:num w:numId="21" w16cid:durableId="1835753259">
    <w:abstractNumId w:val="23"/>
  </w:num>
  <w:num w:numId="22" w16cid:durableId="1476684491">
    <w:abstractNumId w:val="10"/>
  </w:num>
  <w:num w:numId="23" w16cid:durableId="1689406030">
    <w:abstractNumId w:val="60"/>
  </w:num>
  <w:num w:numId="24" w16cid:durableId="918948080">
    <w:abstractNumId w:val="45"/>
  </w:num>
  <w:num w:numId="25" w16cid:durableId="1461805914">
    <w:abstractNumId w:val="27"/>
  </w:num>
  <w:num w:numId="26" w16cid:durableId="1043364573">
    <w:abstractNumId w:val="30"/>
  </w:num>
  <w:num w:numId="27" w16cid:durableId="928536730">
    <w:abstractNumId w:val="63"/>
  </w:num>
  <w:num w:numId="28" w16cid:durableId="1330911466">
    <w:abstractNumId w:val="49"/>
  </w:num>
  <w:num w:numId="29" w16cid:durableId="1437940377">
    <w:abstractNumId w:val="55"/>
  </w:num>
  <w:num w:numId="30" w16cid:durableId="1165316699">
    <w:abstractNumId w:val="37"/>
  </w:num>
  <w:num w:numId="31" w16cid:durableId="2078240533">
    <w:abstractNumId w:val="62"/>
  </w:num>
  <w:num w:numId="32" w16cid:durableId="1094280362">
    <w:abstractNumId w:val="42"/>
  </w:num>
  <w:num w:numId="33" w16cid:durableId="1848473969">
    <w:abstractNumId w:val="44"/>
  </w:num>
  <w:num w:numId="34" w16cid:durableId="1216160955">
    <w:abstractNumId w:val="38"/>
  </w:num>
  <w:num w:numId="35" w16cid:durableId="413825196">
    <w:abstractNumId w:val="57"/>
  </w:num>
  <w:num w:numId="36" w16cid:durableId="1911816486">
    <w:abstractNumId w:val="32"/>
  </w:num>
  <w:num w:numId="37" w16cid:durableId="1049917314">
    <w:abstractNumId w:val="5"/>
  </w:num>
  <w:num w:numId="38" w16cid:durableId="955067136">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NTY1t7C0MDAzNjVT0lEKTi0uzszPAykwrAUAC7AK5iwAAAA="/>
  </w:docVars>
  <w:rsids>
    <w:rsidRoot w:val="001F591A"/>
    <w:rsid w:val="0000042D"/>
    <w:rsid w:val="00001DDF"/>
    <w:rsid w:val="000024F6"/>
    <w:rsid w:val="0000322D"/>
    <w:rsid w:val="00007670"/>
    <w:rsid w:val="00010665"/>
    <w:rsid w:val="00013DFC"/>
    <w:rsid w:val="000164D4"/>
    <w:rsid w:val="000238B4"/>
    <w:rsid w:val="0002393A"/>
    <w:rsid w:val="00027DB8"/>
    <w:rsid w:val="000307A7"/>
    <w:rsid w:val="00031A96"/>
    <w:rsid w:val="00040BF3"/>
    <w:rsid w:val="0004562E"/>
    <w:rsid w:val="00046C59"/>
    <w:rsid w:val="00050358"/>
    <w:rsid w:val="00051362"/>
    <w:rsid w:val="000517BA"/>
    <w:rsid w:val="00051F45"/>
    <w:rsid w:val="00052953"/>
    <w:rsid w:val="0005341A"/>
    <w:rsid w:val="00056DEF"/>
    <w:rsid w:val="00064968"/>
    <w:rsid w:val="00065A07"/>
    <w:rsid w:val="000720BE"/>
    <w:rsid w:val="0007259C"/>
    <w:rsid w:val="00080202"/>
    <w:rsid w:val="00080DCD"/>
    <w:rsid w:val="00080E22"/>
    <w:rsid w:val="00081A17"/>
    <w:rsid w:val="00082573"/>
    <w:rsid w:val="000840A3"/>
    <w:rsid w:val="00085062"/>
    <w:rsid w:val="00086A5F"/>
    <w:rsid w:val="000911EF"/>
    <w:rsid w:val="000962C5"/>
    <w:rsid w:val="0009707D"/>
    <w:rsid w:val="000A4317"/>
    <w:rsid w:val="000A559C"/>
    <w:rsid w:val="000B280D"/>
    <w:rsid w:val="000B2CA1"/>
    <w:rsid w:val="000B6E48"/>
    <w:rsid w:val="000C0352"/>
    <w:rsid w:val="000D07D6"/>
    <w:rsid w:val="000D1F29"/>
    <w:rsid w:val="000D5C23"/>
    <w:rsid w:val="000D633D"/>
    <w:rsid w:val="000E0962"/>
    <w:rsid w:val="000E342B"/>
    <w:rsid w:val="000E38FB"/>
    <w:rsid w:val="000E5D16"/>
    <w:rsid w:val="000E5DD2"/>
    <w:rsid w:val="000E6382"/>
    <w:rsid w:val="000E704C"/>
    <w:rsid w:val="000F2958"/>
    <w:rsid w:val="000F4805"/>
    <w:rsid w:val="00100C19"/>
    <w:rsid w:val="00104CD6"/>
    <w:rsid w:val="00104E7F"/>
    <w:rsid w:val="001137EC"/>
    <w:rsid w:val="001152F5"/>
    <w:rsid w:val="00117743"/>
    <w:rsid w:val="00117F5B"/>
    <w:rsid w:val="00121EA4"/>
    <w:rsid w:val="00126D31"/>
    <w:rsid w:val="00132658"/>
    <w:rsid w:val="00141199"/>
    <w:rsid w:val="00145AFC"/>
    <w:rsid w:val="00147DED"/>
    <w:rsid w:val="00150DC0"/>
    <w:rsid w:val="00155B94"/>
    <w:rsid w:val="00156CD4"/>
    <w:rsid w:val="00157916"/>
    <w:rsid w:val="00161CC6"/>
    <w:rsid w:val="00164A3E"/>
    <w:rsid w:val="00165DCB"/>
    <w:rsid w:val="00166FF6"/>
    <w:rsid w:val="00172C77"/>
    <w:rsid w:val="00174237"/>
    <w:rsid w:val="00176123"/>
    <w:rsid w:val="00181620"/>
    <w:rsid w:val="001957AD"/>
    <w:rsid w:val="001A2B7F"/>
    <w:rsid w:val="001A3AFD"/>
    <w:rsid w:val="001A496C"/>
    <w:rsid w:val="001A6304"/>
    <w:rsid w:val="001B2B6C"/>
    <w:rsid w:val="001B2FB8"/>
    <w:rsid w:val="001C2091"/>
    <w:rsid w:val="001C6A7D"/>
    <w:rsid w:val="001D01C4"/>
    <w:rsid w:val="001D0B95"/>
    <w:rsid w:val="001D45E4"/>
    <w:rsid w:val="001D52B0"/>
    <w:rsid w:val="001D5A18"/>
    <w:rsid w:val="001D7CA4"/>
    <w:rsid w:val="001E057F"/>
    <w:rsid w:val="001E14EB"/>
    <w:rsid w:val="001E1D4D"/>
    <w:rsid w:val="001F591A"/>
    <w:rsid w:val="001F59E6"/>
    <w:rsid w:val="001F66F0"/>
    <w:rsid w:val="001F66F9"/>
    <w:rsid w:val="001F6EE5"/>
    <w:rsid w:val="00202014"/>
    <w:rsid w:val="00206936"/>
    <w:rsid w:val="00206B80"/>
    <w:rsid w:val="00206C6F"/>
    <w:rsid w:val="00206FBD"/>
    <w:rsid w:val="00207746"/>
    <w:rsid w:val="002178CC"/>
    <w:rsid w:val="0022003D"/>
    <w:rsid w:val="00221220"/>
    <w:rsid w:val="00224BFF"/>
    <w:rsid w:val="00230031"/>
    <w:rsid w:val="00235C01"/>
    <w:rsid w:val="00236878"/>
    <w:rsid w:val="00247343"/>
    <w:rsid w:val="00247538"/>
    <w:rsid w:val="00264C90"/>
    <w:rsid w:val="00265C56"/>
    <w:rsid w:val="002667A0"/>
    <w:rsid w:val="002716CD"/>
    <w:rsid w:val="00271E34"/>
    <w:rsid w:val="00272232"/>
    <w:rsid w:val="00272E99"/>
    <w:rsid w:val="00274D4B"/>
    <w:rsid w:val="00277C06"/>
    <w:rsid w:val="002806F5"/>
    <w:rsid w:val="00281577"/>
    <w:rsid w:val="00285A66"/>
    <w:rsid w:val="00285A6B"/>
    <w:rsid w:val="0029107D"/>
    <w:rsid w:val="002926BC"/>
    <w:rsid w:val="00293A72"/>
    <w:rsid w:val="002A0160"/>
    <w:rsid w:val="002A30C3"/>
    <w:rsid w:val="002A3598"/>
    <w:rsid w:val="002A53C5"/>
    <w:rsid w:val="002A5F89"/>
    <w:rsid w:val="002A6F6A"/>
    <w:rsid w:val="002A7712"/>
    <w:rsid w:val="002A7B36"/>
    <w:rsid w:val="002B38F7"/>
    <w:rsid w:val="002B4C0D"/>
    <w:rsid w:val="002B52E4"/>
    <w:rsid w:val="002B5591"/>
    <w:rsid w:val="002B56F9"/>
    <w:rsid w:val="002B6AA4"/>
    <w:rsid w:val="002C1FE9"/>
    <w:rsid w:val="002C4461"/>
    <w:rsid w:val="002D25D5"/>
    <w:rsid w:val="002D3A57"/>
    <w:rsid w:val="002D3EF5"/>
    <w:rsid w:val="002D735F"/>
    <w:rsid w:val="002D7D05"/>
    <w:rsid w:val="002E20C8"/>
    <w:rsid w:val="002E4290"/>
    <w:rsid w:val="002E5B94"/>
    <w:rsid w:val="002E66A6"/>
    <w:rsid w:val="002F0DB1"/>
    <w:rsid w:val="002F1188"/>
    <w:rsid w:val="002F17CA"/>
    <w:rsid w:val="002F2674"/>
    <w:rsid w:val="002F2885"/>
    <w:rsid w:val="002F3CF1"/>
    <w:rsid w:val="002F45A1"/>
    <w:rsid w:val="00302DD2"/>
    <w:rsid w:val="003037F9"/>
    <w:rsid w:val="0030583E"/>
    <w:rsid w:val="00307FE1"/>
    <w:rsid w:val="003164BA"/>
    <w:rsid w:val="003216EA"/>
    <w:rsid w:val="003223FE"/>
    <w:rsid w:val="003258E6"/>
    <w:rsid w:val="00337473"/>
    <w:rsid w:val="00342283"/>
    <w:rsid w:val="00343A87"/>
    <w:rsid w:val="00344A36"/>
    <w:rsid w:val="003456F4"/>
    <w:rsid w:val="00347FB6"/>
    <w:rsid w:val="003504FD"/>
    <w:rsid w:val="00350881"/>
    <w:rsid w:val="003553B3"/>
    <w:rsid w:val="00357D55"/>
    <w:rsid w:val="00362E81"/>
    <w:rsid w:val="00363513"/>
    <w:rsid w:val="003657E5"/>
    <w:rsid w:val="0036589C"/>
    <w:rsid w:val="00371312"/>
    <w:rsid w:val="00371DC7"/>
    <w:rsid w:val="00374E3D"/>
    <w:rsid w:val="003765C6"/>
    <w:rsid w:val="00376BF0"/>
    <w:rsid w:val="00377B21"/>
    <w:rsid w:val="00381394"/>
    <w:rsid w:val="00390CE3"/>
    <w:rsid w:val="00393FCF"/>
    <w:rsid w:val="00394876"/>
    <w:rsid w:val="00394AAF"/>
    <w:rsid w:val="00394CE5"/>
    <w:rsid w:val="003966AB"/>
    <w:rsid w:val="003A4DF9"/>
    <w:rsid w:val="003A6341"/>
    <w:rsid w:val="003B0972"/>
    <w:rsid w:val="003B173F"/>
    <w:rsid w:val="003B67FD"/>
    <w:rsid w:val="003B6A61"/>
    <w:rsid w:val="003C4756"/>
    <w:rsid w:val="003C47B0"/>
    <w:rsid w:val="003D3850"/>
    <w:rsid w:val="003D42C0"/>
    <w:rsid w:val="003D5B29"/>
    <w:rsid w:val="003D7818"/>
    <w:rsid w:val="003E13C1"/>
    <w:rsid w:val="003E2445"/>
    <w:rsid w:val="003E3BB2"/>
    <w:rsid w:val="003F5B58"/>
    <w:rsid w:val="003F7C95"/>
    <w:rsid w:val="003F7CE6"/>
    <w:rsid w:val="0040222A"/>
    <w:rsid w:val="004047BC"/>
    <w:rsid w:val="00406497"/>
    <w:rsid w:val="004100F7"/>
    <w:rsid w:val="0041367C"/>
    <w:rsid w:val="00414CB3"/>
    <w:rsid w:val="0041563D"/>
    <w:rsid w:val="00416155"/>
    <w:rsid w:val="00417533"/>
    <w:rsid w:val="00417E19"/>
    <w:rsid w:val="00420CF5"/>
    <w:rsid w:val="004212E6"/>
    <w:rsid w:val="00422874"/>
    <w:rsid w:val="0042694E"/>
    <w:rsid w:val="00426E25"/>
    <w:rsid w:val="00427D9C"/>
    <w:rsid w:val="00427E7E"/>
    <w:rsid w:val="004433AE"/>
    <w:rsid w:val="00443B6E"/>
    <w:rsid w:val="004455FE"/>
    <w:rsid w:val="004521CB"/>
    <w:rsid w:val="0045420A"/>
    <w:rsid w:val="004554D4"/>
    <w:rsid w:val="00461744"/>
    <w:rsid w:val="00466185"/>
    <w:rsid w:val="004668A7"/>
    <w:rsid w:val="00466D96"/>
    <w:rsid w:val="00467747"/>
    <w:rsid w:val="00471075"/>
    <w:rsid w:val="00473C98"/>
    <w:rsid w:val="00474965"/>
    <w:rsid w:val="00482DF8"/>
    <w:rsid w:val="004864DE"/>
    <w:rsid w:val="00494BE5"/>
    <w:rsid w:val="00495FFF"/>
    <w:rsid w:val="004A0DE6"/>
    <w:rsid w:val="004A0EBA"/>
    <w:rsid w:val="004A2538"/>
    <w:rsid w:val="004B075C"/>
    <w:rsid w:val="004B0C15"/>
    <w:rsid w:val="004B35EA"/>
    <w:rsid w:val="004B69E4"/>
    <w:rsid w:val="004B7373"/>
    <w:rsid w:val="004C2BF4"/>
    <w:rsid w:val="004C54BE"/>
    <w:rsid w:val="004C6C39"/>
    <w:rsid w:val="004D075F"/>
    <w:rsid w:val="004D1B76"/>
    <w:rsid w:val="004D344E"/>
    <w:rsid w:val="004E019E"/>
    <w:rsid w:val="004E06EC"/>
    <w:rsid w:val="004E0FD7"/>
    <w:rsid w:val="004E21C2"/>
    <w:rsid w:val="004E2CA0"/>
    <w:rsid w:val="004E2CB7"/>
    <w:rsid w:val="004E31D1"/>
    <w:rsid w:val="004E4D15"/>
    <w:rsid w:val="004E7885"/>
    <w:rsid w:val="004F016A"/>
    <w:rsid w:val="004F2206"/>
    <w:rsid w:val="004F3A71"/>
    <w:rsid w:val="00500F94"/>
    <w:rsid w:val="00502FB3"/>
    <w:rsid w:val="00503DE9"/>
    <w:rsid w:val="0050530C"/>
    <w:rsid w:val="00505C7B"/>
    <w:rsid w:val="00505DEA"/>
    <w:rsid w:val="00505F8E"/>
    <w:rsid w:val="00507658"/>
    <w:rsid w:val="00507782"/>
    <w:rsid w:val="00512A04"/>
    <w:rsid w:val="005209E2"/>
    <w:rsid w:val="005249F5"/>
    <w:rsid w:val="005260F7"/>
    <w:rsid w:val="0053284B"/>
    <w:rsid w:val="00532C8B"/>
    <w:rsid w:val="00534344"/>
    <w:rsid w:val="005359EB"/>
    <w:rsid w:val="00540E66"/>
    <w:rsid w:val="00543BD1"/>
    <w:rsid w:val="00546D7E"/>
    <w:rsid w:val="00556113"/>
    <w:rsid w:val="00564C12"/>
    <w:rsid w:val="005654B8"/>
    <w:rsid w:val="005676DB"/>
    <w:rsid w:val="0057377F"/>
    <w:rsid w:val="005762CC"/>
    <w:rsid w:val="00582D3D"/>
    <w:rsid w:val="00583889"/>
    <w:rsid w:val="00595386"/>
    <w:rsid w:val="005953B0"/>
    <w:rsid w:val="00595426"/>
    <w:rsid w:val="00596A28"/>
    <w:rsid w:val="005A0310"/>
    <w:rsid w:val="005A3621"/>
    <w:rsid w:val="005A4AC0"/>
    <w:rsid w:val="005A5A44"/>
    <w:rsid w:val="005A5FDF"/>
    <w:rsid w:val="005B0285"/>
    <w:rsid w:val="005B0FB7"/>
    <w:rsid w:val="005B122A"/>
    <w:rsid w:val="005B5AC2"/>
    <w:rsid w:val="005B6980"/>
    <w:rsid w:val="005C2833"/>
    <w:rsid w:val="005C4B0D"/>
    <w:rsid w:val="005C5CA5"/>
    <w:rsid w:val="005D42C7"/>
    <w:rsid w:val="005E144D"/>
    <w:rsid w:val="005E1500"/>
    <w:rsid w:val="005E305B"/>
    <w:rsid w:val="005E3A43"/>
    <w:rsid w:val="005E51A4"/>
    <w:rsid w:val="005E6099"/>
    <w:rsid w:val="005F77C7"/>
    <w:rsid w:val="0060035E"/>
    <w:rsid w:val="00613DA4"/>
    <w:rsid w:val="00620675"/>
    <w:rsid w:val="00622910"/>
    <w:rsid w:val="00622E24"/>
    <w:rsid w:val="006433C3"/>
    <w:rsid w:val="00647A30"/>
    <w:rsid w:val="00650F5B"/>
    <w:rsid w:val="00652DC0"/>
    <w:rsid w:val="006550F5"/>
    <w:rsid w:val="00660584"/>
    <w:rsid w:val="006670D7"/>
    <w:rsid w:val="00667797"/>
    <w:rsid w:val="006719EA"/>
    <w:rsid w:val="00671F13"/>
    <w:rsid w:val="0067303F"/>
    <w:rsid w:val="0067400A"/>
    <w:rsid w:val="006747E0"/>
    <w:rsid w:val="006847AD"/>
    <w:rsid w:val="00686BF4"/>
    <w:rsid w:val="0068791E"/>
    <w:rsid w:val="0069114B"/>
    <w:rsid w:val="00695AE5"/>
    <w:rsid w:val="006A2F6F"/>
    <w:rsid w:val="006A756A"/>
    <w:rsid w:val="006A7B78"/>
    <w:rsid w:val="006C396A"/>
    <w:rsid w:val="006D1ADA"/>
    <w:rsid w:val="006D66F7"/>
    <w:rsid w:val="006E3B5D"/>
    <w:rsid w:val="006F17ED"/>
    <w:rsid w:val="00702D61"/>
    <w:rsid w:val="00705C9D"/>
    <w:rsid w:val="00705F13"/>
    <w:rsid w:val="007070A0"/>
    <w:rsid w:val="00714F1D"/>
    <w:rsid w:val="00715225"/>
    <w:rsid w:val="00717C37"/>
    <w:rsid w:val="00720CC6"/>
    <w:rsid w:val="00722DDB"/>
    <w:rsid w:val="00722E09"/>
    <w:rsid w:val="00724728"/>
    <w:rsid w:val="00724EAB"/>
    <w:rsid w:val="00724F98"/>
    <w:rsid w:val="00725F2D"/>
    <w:rsid w:val="00730B9B"/>
    <w:rsid w:val="0073182E"/>
    <w:rsid w:val="007332FF"/>
    <w:rsid w:val="007408F5"/>
    <w:rsid w:val="007412FA"/>
    <w:rsid w:val="00741EAE"/>
    <w:rsid w:val="00744B71"/>
    <w:rsid w:val="007551E1"/>
    <w:rsid w:val="00755248"/>
    <w:rsid w:val="007557E0"/>
    <w:rsid w:val="007607B3"/>
    <w:rsid w:val="0076190B"/>
    <w:rsid w:val="0076355D"/>
    <w:rsid w:val="00763A2D"/>
    <w:rsid w:val="007650D8"/>
    <w:rsid w:val="007761D8"/>
    <w:rsid w:val="00777795"/>
    <w:rsid w:val="007813C9"/>
    <w:rsid w:val="007829E7"/>
    <w:rsid w:val="00783A57"/>
    <w:rsid w:val="00784C92"/>
    <w:rsid w:val="007859CD"/>
    <w:rsid w:val="007863F7"/>
    <w:rsid w:val="00786FA3"/>
    <w:rsid w:val="007907E4"/>
    <w:rsid w:val="00796461"/>
    <w:rsid w:val="00797696"/>
    <w:rsid w:val="007A5FC4"/>
    <w:rsid w:val="007A6A4F"/>
    <w:rsid w:val="007A7891"/>
    <w:rsid w:val="007B03F5"/>
    <w:rsid w:val="007B37EF"/>
    <w:rsid w:val="007B4C7B"/>
    <w:rsid w:val="007B59D3"/>
    <w:rsid w:val="007B5C09"/>
    <w:rsid w:val="007B5DA2"/>
    <w:rsid w:val="007C0966"/>
    <w:rsid w:val="007C19E7"/>
    <w:rsid w:val="007C5CFD"/>
    <w:rsid w:val="007C6D9F"/>
    <w:rsid w:val="007D1813"/>
    <w:rsid w:val="007D4893"/>
    <w:rsid w:val="007D7697"/>
    <w:rsid w:val="007E70CF"/>
    <w:rsid w:val="007E74A4"/>
    <w:rsid w:val="007F1D80"/>
    <w:rsid w:val="007F263F"/>
    <w:rsid w:val="007F46EA"/>
    <w:rsid w:val="007F5579"/>
    <w:rsid w:val="007F7AEA"/>
    <w:rsid w:val="008002E8"/>
    <w:rsid w:val="0080766E"/>
    <w:rsid w:val="008105BE"/>
    <w:rsid w:val="00811169"/>
    <w:rsid w:val="00815297"/>
    <w:rsid w:val="00817982"/>
    <w:rsid w:val="00817BA1"/>
    <w:rsid w:val="00820061"/>
    <w:rsid w:val="00821D46"/>
    <w:rsid w:val="00823022"/>
    <w:rsid w:val="0082634E"/>
    <w:rsid w:val="008313C4"/>
    <w:rsid w:val="00832B35"/>
    <w:rsid w:val="00835434"/>
    <w:rsid w:val="008358C0"/>
    <w:rsid w:val="00842838"/>
    <w:rsid w:val="00845F39"/>
    <w:rsid w:val="00852724"/>
    <w:rsid w:val="00854BE6"/>
    <w:rsid w:val="00854EC1"/>
    <w:rsid w:val="0085797F"/>
    <w:rsid w:val="00861DC3"/>
    <w:rsid w:val="00866116"/>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1465"/>
    <w:rsid w:val="008B529E"/>
    <w:rsid w:val="008B6E39"/>
    <w:rsid w:val="008C17FB"/>
    <w:rsid w:val="008D1B00"/>
    <w:rsid w:val="008D57B8"/>
    <w:rsid w:val="008E0345"/>
    <w:rsid w:val="008E03FC"/>
    <w:rsid w:val="008E510B"/>
    <w:rsid w:val="008E72D5"/>
    <w:rsid w:val="008F1197"/>
    <w:rsid w:val="008F1EEE"/>
    <w:rsid w:val="008F4092"/>
    <w:rsid w:val="00902B13"/>
    <w:rsid w:val="0091025A"/>
    <w:rsid w:val="009109A4"/>
    <w:rsid w:val="00911941"/>
    <w:rsid w:val="009138A0"/>
    <w:rsid w:val="00914910"/>
    <w:rsid w:val="00914C29"/>
    <w:rsid w:val="009174A4"/>
    <w:rsid w:val="00925F0F"/>
    <w:rsid w:val="00930C91"/>
    <w:rsid w:val="00931156"/>
    <w:rsid w:val="00932F6B"/>
    <w:rsid w:val="009340B5"/>
    <w:rsid w:val="00934414"/>
    <w:rsid w:val="009436FF"/>
    <w:rsid w:val="009468BC"/>
    <w:rsid w:val="00951390"/>
    <w:rsid w:val="00954602"/>
    <w:rsid w:val="00954BCC"/>
    <w:rsid w:val="009616DF"/>
    <w:rsid w:val="00964B22"/>
    <w:rsid w:val="0096542F"/>
    <w:rsid w:val="00966B57"/>
    <w:rsid w:val="00966D68"/>
    <w:rsid w:val="00967FA7"/>
    <w:rsid w:val="00971645"/>
    <w:rsid w:val="00972119"/>
    <w:rsid w:val="00973472"/>
    <w:rsid w:val="00974CDD"/>
    <w:rsid w:val="009774A7"/>
    <w:rsid w:val="00977919"/>
    <w:rsid w:val="00983000"/>
    <w:rsid w:val="00983C30"/>
    <w:rsid w:val="00984D9B"/>
    <w:rsid w:val="009863A2"/>
    <w:rsid w:val="009870FA"/>
    <w:rsid w:val="009921C3"/>
    <w:rsid w:val="00994F0E"/>
    <w:rsid w:val="0099551D"/>
    <w:rsid w:val="009A103B"/>
    <w:rsid w:val="009A5897"/>
    <w:rsid w:val="009A5F24"/>
    <w:rsid w:val="009B0B3E"/>
    <w:rsid w:val="009B1913"/>
    <w:rsid w:val="009B6657"/>
    <w:rsid w:val="009B7C35"/>
    <w:rsid w:val="009C21F1"/>
    <w:rsid w:val="009C7C75"/>
    <w:rsid w:val="009D0EB5"/>
    <w:rsid w:val="009D14F9"/>
    <w:rsid w:val="009D2B74"/>
    <w:rsid w:val="009D31D8"/>
    <w:rsid w:val="009D63FF"/>
    <w:rsid w:val="009E175D"/>
    <w:rsid w:val="009E212F"/>
    <w:rsid w:val="009E2315"/>
    <w:rsid w:val="009E3CC2"/>
    <w:rsid w:val="009E46A2"/>
    <w:rsid w:val="009F06BD"/>
    <w:rsid w:val="009F2A4D"/>
    <w:rsid w:val="009F3302"/>
    <w:rsid w:val="00A00828"/>
    <w:rsid w:val="00A03290"/>
    <w:rsid w:val="00A07490"/>
    <w:rsid w:val="00A10655"/>
    <w:rsid w:val="00A10D74"/>
    <w:rsid w:val="00A1197C"/>
    <w:rsid w:val="00A12B64"/>
    <w:rsid w:val="00A22C38"/>
    <w:rsid w:val="00A25193"/>
    <w:rsid w:val="00A26E80"/>
    <w:rsid w:val="00A31AE8"/>
    <w:rsid w:val="00A32EFF"/>
    <w:rsid w:val="00A35A08"/>
    <w:rsid w:val="00A3739D"/>
    <w:rsid w:val="00A37DDA"/>
    <w:rsid w:val="00A37ED8"/>
    <w:rsid w:val="00A462C5"/>
    <w:rsid w:val="00A46885"/>
    <w:rsid w:val="00A50829"/>
    <w:rsid w:val="00A56EC7"/>
    <w:rsid w:val="00A7462E"/>
    <w:rsid w:val="00A925EC"/>
    <w:rsid w:val="00A929AA"/>
    <w:rsid w:val="00A92B6B"/>
    <w:rsid w:val="00A955A9"/>
    <w:rsid w:val="00A96B84"/>
    <w:rsid w:val="00AA4C49"/>
    <w:rsid w:val="00AA541E"/>
    <w:rsid w:val="00AD0DA4"/>
    <w:rsid w:val="00AD134E"/>
    <w:rsid w:val="00AD1B26"/>
    <w:rsid w:val="00AD23F7"/>
    <w:rsid w:val="00AD32E9"/>
    <w:rsid w:val="00AD4169"/>
    <w:rsid w:val="00AD7557"/>
    <w:rsid w:val="00AE25C6"/>
    <w:rsid w:val="00AE306C"/>
    <w:rsid w:val="00AF00BF"/>
    <w:rsid w:val="00AF0A79"/>
    <w:rsid w:val="00AF28C1"/>
    <w:rsid w:val="00B02EF1"/>
    <w:rsid w:val="00B070B3"/>
    <w:rsid w:val="00B07C97"/>
    <w:rsid w:val="00B07EA1"/>
    <w:rsid w:val="00B11C67"/>
    <w:rsid w:val="00B15754"/>
    <w:rsid w:val="00B15929"/>
    <w:rsid w:val="00B15A27"/>
    <w:rsid w:val="00B15B11"/>
    <w:rsid w:val="00B1678A"/>
    <w:rsid w:val="00B2046E"/>
    <w:rsid w:val="00B20E8B"/>
    <w:rsid w:val="00B23B84"/>
    <w:rsid w:val="00B24B11"/>
    <w:rsid w:val="00B257E1"/>
    <w:rsid w:val="00B2599A"/>
    <w:rsid w:val="00B27AC4"/>
    <w:rsid w:val="00B27CFF"/>
    <w:rsid w:val="00B3378D"/>
    <w:rsid w:val="00B343CC"/>
    <w:rsid w:val="00B356D6"/>
    <w:rsid w:val="00B43C75"/>
    <w:rsid w:val="00B5084A"/>
    <w:rsid w:val="00B606A1"/>
    <w:rsid w:val="00B614F7"/>
    <w:rsid w:val="00B61B26"/>
    <w:rsid w:val="00B61FF3"/>
    <w:rsid w:val="00B66E9F"/>
    <w:rsid w:val="00B675B2"/>
    <w:rsid w:val="00B738BC"/>
    <w:rsid w:val="00B81261"/>
    <w:rsid w:val="00B8223E"/>
    <w:rsid w:val="00B832AE"/>
    <w:rsid w:val="00B86678"/>
    <w:rsid w:val="00B91B6F"/>
    <w:rsid w:val="00B92F9B"/>
    <w:rsid w:val="00B941B3"/>
    <w:rsid w:val="00B96513"/>
    <w:rsid w:val="00BA1D47"/>
    <w:rsid w:val="00BA22BF"/>
    <w:rsid w:val="00BA66F0"/>
    <w:rsid w:val="00BB2239"/>
    <w:rsid w:val="00BB2AE7"/>
    <w:rsid w:val="00BB3DE3"/>
    <w:rsid w:val="00BB6464"/>
    <w:rsid w:val="00BC1BB8"/>
    <w:rsid w:val="00BC5A1D"/>
    <w:rsid w:val="00BC799B"/>
    <w:rsid w:val="00BD0F38"/>
    <w:rsid w:val="00BD7FE1"/>
    <w:rsid w:val="00BE37CA"/>
    <w:rsid w:val="00BE44F4"/>
    <w:rsid w:val="00BE457A"/>
    <w:rsid w:val="00BE4B2A"/>
    <w:rsid w:val="00BE6144"/>
    <w:rsid w:val="00BE635A"/>
    <w:rsid w:val="00BF17E9"/>
    <w:rsid w:val="00BF2ABB"/>
    <w:rsid w:val="00BF5099"/>
    <w:rsid w:val="00C03B9F"/>
    <w:rsid w:val="00C041B4"/>
    <w:rsid w:val="00C10ED1"/>
    <w:rsid w:val="00C10F10"/>
    <w:rsid w:val="00C15D4D"/>
    <w:rsid w:val="00C16CA8"/>
    <w:rsid w:val="00C175DC"/>
    <w:rsid w:val="00C227C6"/>
    <w:rsid w:val="00C2623F"/>
    <w:rsid w:val="00C30171"/>
    <w:rsid w:val="00C30596"/>
    <w:rsid w:val="00C309D8"/>
    <w:rsid w:val="00C33998"/>
    <w:rsid w:val="00C34CF6"/>
    <w:rsid w:val="00C42C46"/>
    <w:rsid w:val="00C43519"/>
    <w:rsid w:val="00C51537"/>
    <w:rsid w:val="00C52BC3"/>
    <w:rsid w:val="00C53EFF"/>
    <w:rsid w:val="00C5584B"/>
    <w:rsid w:val="00C61AFA"/>
    <w:rsid w:val="00C61D64"/>
    <w:rsid w:val="00C62099"/>
    <w:rsid w:val="00C64EA3"/>
    <w:rsid w:val="00C72867"/>
    <w:rsid w:val="00C75E81"/>
    <w:rsid w:val="00C75F52"/>
    <w:rsid w:val="00C86609"/>
    <w:rsid w:val="00C9281D"/>
    <w:rsid w:val="00C92B4C"/>
    <w:rsid w:val="00C94487"/>
    <w:rsid w:val="00C954F6"/>
    <w:rsid w:val="00C95D30"/>
    <w:rsid w:val="00CA6BC5"/>
    <w:rsid w:val="00CB3E57"/>
    <w:rsid w:val="00CC1CCA"/>
    <w:rsid w:val="00CC1D3E"/>
    <w:rsid w:val="00CC61CD"/>
    <w:rsid w:val="00CC74F6"/>
    <w:rsid w:val="00CD5011"/>
    <w:rsid w:val="00CD6246"/>
    <w:rsid w:val="00CE640F"/>
    <w:rsid w:val="00CE76BC"/>
    <w:rsid w:val="00CF0B6A"/>
    <w:rsid w:val="00CF540E"/>
    <w:rsid w:val="00D02F07"/>
    <w:rsid w:val="00D23346"/>
    <w:rsid w:val="00D27EBE"/>
    <w:rsid w:val="00D337B9"/>
    <w:rsid w:val="00D36A49"/>
    <w:rsid w:val="00D517C6"/>
    <w:rsid w:val="00D61396"/>
    <w:rsid w:val="00D64806"/>
    <w:rsid w:val="00D71D84"/>
    <w:rsid w:val="00D72464"/>
    <w:rsid w:val="00D72B06"/>
    <w:rsid w:val="00D75C2B"/>
    <w:rsid w:val="00D768EB"/>
    <w:rsid w:val="00D82D1E"/>
    <w:rsid w:val="00D832D9"/>
    <w:rsid w:val="00D90F00"/>
    <w:rsid w:val="00D9488F"/>
    <w:rsid w:val="00D94F6B"/>
    <w:rsid w:val="00D975C0"/>
    <w:rsid w:val="00DA38A2"/>
    <w:rsid w:val="00DA5285"/>
    <w:rsid w:val="00DB191D"/>
    <w:rsid w:val="00DB4F67"/>
    <w:rsid w:val="00DB4F91"/>
    <w:rsid w:val="00DB6E0F"/>
    <w:rsid w:val="00DC0CE3"/>
    <w:rsid w:val="00DC1EF7"/>
    <w:rsid w:val="00DC1F0F"/>
    <w:rsid w:val="00DC3117"/>
    <w:rsid w:val="00DC5DD9"/>
    <w:rsid w:val="00DC6D2D"/>
    <w:rsid w:val="00DC7631"/>
    <w:rsid w:val="00DD64C2"/>
    <w:rsid w:val="00DE33B5"/>
    <w:rsid w:val="00DE5E18"/>
    <w:rsid w:val="00DE6E01"/>
    <w:rsid w:val="00DF0487"/>
    <w:rsid w:val="00DF5EA4"/>
    <w:rsid w:val="00E02681"/>
    <w:rsid w:val="00E02792"/>
    <w:rsid w:val="00E034D8"/>
    <w:rsid w:val="00E04CC0"/>
    <w:rsid w:val="00E15816"/>
    <w:rsid w:val="00E160D5"/>
    <w:rsid w:val="00E167A1"/>
    <w:rsid w:val="00E20C63"/>
    <w:rsid w:val="00E239FF"/>
    <w:rsid w:val="00E27D7B"/>
    <w:rsid w:val="00E30556"/>
    <w:rsid w:val="00E30981"/>
    <w:rsid w:val="00E33136"/>
    <w:rsid w:val="00E332DC"/>
    <w:rsid w:val="00E34D7C"/>
    <w:rsid w:val="00E36C7E"/>
    <w:rsid w:val="00E3723D"/>
    <w:rsid w:val="00E44C89"/>
    <w:rsid w:val="00E45536"/>
    <w:rsid w:val="00E61BA2"/>
    <w:rsid w:val="00E63586"/>
    <w:rsid w:val="00E63864"/>
    <w:rsid w:val="00E6403F"/>
    <w:rsid w:val="00E64725"/>
    <w:rsid w:val="00E64C4A"/>
    <w:rsid w:val="00E71E92"/>
    <w:rsid w:val="00E770C4"/>
    <w:rsid w:val="00E77ACA"/>
    <w:rsid w:val="00E81D4F"/>
    <w:rsid w:val="00E84C5A"/>
    <w:rsid w:val="00E861DB"/>
    <w:rsid w:val="00E90FA2"/>
    <w:rsid w:val="00E93406"/>
    <w:rsid w:val="00E956C5"/>
    <w:rsid w:val="00E95C39"/>
    <w:rsid w:val="00EA2C39"/>
    <w:rsid w:val="00EB0A3C"/>
    <w:rsid w:val="00EB0A96"/>
    <w:rsid w:val="00EB1662"/>
    <w:rsid w:val="00EB3D43"/>
    <w:rsid w:val="00EB4B43"/>
    <w:rsid w:val="00EB77F9"/>
    <w:rsid w:val="00EC5769"/>
    <w:rsid w:val="00EC799A"/>
    <w:rsid w:val="00EC7D00"/>
    <w:rsid w:val="00ED0304"/>
    <w:rsid w:val="00ED087C"/>
    <w:rsid w:val="00EE38FA"/>
    <w:rsid w:val="00EE3E2C"/>
    <w:rsid w:val="00EE466C"/>
    <w:rsid w:val="00EE5D23"/>
    <w:rsid w:val="00EE750D"/>
    <w:rsid w:val="00EF0F6F"/>
    <w:rsid w:val="00EF3CA4"/>
    <w:rsid w:val="00EF5E1F"/>
    <w:rsid w:val="00EF7621"/>
    <w:rsid w:val="00EF7859"/>
    <w:rsid w:val="00F014DA"/>
    <w:rsid w:val="00F01C6A"/>
    <w:rsid w:val="00F02591"/>
    <w:rsid w:val="00F13212"/>
    <w:rsid w:val="00F14273"/>
    <w:rsid w:val="00F15D8F"/>
    <w:rsid w:val="00F32F57"/>
    <w:rsid w:val="00F34EC3"/>
    <w:rsid w:val="00F36FDF"/>
    <w:rsid w:val="00F42D6A"/>
    <w:rsid w:val="00F43F4A"/>
    <w:rsid w:val="00F479D5"/>
    <w:rsid w:val="00F47FF3"/>
    <w:rsid w:val="00F5696E"/>
    <w:rsid w:val="00F56FBF"/>
    <w:rsid w:val="00F60EFF"/>
    <w:rsid w:val="00F67D2D"/>
    <w:rsid w:val="00F70155"/>
    <w:rsid w:val="00F74BAB"/>
    <w:rsid w:val="00F759D1"/>
    <w:rsid w:val="00F860CC"/>
    <w:rsid w:val="00F90858"/>
    <w:rsid w:val="00F9105B"/>
    <w:rsid w:val="00F94398"/>
    <w:rsid w:val="00FA228B"/>
    <w:rsid w:val="00FA4629"/>
    <w:rsid w:val="00FA64B4"/>
    <w:rsid w:val="00FA6B6D"/>
    <w:rsid w:val="00FB0A2D"/>
    <w:rsid w:val="00FB2B56"/>
    <w:rsid w:val="00FB4E3A"/>
    <w:rsid w:val="00FC0A42"/>
    <w:rsid w:val="00FC12BF"/>
    <w:rsid w:val="00FC16A5"/>
    <w:rsid w:val="00FC1A7C"/>
    <w:rsid w:val="00FC2C60"/>
    <w:rsid w:val="00FC64AB"/>
    <w:rsid w:val="00FC720A"/>
    <w:rsid w:val="00FC7A4C"/>
    <w:rsid w:val="00FD3E6F"/>
    <w:rsid w:val="00FD51B9"/>
    <w:rsid w:val="00FD7638"/>
    <w:rsid w:val="00FE2A39"/>
    <w:rsid w:val="00FE2EF6"/>
    <w:rsid w:val="00FF06C4"/>
    <w:rsid w:val="00FF121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14E4"/>
  <w15:docId w15:val="{A51D90BD-791A-44D2-A0A2-36C461F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Semibold" w:hAnsi="Lato Semibold"/>
        <w:sz w:val="22"/>
      </w:rPr>
    </w:tblStylePr>
    <w:tblStylePr w:type="band2Vert">
      <w:rPr>
        <w:rFonts w:ascii="Lato Semibold" w:hAnsi="Lato Semibold"/>
        <w:sz w:val="22"/>
      </w:rPr>
    </w:tblStylePr>
    <w:tblStylePr w:type="band1Horz">
      <w:rPr>
        <w:rFonts w:ascii="Lato Semibold" w:hAnsi="Lato Semibold"/>
        <w:sz w:val="22"/>
      </w:rPr>
    </w:tblStylePr>
    <w:tblStylePr w:type="band2Horz">
      <w:rPr>
        <w:rFonts w:ascii="Lato Semibold" w:hAnsi="Lato Semibold"/>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596A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28"/>
    <w:rPr>
      <w:rFonts w:ascii="Segoe UI" w:hAnsi="Segoe UI" w:cs="Segoe UI"/>
      <w:sz w:val="18"/>
      <w:szCs w:val="18"/>
    </w:rPr>
  </w:style>
  <w:style w:type="character" w:styleId="CommentReference">
    <w:name w:val="annotation reference"/>
    <w:basedOn w:val="DefaultParagraphFont"/>
    <w:uiPriority w:val="99"/>
    <w:semiHidden/>
    <w:unhideWhenUsed/>
    <w:rsid w:val="00532C8B"/>
    <w:rPr>
      <w:sz w:val="16"/>
      <w:szCs w:val="16"/>
    </w:rPr>
  </w:style>
  <w:style w:type="paragraph" w:styleId="CommentText">
    <w:name w:val="annotation text"/>
    <w:basedOn w:val="Normal"/>
    <w:link w:val="CommentTextChar"/>
    <w:uiPriority w:val="99"/>
    <w:semiHidden/>
    <w:unhideWhenUsed/>
    <w:rsid w:val="00532C8B"/>
    <w:rPr>
      <w:sz w:val="20"/>
      <w:szCs w:val="20"/>
    </w:rPr>
  </w:style>
  <w:style w:type="character" w:customStyle="1" w:styleId="CommentTextChar">
    <w:name w:val="Comment Text Char"/>
    <w:basedOn w:val="DefaultParagraphFont"/>
    <w:link w:val="CommentText"/>
    <w:uiPriority w:val="99"/>
    <w:semiHidden/>
    <w:rsid w:val="00532C8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32C8B"/>
    <w:rPr>
      <w:b/>
      <w:bCs/>
    </w:rPr>
  </w:style>
  <w:style w:type="character" w:customStyle="1" w:styleId="CommentSubjectChar">
    <w:name w:val="Comment Subject Char"/>
    <w:basedOn w:val="CommentTextChar"/>
    <w:link w:val="CommentSubject"/>
    <w:uiPriority w:val="99"/>
    <w:semiHidden/>
    <w:rsid w:val="00532C8B"/>
    <w:rPr>
      <w:rFonts w:ascii="Lato" w:hAnsi="Lato"/>
      <w:b/>
      <w:bCs/>
      <w:sz w:val="20"/>
      <w:szCs w:val="20"/>
    </w:rPr>
  </w:style>
  <w:style w:type="character" w:customStyle="1" w:styleId="UnresolvedMention1">
    <w:name w:val="Unresolved Mention1"/>
    <w:basedOn w:val="DefaultParagraphFont"/>
    <w:uiPriority w:val="99"/>
    <w:semiHidden/>
    <w:unhideWhenUsed/>
    <w:rsid w:val="00E332DC"/>
    <w:rPr>
      <w:color w:val="605E5C"/>
      <w:shd w:val="clear" w:color="auto" w:fill="E1DFDD"/>
    </w:rPr>
  </w:style>
  <w:style w:type="paragraph" w:customStyle="1" w:styleId="IndentParaLevel1">
    <w:name w:val="IndentParaLevel1"/>
    <w:basedOn w:val="Normal"/>
    <w:rsid w:val="000D07D6"/>
    <w:pPr>
      <w:spacing w:after="220"/>
      <w:ind w:left="964"/>
    </w:pPr>
    <w:rPr>
      <w:rFonts w:ascii="Times New Roman" w:eastAsia="Times New Roman" w:hAnsi="Times New Roman"/>
      <w:szCs w:val="24"/>
    </w:rPr>
  </w:style>
  <w:style w:type="paragraph" w:customStyle="1" w:styleId="CUNumber1">
    <w:name w:val="CU_Number1"/>
    <w:basedOn w:val="Normal"/>
    <w:rsid w:val="000D07D6"/>
    <w:pPr>
      <w:numPr>
        <w:numId w:val="10"/>
      </w:numPr>
      <w:spacing w:after="220"/>
      <w:outlineLvl w:val="0"/>
    </w:pPr>
    <w:rPr>
      <w:rFonts w:ascii="Times New Roman" w:eastAsia="Times New Roman" w:hAnsi="Times New Roman"/>
      <w:szCs w:val="24"/>
    </w:rPr>
  </w:style>
  <w:style w:type="paragraph" w:customStyle="1" w:styleId="CUNumber2">
    <w:name w:val="CU_Number2"/>
    <w:basedOn w:val="Normal"/>
    <w:rsid w:val="000D07D6"/>
    <w:pPr>
      <w:numPr>
        <w:ilvl w:val="1"/>
        <w:numId w:val="10"/>
      </w:numPr>
      <w:spacing w:after="220"/>
      <w:outlineLvl w:val="1"/>
    </w:pPr>
    <w:rPr>
      <w:rFonts w:ascii="Times New Roman" w:eastAsia="Times New Roman" w:hAnsi="Times New Roman"/>
      <w:szCs w:val="24"/>
    </w:rPr>
  </w:style>
  <w:style w:type="paragraph" w:customStyle="1" w:styleId="CUNumber3">
    <w:name w:val="CU_Number3"/>
    <w:basedOn w:val="Normal"/>
    <w:rsid w:val="000D07D6"/>
    <w:pPr>
      <w:numPr>
        <w:ilvl w:val="2"/>
        <w:numId w:val="10"/>
      </w:numPr>
      <w:spacing w:after="220"/>
      <w:outlineLvl w:val="2"/>
    </w:pPr>
    <w:rPr>
      <w:rFonts w:ascii="Times New Roman" w:eastAsia="Times New Roman" w:hAnsi="Times New Roman"/>
      <w:szCs w:val="24"/>
    </w:rPr>
  </w:style>
  <w:style w:type="paragraph" w:customStyle="1" w:styleId="CUNumber4">
    <w:name w:val="CU_Number4"/>
    <w:basedOn w:val="Normal"/>
    <w:rsid w:val="000D07D6"/>
    <w:pPr>
      <w:numPr>
        <w:ilvl w:val="3"/>
        <w:numId w:val="10"/>
      </w:numPr>
      <w:spacing w:after="220"/>
      <w:outlineLvl w:val="3"/>
    </w:pPr>
    <w:rPr>
      <w:rFonts w:ascii="Times New Roman" w:eastAsia="Times New Roman" w:hAnsi="Times New Roman"/>
      <w:szCs w:val="24"/>
    </w:rPr>
  </w:style>
  <w:style w:type="paragraph" w:customStyle="1" w:styleId="CUNumber5">
    <w:name w:val="CU_Number5"/>
    <w:basedOn w:val="Normal"/>
    <w:rsid w:val="000D07D6"/>
    <w:pPr>
      <w:numPr>
        <w:ilvl w:val="4"/>
        <w:numId w:val="10"/>
      </w:numPr>
      <w:spacing w:after="220"/>
      <w:outlineLvl w:val="4"/>
    </w:pPr>
    <w:rPr>
      <w:rFonts w:ascii="Times New Roman" w:eastAsia="Times New Roman" w:hAnsi="Times New Roman"/>
      <w:szCs w:val="24"/>
    </w:rPr>
  </w:style>
  <w:style w:type="paragraph" w:customStyle="1" w:styleId="CUNumber6">
    <w:name w:val="CU_Number6"/>
    <w:basedOn w:val="Normal"/>
    <w:rsid w:val="000D07D6"/>
    <w:pPr>
      <w:numPr>
        <w:ilvl w:val="5"/>
        <w:numId w:val="10"/>
      </w:numPr>
      <w:spacing w:after="220"/>
      <w:outlineLvl w:val="5"/>
    </w:pPr>
    <w:rPr>
      <w:rFonts w:ascii="Times New Roman" w:eastAsia="Times New Roman" w:hAnsi="Times New Roman"/>
      <w:szCs w:val="24"/>
    </w:rPr>
  </w:style>
  <w:style w:type="paragraph" w:customStyle="1" w:styleId="CUNumber7">
    <w:name w:val="CU_Number7"/>
    <w:basedOn w:val="Normal"/>
    <w:rsid w:val="000D07D6"/>
    <w:pPr>
      <w:numPr>
        <w:ilvl w:val="6"/>
        <w:numId w:val="10"/>
      </w:numPr>
      <w:spacing w:after="220"/>
      <w:outlineLvl w:val="6"/>
    </w:pPr>
    <w:rPr>
      <w:rFonts w:ascii="Times New Roman" w:eastAsia="Times New Roman" w:hAnsi="Times New Roman"/>
      <w:szCs w:val="24"/>
    </w:rPr>
  </w:style>
  <w:style w:type="paragraph" w:customStyle="1" w:styleId="CUNumber8">
    <w:name w:val="CU_Number8"/>
    <w:basedOn w:val="Normal"/>
    <w:rsid w:val="000D07D6"/>
    <w:pPr>
      <w:numPr>
        <w:ilvl w:val="7"/>
        <w:numId w:val="10"/>
      </w:numPr>
      <w:spacing w:after="220"/>
      <w:outlineLvl w:val="7"/>
    </w:pPr>
    <w:rPr>
      <w:rFonts w:ascii="Times New Roman" w:eastAsia="Times New Roman" w:hAnsi="Times New Roman"/>
      <w:szCs w:val="24"/>
    </w:rPr>
  </w:style>
  <w:style w:type="paragraph" w:styleId="BodyTextIndent">
    <w:name w:val="Body Text Indent"/>
    <w:basedOn w:val="Normal"/>
    <w:link w:val="BodyTextIndentChar"/>
    <w:uiPriority w:val="99"/>
    <w:semiHidden/>
    <w:unhideWhenUsed/>
    <w:rsid w:val="000D07D6"/>
    <w:pPr>
      <w:spacing w:after="120"/>
      <w:ind w:left="283"/>
    </w:pPr>
  </w:style>
  <w:style w:type="character" w:customStyle="1" w:styleId="BodyTextIndentChar">
    <w:name w:val="Body Text Indent Char"/>
    <w:basedOn w:val="DefaultParagraphFont"/>
    <w:link w:val="BodyTextIndent"/>
    <w:uiPriority w:val="99"/>
    <w:semiHidden/>
    <w:rsid w:val="000D07D6"/>
    <w:rPr>
      <w:rFonts w:ascii="Lato" w:hAnsi="Lato"/>
    </w:rPr>
  </w:style>
  <w:style w:type="paragraph" w:styleId="BodyTextIndent2">
    <w:name w:val="Body Text Indent 2"/>
    <w:basedOn w:val="Normal"/>
    <w:link w:val="BodyTextIndent2Char"/>
    <w:uiPriority w:val="99"/>
    <w:semiHidden/>
    <w:unhideWhenUsed/>
    <w:rsid w:val="000D07D6"/>
    <w:pPr>
      <w:spacing w:after="120" w:line="480" w:lineRule="auto"/>
      <w:ind w:left="283"/>
    </w:pPr>
  </w:style>
  <w:style w:type="character" w:customStyle="1" w:styleId="BodyTextIndent2Char">
    <w:name w:val="Body Text Indent 2 Char"/>
    <w:basedOn w:val="DefaultParagraphFont"/>
    <w:link w:val="BodyTextIndent2"/>
    <w:uiPriority w:val="99"/>
    <w:semiHidden/>
    <w:rsid w:val="000D07D6"/>
    <w:rPr>
      <w:rFonts w:ascii="Lato" w:hAnsi="Lato"/>
    </w:rPr>
  </w:style>
  <w:style w:type="paragraph" w:styleId="BodyText2">
    <w:name w:val="Body Text 2"/>
    <w:basedOn w:val="Normal"/>
    <w:link w:val="BodyText2Char"/>
    <w:uiPriority w:val="99"/>
    <w:semiHidden/>
    <w:unhideWhenUsed/>
    <w:rsid w:val="000D07D6"/>
    <w:pPr>
      <w:spacing w:after="120" w:line="480" w:lineRule="auto"/>
    </w:pPr>
  </w:style>
  <w:style w:type="character" w:customStyle="1" w:styleId="BodyText2Char">
    <w:name w:val="Body Text 2 Char"/>
    <w:basedOn w:val="DefaultParagraphFont"/>
    <w:link w:val="BodyText2"/>
    <w:uiPriority w:val="99"/>
    <w:semiHidden/>
    <w:rsid w:val="000D07D6"/>
    <w:rPr>
      <w:rFonts w:ascii="Lato" w:hAnsi="Lato"/>
    </w:rPr>
  </w:style>
  <w:style w:type="paragraph" w:customStyle="1" w:styleId="Schedule1">
    <w:name w:val="Schedule_1"/>
    <w:basedOn w:val="Normal"/>
    <w:next w:val="IndentParaLevel1"/>
    <w:rsid w:val="000D07D6"/>
    <w:pPr>
      <w:keepNext/>
      <w:numPr>
        <w:ilvl w:val="1"/>
        <w:numId w:val="12"/>
      </w:numPr>
      <w:pBdr>
        <w:top w:val="single" w:sz="12" w:space="1" w:color="auto"/>
      </w:pBdr>
      <w:spacing w:after="220"/>
      <w:outlineLvl w:val="0"/>
    </w:pPr>
    <w:rPr>
      <w:rFonts w:ascii="Arial" w:eastAsia="Times New Roman" w:hAnsi="Arial"/>
      <w:b/>
      <w:sz w:val="28"/>
      <w:szCs w:val="24"/>
    </w:rPr>
  </w:style>
  <w:style w:type="paragraph" w:customStyle="1" w:styleId="Schedule2">
    <w:name w:val="Schedule_2"/>
    <w:basedOn w:val="Normal"/>
    <w:next w:val="IndentParaLevel1"/>
    <w:rsid w:val="000D07D6"/>
    <w:pPr>
      <w:keepNext/>
      <w:numPr>
        <w:ilvl w:val="2"/>
        <w:numId w:val="12"/>
      </w:numPr>
      <w:spacing w:after="220"/>
      <w:outlineLvl w:val="1"/>
    </w:pPr>
    <w:rPr>
      <w:rFonts w:ascii="Arial" w:eastAsia="Times New Roman" w:hAnsi="Arial"/>
      <w:b/>
      <w:sz w:val="24"/>
      <w:szCs w:val="24"/>
    </w:rPr>
  </w:style>
  <w:style w:type="paragraph" w:customStyle="1" w:styleId="Schedule3">
    <w:name w:val="Schedule_3"/>
    <w:basedOn w:val="Normal"/>
    <w:rsid w:val="000D07D6"/>
    <w:pPr>
      <w:numPr>
        <w:ilvl w:val="3"/>
        <w:numId w:val="12"/>
      </w:numPr>
      <w:spacing w:after="220"/>
      <w:outlineLvl w:val="2"/>
    </w:pPr>
    <w:rPr>
      <w:rFonts w:ascii="Times New Roman" w:eastAsia="Times New Roman" w:hAnsi="Times New Roman"/>
      <w:szCs w:val="24"/>
    </w:rPr>
  </w:style>
  <w:style w:type="paragraph" w:customStyle="1" w:styleId="Schedule4">
    <w:name w:val="Schedule_4"/>
    <w:basedOn w:val="Normal"/>
    <w:rsid w:val="000D07D6"/>
    <w:pPr>
      <w:numPr>
        <w:ilvl w:val="4"/>
        <w:numId w:val="12"/>
      </w:numPr>
      <w:spacing w:after="220"/>
      <w:outlineLvl w:val="3"/>
    </w:pPr>
    <w:rPr>
      <w:rFonts w:ascii="Times New Roman" w:eastAsia="Times New Roman" w:hAnsi="Times New Roman"/>
      <w:szCs w:val="24"/>
    </w:rPr>
  </w:style>
  <w:style w:type="paragraph" w:customStyle="1" w:styleId="Schedule5">
    <w:name w:val="Schedule_5"/>
    <w:basedOn w:val="Normal"/>
    <w:rsid w:val="000D07D6"/>
    <w:pPr>
      <w:numPr>
        <w:ilvl w:val="5"/>
        <w:numId w:val="12"/>
      </w:numPr>
      <w:spacing w:after="220"/>
      <w:outlineLvl w:val="5"/>
    </w:pPr>
    <w:rPr>
      <w:rFonts w:ascii="Times New Roman" w:eastAsia="Times New Roman" w:hAnsi="Times New Roman"/>
      <w:szCs w:val="24"/>
    </w:rPr>
  </w:style>
  <w:style w:type="paragraph" w:customStyle="1" w:styleId="Schedule6">
    <w:name w:val="Schedule_6"/>
    <w:basedOn w:val="Normal"/>
    <w:rsid w:val="000D07D6"/>
    <w:pPr>
      <w:numPr>
        <w:ilvl w:val="6"/>
        <w:numId w:val="12"/>
      </w:numPr>
      <w:spacing w:after="220"/>
      <w:outlineLvl w:val="6"/>
    </w:pPr>
    <w:rPr>
      <w:rFonts w:ascii="Times New Roman" w:eastAsia="Times New Roman" w:hAnsi="Times New Roman"/>
      <w:szCs w:val="24"/>
    </w:rPr>
  </w:style>
  <w:style w:type="paragraph" w:customStyle="1" w:styleId="Schedule7">
    <w:name w:val="Schedule_7"/>
    <w:basedOn w:val="Normal"/>
    <w:rsid w:val="000D07D6"/>
    <w:pPr>
      <w:numPr>
        <w:ilvl w:val="7"/>
        <w:numId w:val="12"/>
      </w:numPr>
      <w:spacing w:after="220"/>
      <w:outlineLvl w:val="7"/>
    </w:pPr>
    <w:rPr>
      <w:rFonts w:ascii="Times New Roman" w:eastAsia="Times New Roman" w:hAnsi="Times New Roman"/>
      <w:szCs w:val="24"/>
    </w:rPr>
  </w:style>
  <w:style w:type="paragraph" w:customStyle="1" w:styleId="Schedule8">
    <w:name w:val="Schedule_8"/>
    <w:basedOn w:val="Normal"/>
    <w:rsid w:val="000D07D6"/>
    <w:pPr>
      <w:numPr>
        <w:ilvl w:val="8"/>
        <w:numId w:val="12"/>
      </w:numPr>
      <w:spacing w:after="220"/>
      <w:outlineLvl w:val="8"/>
    </w:pPr>
    <w:rPr>
      <w:rFonts w:ascii="Times New Roman" w:eastAsia="Times New Roman" w:hAnsi="Times New Roman"/>
      <w:szCs w:val="24"/>
    </w:rPr>
  </w:style>
  <w:style w:type="paragraph" w:customStyle="1" w:styleId="Recital">
    <w:name w:val="Recital"/>
    <w:basedOn w:val="Normal"/>
    <w:rsid w:val="000D07D6"/>
    <w:pPr>
      <w:numPr>
        <w:ilvl w:val="1"/>
        <w:numId w:val="11"/>
      </w:numPr>
      <w:tabs>
        <w:tab w:val="clear" w:pos="2044"/>
        <w:tab w:val="num" w:pos="964"/>
      </w:tabs>
      <w:spacing w:after="220"/>
      <w:ind w:left="964"/>
    </w:pPr>
    <w:rPr>
      <w:rFonts w:ascii="Times New Roman" w:eastAsia="Times New Roman" w:hAnsi="Times New Roman"/>
      <w:szCs w:val="24"/>
    </w:rPr>
  </w:style>
  <w:style w:type="paragraph" w:customStyle="1" w:styleId="ScheduleHeading">
    <w:name w:val="Schedule Heading"/>
    <w:basedOn w:val="Normal"/>
    <w:next w:val="Normal"/>
    <w:rsid w:val="000D07D6"/>
    <w:pPr>
      <w:pageBreakBefore/>
      <w:numPr>
        <w:numId w:val="12"/>
      </w:numPr>
      <w:spacing w:after="220"/>
      <w:outlineLvl w:val="0"/>
    </w:pPr>
    <w:rPr>
      <w:rFonts w:ascii="Arial" w:eastAsia="Times New Roman" w:hAnsi="Arial"/>
      <w:b/>
      <w:sz w:val="24"/>
      <w:szCs w:val="24"/>
    </w:rPr>
  </w:style>
  <w:style w:type="paragraph" w:customStyle="1" w:styleId="Default">
    <w:name w:val="Default"/>
    <w:rsid w:val="000D07D6"/>
    <w:pPr>
      <w:autoSpaceDE w:val="0"/>
      <w:autoSpaceDN w:val="0"/>
      <w:adjustRightInd w:val="0"/>
      <w:spacing w:after="0"/>
    </w:pPr>
    <w:rPr>
      <w:rFonts w:ascii="ENMIDF+Arial,Bold" w:eastAsia="Times New Roman" w:hAnsi="ENMIDF+Arial,Bold" w:cs="ENMIDF+Arial,Bold"/>
      <w:color w:val="000000"/>
      <w:sz w:val="24"/>
      <w:szCs w:val="24"/>
      <w:lang w:val="en-US"/>
    </w:rPr>
  </w:style>
  <w:style w:type="paragraph" w:styleId="TOC5">
    <w:name w:val="toc 5"/>
    <w:basedOn w:val="Normal"/>
    <w:next w:val="Normal"/>
    <w:autoRedefine/>
    <w:uiPriority w:val="39"/>
    <w:unhideWhenUsed/>
    <w:rsid w:val="00E81D4F"/>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E81D4F"/>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E81D4F"/>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E81D4F"/>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E81D4F"/>
    <w:pPr>
      <w:spacing w:after="100" w:line="259" w:lineRule="auto"/>
      <w:ind w:left="1760"/>
    </w:pPr>
    <w:rPr>
      <w:rFonts w:asciiTheme="minorHAnsi" w:eastAsiaTheme="minorEastAsia" w:hAnsiTheme="minorHAnsi" w:cstheme="minorBidi"/>
      <w:lang w:eastAsia="en-AU"/>
    </w:rPr>
  </w:style>
  <w:style w:type="paragraph" w:customStyle="1" w:styleId="Subsection">
    <w:name w:val="Subsection"/>
    <w:basedOn w:val="Normal"/>
    <w:link w:val="SubsectionChar"/>
    <w:rsid w:val="008E72D5"/>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8E72D5"/>
    <w:rPr>
      <w:rFonts w:ascii="Helvetica" w:eastAsia="Times New Roman" w:hAnsi="Helvetica"/>
      <w:sz w:val="24"/>
      <w:szCs w:val="24"/>
      <w:lang w:eastAsia="en-AU"/>
    </w:rPr>
  </w:style>
  <w:style w:type="character" w:customStyle="1" w:styleId="UnresolvedMention2">
    <w:name w:val="Unresolved Mention2"/>
    <w:basedOn w:val="DefaultParagraphFont"/>
    <w:uiPriority w:val="99"/>
    <w:semiHidden/>
    <w:unhideWhenUsed/>
    <w:rsid w:val="009A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1906">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37496508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manager@bluestonemotorinn.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info@tcmcnt.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Elly.Bugg@darwin.nt.gov.au" TargetMode="External"/><Relationship Id="rId10" Type="http://schemas.openxmlformats.org/officeDocument/2006/relationships/footer" Target="footer1.xml"/><Relationship Id="rId19" Type="http://schemas.openxmlformats.org/officeDocument/2006/relationships/hyperlink" Target="mailto:sportiesclubinc@bigpond.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eveb@aqagrp.com.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31574FC1E4CC7A44DC0B1107DEC09"/>
        <w:category>
          <w:name w:val="General"/>
          <w:gallery w:val="placeholder"/>
        </w:category>
        <w:types>
          <w:type w:val="bbPlcHdr"/>
        </w:types>
        <w:behaviors>
          <w:behavior w:val="content"/>
        </w:behaviors>
        <w:guid w:val="{DCBA4317-1CA3-42D4-8DFC-A52C7CBB028A}"/>
      </w:docPartPr>
      <w:docPartBody>
        <w:p w:rsidR="0029690E" w:rsidRDefault="000E3C71">
          <w:pPr>
            <w:pStyle w:val="59B31574FC1E4CC7A44DC0B1107DEC09"/>
          </w:pPr>
          <w:r>
            <w:t>&lt;Document title&gt;</w:t>
          </w:r>
        </w:p>
      </w:docPartBody>
    </w:docPart>
    <w:docPart>
      <w:docPartPr>
        <w:name w:val="16D82A4D3765483A9E4ED49B7AF243B8"/>
        <w:category>
          <w:name w:val="General"/>
          <w:gallery w:val="placeholder"/>
        </w:category>
        <w:types>
          <w:type w:val="bbPlcHdr"/>
        </w:types>
        <w:behaviors>
          <w:behavior w:val="content"/>
        </w:behaviors>
        <w:guid w:val="{EB9B68ED-4DD7-47C1-8205-A59C351C090B}"/>
      </w:docPartPr>
      <w:docPartBody>
        <w:p w:rsidR="0029690E" w:rsidRDefault="000E3C71">
          <w:pPr>
            <w:pStyle w:val="16D82A4D3765483A9E4ED49B7AF243B8"/>
          </w:pPr>
          <w:r w:rsidRPr="004E7885">
            <w:rPr>
              <w:rStyle w:val="PlaceholderText"/>
            </w:rPr>
            <w:t>&lt;Document title&gt;</w:t>
          </w:r>
        </w:p>
      </w:docPartBody>
    </w:docPart>
    <w:docPart>
      <w:docPartPr>
        <w:name w:val="866B47627150472EB11F37482FEA5F72"/>
        <w:category>
          <w:name w:val="General"/>
          <w:gallery w:val="placeholder"/>
        </w:category>
        <w:types>
          <w:type w:val="bbPlcHdr"/>
        </w:types>
        <w:behaviors>
          <w:behavior w:val="content"/>
        </w:behaviors>
        <w:guid w:val="{6FA53C19-4079-4F3C-ADEB-F7DC9A57A314}"/>
      </w:docPartPr>
      <w:docPartBody>
        <w:p w:rsidR="0029690E" w:rsidRDefault="000E3C71">
          <w:pPr>
            <w:pStyle w:val="866B47627150472EB11F37482FEA5F72"/>
          </w:pPr>
          <w:r w:rsidRPr="004E7885">
            <w:rPr>
              <w:rStyle w:val="PlaceholderText"/>
            </w:rPr>
            <w:t>&lt;Document title&gt;</w:t>
          </w:r>
        </w:p>
      </w:docPartBody>
    </w:docPart>
    <w:docPart>
      <w:docPartPr>
        <w:name w:val="A34FC0488743421D887F6861F22FC2FB"/>
        <w:category>
          <w:name w:val="General"/>
          <w:gallery w:val="placeholder"/>
        </w:category>
        <w:types>
          <w:type w:val="bbPlcHdr"/>
        </w:types>
        <w:behaviors>
          <w:behavior w:val="content"/>
        </w:behaviors>
        <w:guid w:val="{FA4BC8D2-ECED-49E4-B1A1-FC56B5DF6041}"/>
      </w:docPartPr>
      <w:docPartBody>
        <w:p w:rsidR="0029690E" w:rsidRDefault="000E3C71">
          <w:pPr>
            <w:pStyle w:val="A34FC0488743421D887F6861F22FC2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ENMID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71"/>
    <w:rsid w:val="00021813"/>
    <w:rsid w:val="000E3C71"/>
    <w:rsid w:val="00151773"/>
    <w:rsid w:val="00156E4E"/>
    <w:rsid w:val="00170ADE"/>
    <w:rsid w:val="001B3064"/>
    <w:rsid w:val="001D0CAD"/>
    <w:rsid w:val="0029473C"/>
    <w:rsid w:val="0029690E"/>
    <w:rsid w:val="002F6D1C"/>
    <w:rsid w:val="00335F84"/>
    <w:rsid w:val="00460A42"/>
    <w:rsid w:val="004B3C42"/>
    <w:rsid w:val="005121A8"/>
    <w:rsid w:val="00525E93"/>
    <w:rsid w:val="005D2456"/>
    <w:rsid w:val="005D3D8C"/>
    <w:rsid w:val="007C6B66"/>
    <w:rsid w:val="007F1E19"/>
    <w:rsid w:val="0090706A"/>
    <w:rsid w:val="00990292"/>
    <w:rsid w:val="00AD00F8"/>
    <w:rsid w:val="00AD170D"/>
    <w:rsid w:val="00B91316"/>
    <w:rsid w:val="00D217F7"/>
    <w:rsid w:val="00DB78AC"/>
    <w:rsid w:val="00E43328"/>
    <w:rsid w:val="00E8279D"/>
    <w:rsid w:val="00F73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31574FC1E4CC7A44DC0B1107DEC09">
    <w:name w:val="59B31574FC1E4CC7A44DC0B1107DEC09"/>
  </w:style>
  <w:style w:type="character" w:styleId="PlaceholderText">
    <w:name w:val="Placeholder Text"/>
    <w:basedOn w:val="DefaultParagraphFont"/>
    <w:uiPriority w:val="99"/>
    <w:semiHidden/>
    <w:rPr>
      <w:color w:val="808080"/>
    </w:rPr>
  </w:style>
  <w:style w:type="paragraph" w:customStyle="1" w:styleId="16D82A4D3765483A9E4ED49B7AF243B8">
    <w:name w:val="16D82A4D3765483A9E4ED49B7AF243B8"/>
  </w:style>
  <w:style w:type="paragraph" w:customStyle="1" w:styleId="866B47627150472EB11F37482FEA5F72">
    <w:name w:val="866B47627150472EB11F37482FEA5F72"/>
  </w:style>
  <w:style w:type="paragraph" w:customStyle="1" w:styleId="A34FC0488743421D887F6861F22FC2FB">
    <w:name w:val="A34FC0488743421D887F6861F22FC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92539A-2C25-48BD-811A-CD1FB564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0</TotalTime>
  <Pages>12</Pages>
  <Words>2043</Words>
  <Characters>10971</Characters>
  <Application>Microsoft Office Word</Application>
  <DocSecurity>0</DocSecurity>
  <Lines>365</Lines>
  <Paragraphs>245</Paragraphs>
  <ScaleCrop>false</ScaleCrop>
  <HeadingPairs>
    <vt:vector size="2" baseType="variant">
      <vt:variant>
        <vt:lpstr>Title</vt:lpstr>
      </vt:variant>
      <vt:variant>
        <vt:i4>1</vt:i4>
      </vt:variant>
    </vt:vector>
  </HeadingPairs>
  <TitlesOfParts>
    <vt:vector size="1" baseType="lpstr">
      <vt:lpstr>Tennant Creek Liquor Accord</vt:lpstr>
    </vt:vector>
  </TitlesOfParts>
  <Company>INDUSTRY, TOURISM AND TRADE</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Liquor Accord</dc:title>
  <dc:subject/>
  <dc:creator>Northern Territory Government</dc:creator>
  <cp:keywords/>
  <dc:description/>
  <cp:lastModifiedBy>Valaree Chuah</cp:lastModifiedBy>
  <cp:revision>3</cp:revision>
  <cp:lastPrinted>2023-10-09T22:12:00Z</cp:lastPrinted>
  <dcterms:created xsi:type="dcterms:W3CDTF">2024-02-23T05:47:00Z</dcterms:created>
  <dcterms:modified xsi:type="dcterms:W3CDTF">2024-02-23T05:47:00Z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c33efab3a90a7e8ec901f7199dd5279b97bcac09af5e88e230fdb246f0a3d645</vt:lpwstr>
  </property>
</Properties>
</file>