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53" w:rsidRPr="00725603" w:rsidRDefault="00725603" w:rsidP="007A582B">
      <w:pPr>
        <w:tabs>
          <w:tab w:val="left" w:pos="1080"/>
        </w:tabs>
        <w:rPr>
          <w:b/>
          <w:color w:val="002060"/>
          <w:sz w:val="40"/>
          <w:szCs w:val="40"/>
          <w:u w:val="thick"/>
        </w:rPr>
      </w:pPr>
      <w:bookmarkStart w:id="0" w:name="_GoBack"/>
      <w:bookmarkEnd w:id="0"/>
      <w:r>
        <w:rPr>
          <w:b/>
          <w:color w:val="002060"/>
          <w:sz w:val="40"/>
          <w:szCs w:val="40"/>
        </w:rPr>
        <w:br/>
      </w:r>
      <w:r w:rsidR="00017B53" w:rsidRPr="00725603">
        <w:rPr>
          <w:b/>
          <w:color w:val="002060"/>
          <w:sz w:val="40"/>
          <w:szCs w:val="40"/>
          <w:u w:val="thick"/>
        </w:rPr>
        <w:t>Exit Strategy</w:t>
      </w:r>
    </w:p>
    <w:p w:rsidR="00017B53" w:rsidRDefault="00017B53" w:rsidP="006C28BA">
      <w:pPr>
        <w:pStyle w:val="Heading3"/>
      </w:pPr>
      <w:r w:rsidRPr="00017B53">
        <w:t xml:space="preserve">What is an Exit Strategy and why is it required? </w:t>
      </w:r>
    </w:p>
    <w:p w:rsidR="000B10F3" w:rsidRDefault="00017B53" w:rsidP="000B10F3">
      <w:r>
        <w:t>An Exit Strate</w:t>
      </w:r>
      <w:r w:rsidR="00A11405">
        <w:t>g</w:t>
      </w:r>
      <w:r w:rsidR="000B10F3">
        <w:t>y is a contingency plan</w:t>
      </w:r>
      <w:r w:rsidR="001305CD">
        <w:t xml:space="preserve"> that</w:t>
      </w:r>
      <w:r w:rsidR="000B10F3">
        <w:t xml:space="preserve"> ensure</w:t>
      </w:r>
      <w:r w:rsidR="001305CD">
        <w:t>s</w:t>
      </w:r>
      <w:r w:rsidR="000B10F3">
        <w:t xml:space="preserve"> a Scheduled Substance </w:t>
      </w:r>
      <w:r w:rsidR="00B963FF">
        <w:t xml:space="preserve">is managed appropriately in the </w:t>
      </w:r>
      <w:r w:rsidR="001305CD">
        <w:t xml:space="preserve">event that the </w:t>
      </w:r>
      <w:r w:rsidR="00B963FF">
        <w:t>circumstances</w:t>
      </w:r>
      <w:r w:rsidR="001305CD">
        <w:t xml:space="preserve"> of the authorised person or business change in a way that will affect the security, compliance or safety of the substance. It is essential</w:t>
      </w:r>
      <w:r w:rsidR="00B963FF">
        <w:t xml:space="preserve"> that the substance </w:t>
      </w:r>
      <w:r w:rsidR="000B10F3">
        <w:t xml:space="preserve">remains in the </w:t>
      </w:r>
      <w:r w:rsidR="001305CD">
        <w:t>control</w:t>
      </w:r>
      <w:r w:rsidR="000B10F3">
        <w:t xml:space="preserve"> of an authorised person</w:t>
      </w:r>
      <w:r w:rsidR="00B963FF">
        <w:t xml:space="preserve">. </w:t>
      </w:r>
    </w:p>
    <w:p w:rsidR="007A582B" w:rsidRDefault="006C28BA" w:rsidP="007A582B">
      <w:r w:rsidRPr="006C28BA">
        <w:t xml:space="preserve">Medicines and Poisons can </w:t>
      </w:r>
      <w:r w:rsidR="004261B1">
        <w:t>grant</w:t>
      </w:r>
      <w:r w:rsidRPr="006C28BA">
        <w:t xml:space="preserve"> a </w:t>
      </w:r>
      <w:r w:rsidRPr="006C28BA">
        <w:rPr>
          <w:u w:val="single"/>
        </w:rPr>
        <w:t>specific person</w:t>
      </w:r>
      <w:r w:rsidRPr="006C28BA">
        <w:t xml:space="preserve"> the legal right to obtain and utilise a listed scheduled substance</w:t>
      </w:r>
      <w:r w:rsidR="004261B1">
        <w:t xml:space="preserve"> at</w:t>
      </w:r>
      <w:r w:rsidR="001305CD">
        <w:t xml:space="preserve"> a</w:t>
      </w:r>
      <w:r w:rsidR="004261B1">
        <w:t xml:space="preserve"> </w:t>
      </w:r>
      <w:r w:rsidR="004261B1" w:rsidRPr="001305CD">
        <w:rPr>
          <w:u w:val="single"/>
        </w:rPr>
        <w:t>specified</w:t>
      </w:r>
      <w:r w:rsidR="004261B1">
        <w:t xml:space="preserve"> premises. </w:t>
      </w:r>
      <w:r w:rsidR="00A253CE">
        <w:t>Scheduled substances are not available to the general publi</w:t>
      </w:r>
      <w:r w:rsidR="00EF7FF9">
        <w:t>c,</w:t>
      </w:r>
      <w:r w:rsidR="000B10F3">
        <w:t xml:space="preserve"> therefore it is the authorised person’s responsibility</w:t>
      </w:r>
      <w:r w:rsidR="00A253CE">
        <w:t xml:space="preserve"> to maintain appropriate security</w:t>
      </w:r>
      <w:r w:rsidR="000B10F3">
        <w:t xml:space="preserve"> </w:t>
      </w:r>
      <w:r w:rsidR="007A582B">
        <w:t xml:space="preserve">and safe usage </w:t>
      </w:r>
      <w:r w:rsidR="000B10F3">
        <w:t xml:space="preserve">of the substance. </w:t>
      </w:r>
    </w:p>
    <w:p w:rsidR="006C28BA" w:rsidRPr="006C28BA" w:rsidRDefault="006C28BA" w:rsidP="007A582B">
      <w:pPr>
        <w:pStyle w:val="Heading3"/>
        <w:rPr>
          <w:sz w:val="22"/>
        </w:rPr>
      </w:pPr>
      <w:r w:rsidRPr="006C28BA">
        <w:t xml:space="preserve">Changes in circumstances </w:t>
      </w:r>
    </w:p>
    <w:p w:rsidR="00EF7FF9" w:rsidRDefault="00EF7FF9" w:rsidP="00017B53">
      <w:r>
        <w:t>Changes in circumstances can include:</w:t>
      </w:r>
    </w:p>
    <w:p w:rsidR="00EF7FF9" w:rsidRDefault="00EF7FF9" w:rsidP="00C42F38">
      <w:pPr>
        <w:pStyle w:val="ListParagraph"/>
        <w:numPr>
          <w:ilvl w:val="0"/>
          <w:numId w:val="10"/>
        </w:numPr>
      </w:pPr>
      <w:r>
        <w:t xml:space="preserve">Authorised person leaves employment </w:t>
      </w:r>
    </w:p>
    <w:p w:rsidR="00EF7FF9" w:rsidRDefault="00EF7FF9" w:rsidP="00C42F38">
      <w:pPr>
        <w:pStyle w:val="ListParagraph"/>
        <w:numPr>
          <w:ilvl w:val="0"/>
          <w:numId w:val="10"/>
        </w:numPr>
      </w:pPr>
      <w:r>
        <w:t>Authorised person is not available due to sickness</w:t>
      </w:r>
      <w:r w:rsidR="00946EEC">
        <w:t xml:space="preserve"> or</w:t>
      </w:r>
      <w:r w:rsidR="007A582B">
        <w:t xml:space="preserve"> leave</w:t>
      </w:r>
      <w:r>
        <w:t xml:space="preserve"> </w:t>
      </w:r>
    </w:p>
    <w:p w:rsidR="00EF7FF9" w:rsidRDefault="00EF7FF9" w:rsidP="00C42F38">
      <w:pPr>
        <w:pStyle w:val="ListParagraph"/>
        <w:numPr>
          <w:ilvl w:val="0"/>
          <w:numId w:val="10"/>
        </w:numPr>
      </w:pPr>
      <w:r>
        <w:t xml:space="preserve">Business or site closure </w:t>
      </w:r>
    </w:p>
    <w:p w:rsidR="00EF7FF9" w:rsidRDefault="00EF7FF9" w:rsidP="00C42F38">
      <w:pPr>
        <w:pStyle w:val="ListParagraph"/>
        <w:numPr>
          <w:ilvl w:val="0"/>
          <w:numId w:val="10"/>
        </w:numPr>
      </w:pPr>
      <w:r>
        <w:t xml:space="preserve">Emergency situation e.g. cyclone, flood </w:t>
      </w:r>
    </w:p>
    <w:p w:rsidR="006C28BA" w:rsidRDefault="00EF7FF9" w:rsidP="00C42F38">
      <w:pPr>
        <w:pStyle w:val="ListParagraph"/>
        <w:numPr>
          <w:ilvl w:val="0"/>
          <w:numId w:val="10"/>
        </w:numPr>
      </w:pPr>
      <w:r>
        <w:t xml:space="preserve">The scheduled substance is no longer required (disposal)  </w:t>
      </w:r>
    </w:p>
    <w:p w:rsidR="006C28BA" w:rsidRDefault="006C28BA" w:rsidP="006C28BA">
      <w:pPr>
        <w:pStyle w:val="Heading3"/>
      </w:pPr>
      <w:r>
        <w:t xml:space="preserve">Key information </w:t>
      </w:r>
    </w:p>
    <w:p w:rsidR="000B10F3" w:rsidRDefault="006C28BA" w:rsidP="00C42F38">
      <w:pPr>
        <w:pStyle w:val="ListParagraph"/>
        <w:numPr>
          <w:ilvl w:val="0"/>
          <w:numId w:val="11"/>
        </w:numPr>
      </w:pPr>
      <w:r>
        <w:t xml:space="preserve">The Exit Strategy needs to be kept on-site so the procedure </w:t>
      </w:r>
      <w:r w:rsidR="007A582B">
        <w:t>can be implemented if/when such events take place</w:t>
      </w:r>
      <w:r>
        <w:t>.</w:t>
      </w:r>
    </w:p>
    <w:p w:rsidR="007A582B" w:rsidRDefault="006C28BA" w:rsidP="00C42F38">
      <w:pPr>
        <w:pStyle w:val="ListParagraph"/>
        <w:numPr>
          <w:ilvl w:val="0"/>
          <w:numId w:val="11"/>
        </w:numPr>
      </w:pPr>
      <w:r>
        <w:t>The Exit Strategy may need review over time and with the change of</w:t>
      </w:r>
      <w:r w:rsidR="007A582B">
        <w:t xml:space="preserve"> the</w:t>
      </w:r>
      <w:r>
        <w:t xml:space="preserve"> authorised person. You will</w:t>
      </w:r>
      <w:r w:rsidR="000B10F3">
        <w:t xml:space="preserve"> </w:t>
      </w:r>
      <w:r>
        <w:t>be required to submit your current Exit Strategy prior to authorisation renewal.</w:t>
      </w:r>
    </w:p>
    <w:p w:rsidR="006C28BA" w:rsidRDefault="006C28BA" w:rsidP="007A582B">
      <w:pPr>
        <w:pStyle w:val="Heading3"/>
      </w:pPr>
      <w:r>
        <w:t>What to include</w:t>
      </w:r>
      <w:r w:rsidR="007A582B">
        <w:t xml:space="preserve"> in the Exit Strategy</w:t>
      </w:r>
    </w:p>
    <w:p w:rsidR="006C28BA" w:rsidRDefault="006C28BA" w:rsidP="006C28BA">
      <w:r>
        <w:t>• The Exit Strategy needs to be on the organisation or business letterhead (if available)</w:t>
      </w:r>
    </w:p>
    <w:p w:rsidR="006C28BA" w:rsidRDefault="006C28BA" w:rsidP="006C28BA">
      <w:r>
        <w:t>• Situations in which the Exit Strategy applies</w:t>
      </w:r>
      <w:r w:rsidR="00946EEC">
        <w:t xml:space="preserve"> (such as the authorised person leaving the business or an emergency situation) </w:t>
      </w:r>
    </w:p>
    <w:p w:rsidR="006C28BA" w:rsidRDefault="006C28BA" w:rsidP="006C28BA">
      <w:r>
        <w:t>• State that you will notify Medicines and Poisons Control o</w:t>
      </w:r>
      <w:r w:rsidR="007A582B">
        <w:t xml:space="preserve">n cessation or disposal of the </w:t>
      </w:r>
      <w:r>
        <w:t xml:space="preserve">scheduled substance. </w:t>
      </w:r>
    </w:p>
    <w:p w:rsidR="006C28BA" w:rsidRDefault="006C28BA" w:rsidP="006C28BA">
      <w:r>
        <w:t xml:space="preserve">• State what will happen to your records. </w:t>
      </w:r>
      <w:r w:rsidR="00946EEC">
        <w:br/>
      </w:r>
      <w:r w:rsidRPr="00946EEC">
        <w:rPr>
          <w:b/>
          <w:sz w:val="20"/>
        </w:rPr>
        <w:t>Note:</w:t>
      </w:r>
      <w:r w:rsidRPr="00946EEC">
        <w:rPr>
          <w:sz w:val="20"/>
        </w:rPr>
        <w:t xml:space="preserve"> Records</w:t>
      </w:r>
      <w:r w:rsidR="007A582B" w:rsidRPr="00946EEC">
        <w:rPr>
          <w:sz w:val="20"/>
        </w:rPr>
        <w:t xml:space="preserve"> are required to be kept for a </w:t>
      </w:r>
      <w:r w:rsidRPr="00946EEC">
        <w:rPr>
          <w:sz w:val="20"/>
        </w:rPr>
        <w:t xml:space="preserve">minimum of </w:t>
      </w:r>
      <w:r w:rsidRPr="00946EEC">
        <w:rPr>
          <w:sz w:val="20"/>
          <w:u w:val="single"/>
        </w:rPr>
        <w:t>two years.</w:t>
      </w:r>
      <w:r w:rsidRPr="00946EEC">
        <w:rPr>
          <w:sz w:val="20"/>
        </w:rPr>
        <w:t xml:space="preserve"> </w:t>
      </w:r>
    </w:p>
    <w:p w:rsidR="006C28BA" w:rsidRPr="007A582B" w:rsidRDefault="006C28BA" w:rsidP="006C28BA">
      <w:r>
        <w:lastRenderedPageBreak/>
        <w:t xml:space="preserve">• Provide details of what will happen to the substances. </w:t>
      </w:r>
      <w:r w:rsidR="007A582B">
        <w:br/>
      </w:r>
      <w:r w:rsidR="00946EEC">
        <w:rPr>
          <w:b/>
        </w:rPr>
        <w:br/>
      </w:r>
      <w:r w:rsidRPr="007A582B">
        <w:rPr>
          <w:b/>
        </w:rPr>
        <w:t>Some options include:</w:t>
      </w:r>
    </w:p>
    <w:p w:rsidR="006C28BA" w:rsidRDefault="007A582B" w:rsidP="00C42F38">
      <w:pPr>
        <w:pStyle w:val="ListParagraph"/>
        <w:numPr>
          <w:ilvl w:val="0"/>
          <w:numId w:val="12"/>
        </w:numPr>
      </w:pPr>
      <w:r>
        <w:t>R</w:t>
      </w:r>
      <w:r w:rsidR="006C28BA">
        <w:t>eturned to supplier or pharmacy</w:t>
      </w:r>
    </w:p>
    <w:p w:rsidR="006C28BA" w:rsidRDefault="007A582B" w:rsidP="00C42F38">
      <w:pPr>
        <w:pStyle w:val="ListParagraph"/>
        <w:numPr>
          <w:ilvl w:val="0"/>
          <w:numId w:val="12"/>
        </w:numPr>
      </w:pPr>
      <w:r>
        <w:t>T</w:t>
      </w:r>
      <w:r w:rsidR="006C28BA">
        <w:t xml:space="preserve">ransferred to another authorised person </w:t>
      </w:r>
    </w:p>
    <w:p w:rsidR="006C28BA" w:rsidRDefault="007A582B" w:rsidP="00C42F38">
      <w:pPr>
        <w:pStyle w:val="ListParagraph"/>
        <w:numPr>
          <w:ilvl w:val="0"/>
          <w:numId w:val="12"/>
        </w:numPr>
      </w:pPr>
      <w:r>
        <w:t>D</w:t>
      </w:r>
      <w:r w:rsidR="006C28BA">
        <w:t>isposed of through a licenced waste disposal contractor.</w:t>
      </w:r>
    </w:p>
    <w:p w:rsidR="006C28BA" w:rsidRDefault="006C28BA" w:rsidP="0092453C">
      <w:pPr>
        <w:pStyle w:val="ListParagraph"/>
        <w:numPr>
          <w:ilvl w:val="0"/>
          <w:numId w:val="16"/>
        </w:numPr>
      </w:pPr>
      <w:r>
        <w:t>Sign and date the strategy (management approval for organisations and businesses)</w:t>
      </w:r>
    </w:p>
    <w:p w:rsidR="006C28BA" w:rsidRDefault="006C28BA" w:rsidP="0092453C">
      <w:pPr>
        <w:pStyle w:val="ListParagraph"/>
        <w:numPr>
          <w:ilvl w:val="0"/>
          <w:numId w:val="16"/>
        </w:numPr>
      </w:pPr>
      <w:r>
        <w:t>Date of planned review.</w:t>
      </w:r>
    </w:p>
    <w:p w:rsidR="007A582B" w:rsidRDefault="007A582B" w:rsidP="006C28BA"/>
    <w:p w:rsidR="00EF7FF9" w:rsidRDefault="006C28BA" w:rsidP="006C28BA">
      <w:r>
        <w:t>For further information please contact</w:t>
      </w:r>
      <w:r w:rsidR="004261B1">
        <w:t>:</w:t>
      </w:r>
    </w:p>
    <w:p w:rsidR="004261B1" w:rsidRPr="004261B1" w:rsidRDefault="004261B1" w:rsidP="004261B1">
      <w:pPr>
        <w:rPr>
          <w:b/>
        </w:rPr>
      </w:pPr>
      <w:r w:rsidRPr="004261B1">
        <w:rPr>
          <w:b/>
        </w:rPr>
        <w:t xml:space="preserve">Medicines &amp; Poisons </w:t>
      </w:r>
    </w:p>
    <w:p w:rsidR="004261B1" w:rsidRDefault="004261B1" w:rsidP="004261B1">
      <w:r w:rsidRPr="004261B1">
        <w:rPr>
          <w:b/>
        </w:rPr>
        <w:t>Phone:</w:t>
      </w:r>
      <w:r>
        <w:t xml:space="preserve"> (08) 8922 7341</w:t>
      </w:r>
    </w:p>
    <w:p w:rsidR="004261B1" w:rsidRDefault="004261B1" w:rsidP="004261B1">
      <w:r w:rsidRPr="004261B1">
        <w:rPr>
          <w:b/>
        </w:rPr>
        <w:t>Email:</w:t>
      </w:r>
      <w:r>
        <w:t xml:space="preserve"> </w:t>
      </w:r>
      <w:hyperlink r:id="rId9" w:history="1">
        <w:r w:rsidRPr="00195419">
          <w:rPr>
            <w:rStyle w:val="Hyperlink"/>
          </w:rPr>
          <w:t>poisonscontrol@nt.gov.au</w:t>
        </w:r>
      </w:hyperlink>
      <w:r>
        <w:t xml:space="preserve"> </w:t>
      </w:r>
    </w:p>
    <w:p w:rsidR="00EF7FF9" w:rsidRDefault="00EF7FF9" w:rsidP="00EF7FF9"/>
    <w:p w:rsidR="00EF7FF9" w:rsidRDefault="00EF7FF9" w:rsidP="00EF7FF9">
      <w:pPr>
        <w:pStyle w:val="ListParagraph"/>
        <w:ind w:left="720"/>
      </w:pPr>
    </w:p>
    <w:p w:rsidR="00EF7FF9" w:rsidRPr="00017B53" w:rsidRDefault="00EF7FF9" w:rsidP="00EF7FF9">
      <w:pPr>
        <w:pStyle w:val="ListParagraph"/>
        <w:ind w:left="720"/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5A6E2B" w:rsidRDefault="005A6E2B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jc w:val="center"/>
        <w:rPr>
          <w:b/>
          <w:sz w:val="40"/>
          <w:szCs w:val="40"/>
        </w:rPr>
      </w:pPr>
    </w:p>
    <w:p w:rsidR="00017B53" w:rsidRDefault="00017B53" w:rsidP="00017B53">
      <w:pPr>
        <w:rPr>
          <w:b/>
          <w:sz w:val="40"/>
          <w:szCs w:val="40"/>
        </w:rPr>
      </w:pPr>
      <w:r w:rsidRPr="00B03867">
        <w:rPr>
          <w:b/>
          <w:sz w:val="40"/>
          <w:szCs w:val="40"/>
        </w:rPr>
        <w:lastRenderedPageBreak/>
        <w:t>Applicant Business Name/Letter Head</w:t>
      </w:r>
    </w:p>
    <w:p w:rsidR="00017B53" w:rsidRPr="00B03867" w:rsidRDefault="00017B53" w:rsidP="00017B53">
      <w:pPr>
        <w:jc w:val="right"/>
        <w:rPr>
          <w:b/>
          <w:sz w:val="40"/>
          <w:szCs w:val="40"/>
        </w:rPr>
      </w:pPr>
      <w:r>
        <w:t>Business Address</w:t>
      </w:r>
    </w:p>
    <w:p w:rsidR="00017B53" w:rsidRDefault="00017B53" w:rsidP="00017B53">
      <w:pPr>
        <w:jc w:val="right"/>
      </w:pPr>
      <w:r>
        <w:t>XX Street Road</w:t>
      </w:r>
    </w:p>
    <w:p w:rsidR="00017B53" w:rsidRDefault="00017B53" w:rsidP="00017B53">
      <w:pPr>
        <w:jc w:val="right"/>
      </w:pPr>
      <w:r>
        <w:t>Suburb NT 08XX</w:t>
      </w:r>
    </w:p>
    <w:p w:rsidR="000B10F3" w:rsidRDefault="00017B53" w:rsidP="000B10F3">
      <w:pPr>
        <w:jc w:val="right"/>
        <w:rPr>
          <w:rStyle w:val="Hyperlink"/>
        </w:rPr>
      </w:pPr>
      <w:r>
        <w:t xml:space="preserve">Email - </w:t>
      </w:r>
      <w:hyperlink r:id="rId10" w:history="1">
        <w:r w:rsidRPr="00B149F4">
          <w:rPr>
            <w:rStyle w:val="Hyperlink"/>
          </w:rPr>
          <w:t>Businessemail@businessemail.com.au</w:t>
        </w:r>
      </w:hyperlink>
    </w:p>
    <w:p w:rsidR="000B10F3" w:rsidRDefault="000B10F3" w:rsidP="000B10F3">
      <w:pPr>
        <w:tabs>
          <w:tab w:val="right" w:pos="10318"/>
        </w:tabs>
        <w:jc w:val="right"/>
      </w:pPr>
      <w:r>
        <w:t>Phone – 08 89XXXXXX</w:t>
      </w:r>
    </w:p>
    <w:p w:rsidR="000B10F3" w:rsidRDefault="000B10F3" w:rsidP="000B10F3">
      <w:pPr>
        <w:tabs>
          <w:tab w:val="right" w:pos="10318"/>
        </w:tabs>
      </w:pPr>
      <w:r w:rsidRPr="000B10F3">
        <w:rPr>
          <w:b/>
        </w:rPr>
        <w:t xml:space="preserve">Please note: </w:t>
      </w:r>
      <w:r w:rsidRPr="000B10F3">
        <w:t xml:space="preserve">This is an </w:t>
      </w:r>
      <w:r w:rsidRPr="000B10F3">
        <w:rPr>
          <w:u w:val="single"/>
        </w:rPr>
        <w:t>example only</w:t>
      </w:r>
      <w:r w:rsidRPr="000B10F3">
        <w:t>. E</w:t>
      </w:r>
      <w:r w:rsidR="006C28BA" w:rsidRPr="000B10F3">
        <w:t>ach Exit Strategy is unique to the site</w:t>
      </w:r>
      <w:r>
        <w:t xml:space="preserve"> and the personnel on site. The </w:t>
      </w:r>
      <w:r w:rsidR="006C28BA" w:rsidRPr="000B10F3">
        <w:t xml:space="preserve">authorised person and </w:t>
      </w:r>
      <w:r w:rsidRPr="000B10F3">
        <w:t xml:space="preserve">organisation need to take ownership of the strategy and tailor to their own </w:t>
      </w:r>
      <w:r w:rsidR="0092453C">
        <w:t>needs/</w:t>
      </w:r>
      <w:r w:rsidRPr="000B10F3">
        <w:t xml:space="preserve">circumstances. </w:t>
      </w:r>
      <w:r>
        <w:tab/>
      </w:r>
      <w:r>
        <w:br/>
      </w:r>
    </w:p>
    <w:p w:rsidR="00017B53" w:rsidRPr="00017B53" w:rsidRDefault="00017B53" w:rsidP="00017B53">
      <w:pPr>
        <w:jc w:val="center"/>
      </w:pPr>
      <w:r w:rsidRPr="00B03867">
        <w:rPr>
          <w:b/>
          <w:sz w:val="28"/>
          <w:szCs w:val="28"/>
        </w:rPr>
        <w:t>Exit Strategy</w:t>
      </w:r>
    </w:p>
    <w:p w:rsidR="00017B53" w:rsidRPr="00946EEC" w:rsidRDefault="00017B53" w:rsidP="00017B53">
      <w:pPr>
        <w:rPr>
          <w:b/>
          <w:sz w:val="24"/>
          <w:szCs w:val="24"/>
        </w:rPr>
      </w:pPr>
      <w:r w:rsidRPr="00946EEC">
        <w:rPr>
          <w:b/>
          <w:sz w:val="24"/>
          <w:szCs w:val="24"/>
        </w:rPr>
        <w:t>CHANGE OF CIRCUMSTANCE and REQUIRED ACTION: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017B53" w:rsidRPr="00946EEC" w:rsidTr="000C2AE4">
        <w:trPr>
          <w:trHeight w:val="378"/>
        </w:trPr>
        <w:tc>
          <w:tcPr>
            <w:tcW w:w="3256" w:type="dxa"/>
            <w:shd w:val="clear" w:color="auto" w:fill="002060"/>
          </w:tcPr>
          <w:p w:rsidR="00017B53" w:rsidRPr="000C2AE4" w:rsidRDefault="00017B53" w:rsidP="00523F28">
            <w:pPr>
              <w:rPr>
                <w:rFonts w:ascii="Lato" w:hAnsi="Lato"/>
                <w:b/>
                <w:sz w:val="28"/>
              </w:rPr>
            </w:pPr>
            <w:r w:rsidRPr="000C2AE4">
              <w:rPr>
                <w:rFonts w:ascii="Lato" w:hAnsi="Lato"/>
                <w:b/>
                <w:sz w:val="28"/>
              </w:rPr>
              <w:t xml:space="preserve">Circumstance </w:t>
            </w:r>
          </w:p>
        </w:tc>
        <w:tc>
          <w:tcPr>
            <w:tcW w:w="7087" w:type="dxa"/>
            <w:shd w:val="clear" w:color="auto" w:fill="002060"/>
          </w:tcPr>
          <w:p w:rsidR="00017B53" w:rsidRPr="000C2AE4" w:rsidRDefault="00FB57A7" w:rsidP="00523F28">
            <w:pPr>
              <w:rPr>
                <w:rFonts w:ascii="Lato" w:hAnsi="Lato"/>
                <w:b/>
                <w:sz w:val="28"/>
              </w:rPr>
            </w:pPr>
            <w:r w:rsidRPr="000C2AE4">
              <w:rPr>
                <w:rFonts w:ascii="Lato" w:hAnsi="Lato"/>
                <w:b/>
                <w:sz w:val="28"/>
              </w:rPr>
              <w:t xml:space="preserve"> Required Action </w:t>
            </w:r>
          </w:p>
        </w:tc>
      </w:tr>
      <w:tr w:rsidR="00017B53" w:rsidRPr="00946EEC" w:rsidTr="000C2AE4">
        <w:trPr>
          <w:trHeight w:val="1213"/>
        </w:trPr>
        <w:tc>
          <w:tcPr>
            <w:tcW w:w="3256" w:type="dxa"/>
          </w:tcPr>
          <w:p w:rsidR="00017B53" w:rsidRPr="00946EEC" w:rsidRDefault="007A582B" w:rsidP="00523F28">
            <w:pPr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br/>
            </w:r>
            <w:r w:rsidR="00017B53" w:rsidRPr="00946EEC">
              <w:rPr>
                <w:rFonts w:ascii="Lato" w:hAnsi="Lato"/>
              </w:rPr>
              <w:t>Authorised person leaves employment and there is no other authorised person within the business</w:t>
            </w:r>
          </w:p>
        </w:tc>
        <w:tc>
          <w:tcPr>
            <w:tcW w:w="7087" w:type="dxa"/>
          </w:tcPr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Transfer scheduled substance to a new Authorised person or returned to place of purchase.</w:t>
            </w:r>
          </w:p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Record transfer details in usage register.</w:t>
            </w:r>
          </w:p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 xml:space="preserve">Notify Medicines and Poisons </w:t>
            </w:r>
            <w:hyperlink r:id="rId11" w:history="1">
              <w:r w:rsidRPr="00946EEC">
                <w:rPr>
                  <w:rStyle w:val="Hyperlink"/>
                  <w:rFonts w:ascii="Lato" w:hAnsi="Lato"/>
                </w:rPr>
                <w:t>poisonscontrol@nt.gov.au</w:t>
              </w:r>
            </w:hyperlink>
          </w:p>
        </w:tc>
      </w:tr>
      <w:tr w:rsidR="00017B53" w:rsidRPr="00946EEC" w:rsidTr="000C2AE4">
        <w:trPr>
          <w:trHeight w:val="1669"/>
        </w:trPr>
        <w:tc>
          <w:tcPr>
            <w:tcW w:w="3256" w:type="dxa"/>
          </w:tcPr>
          <w:p w:rsidR="00017B53" w:rsidRPr="00946EEC" w:rsidRDefault="007A582B" w:rsidP="00523F28">
            <w:pPr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br/>
            </w:r>
            <w:r w:rsidR="00B963FF" w:rsidRPr="00946EEC">
              <w:rPr>
                <w:rFonts w:ascii="Lato" w:hAnsi="Lato"/>
              </w:rPr>
              <w:br/>
            </w:r>
            <w:r w:rsidR="00B963FF" w:rsidRPr="00946EEC">
              <w:rPr>
                <w:rFonts w:ascii="Lato" w:hAnsi="Lato"/>
              </w:rPr>
              <w:br/>
            </w:r>
            <w:r w:rsidR="00017B53" w:rsidRPr="00946EEC">
              <w:rPr>
                <w:rFonts w:ascii="Lato" w:hAnsi="Lato"/>
              </w:rPr>
              <w:t>Business closure</w:t>
            </w:r>
          </w:p>
        </w:tc>
        <w:tc>
          <w:tcPr>
            <w:tcW w:w="7087" w:type="dxa"/>
          </w:tcPr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Transfer scheduled substance to a new Authorised person / returned to place of purchase / dispose  via a licensed waste disposal contractor</w:t>
            </w:r>
          </w:p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 xml:space="preserve">Record transfer details in usage register. </w:t>
            </w:r>
          </w:p>
          <w:p w:rsidR="00017B53" w:rsidRPr="00946EEC" w:rsidRDefault="00017B53" w:rsidP="00523F28">
            <w:pPr>
              <w:ind w:left="317"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Note: usage register must be stored for 2 years.</w:t>
            </w:r>
          </w:p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 xml:space="preserve">Notify Medicines and Poisons to cancel licence </w:t>
            </w:r>
            <w:hyperlink r:id="rId12" w:history="1">
              <w:r w:rsidRPr="00946EEC">
                <w:rPr>
                  <w:rStyle w:val="Hyperlink"/>
                  <w:rFonts w:ascii="Lato" w:hAnsi="Lato"/>
                </w:rPr>
                <w:t>poisonscontrol@nt.gov.au</w:t>
              </w:r>
            </w:hyperlink>
          </w:p>
        </w:tc>
      </w:tr>
      <w:tr w:rsidR="00017B53" w:rsidRPr="00946EEC" w:rsidTr="000C2AE4">
        <w:trPr>
          <w:trHeight w:val="1738"/>
        </w:trPr>
        <w:tc>
          <w:tcPr>
            <w:tcW w:w="3256" w:type="dxa"/>
          </w:tcPr>
          <w:p w:rsidR="006627B1" w:rsidRPr="00946EEC" w:rsidRDefault="006627B1" w:rsidP="00523F28">
            <w:pPr>
              <w:rPr>
                <w:rFonts w:ascii="Lato" w:hAnsi="Lato"/>
              </w:rPr>
            </w:pPr>
          </w:p>
          <w:p w:rsidR="00017B53" w:rsidRPr="00946EEC" w:rsidRDefault="00B963FF" w:rsidP="00523F28">
            <w:pPr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br/>
            </w:r>
            <w:r w:rsidR="00017B53" w:rsidRPr="00946EEC">
              <w:rPr>
                <w:rFonts w:ascii="Lato" w:hAnsi="Lato"/>
              </w:rPr>
              <w:t>Scheduled substance is no longer required</w:t>
            </w:r>
          </w:p>
        </w:tc>
        <w:tc>
          <w:tcPr>
            <w:tcW w:w="7087" w:type="dxa"/>
          </w:tcPr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 xml:space="preserve">Transfer scheduled substance to a new Authorised person / returned to place of purchase / dispose </w:t>
            </w:r>
            <w:r w:rsidR="006627B1" w:rsidRPr="00946EEC">
              <w:rPr>
                <w:rFonts w:ascii="Lato" w:hAnsi="Lato"/>
              </w:rPr>
              <w:t>of</w:t>
            </w:r>
            <w:r w:rsidRPr="00946EEC">
              <w:rPr>
                <w:rFonts w:ascii="Lato" w:hAnsi="Lato"/>
              </w:rPr>
              <w:t xml:space="preserve"> via a licensed waste disposal contractor</w:t>
            </w:r>
          </w:p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Record transfer details in usage register.</w:t>
            </w:r>
          </w:p>
          <w:p w:rsidR="00017B53" w:rsidRPr="00946EEC" w:rsidRDefault="00017B53" w:rsidP="00523F28">
            <w:pPr>
              <w:ind w:left="317"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Note: usage register must be kept for 2 years.</w:t>
            </w:r>
          </w:p>
          <w:p w:rsidR="00017B53" w:rsidRPr="00946EEC" w:rsidRDefault="00017B53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 xml:space="preserve">Notify Medicines and Poisons </w:t>
            </w:r>
            <w:hyperlink r:id="rId13" w:history="1">
              <w:r w:rsidRPr="00946EEC">
                <w:rPr>
                  <w:rStyle w:val="Hyperlink"/>
                  <w:rFonts w:ascii="Lato" w:hAnsi="Lato"/>
                </w:rPr>
                <w:t>poisonscontrol@nt.gov.au</w:t>
              </w:r>
            </w:hyperlink>
          </w:p>
        </w:tc>
      </w:tr>
      <w:tr w:rsidR="007A582B" w:rsidRPr="00946EEC" w:rsidTr="000C2AE4">
        <w:trPr>
          <w:trHeight w:val="1738"/>
        </w:trPr>
        <w:tc>
          <w:tcPr>
            <w:tcW w:w="3256" w:type="dxa"/>
          </w:tcPr>
          <w:p w:rsidR="007A582B" w:rsidRPr="00946EEC" w:rsidRDefault="007A582B" w:rsidP="00523F28">
            <w:pPr>
              <w:rPr>
                <w:rFonts w:ascii="Lato" w:hAnsi="Lato"/>
              </w:rPr>
            </w:pPr>
          </w:p>
          <w:p w:rsidR="007A582B" w:rsidRPr="00946EEC" w:rsidRDefault="007A582B" w:rsidP="00523F28">
            <w:pPr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Authorised person is unavailable</w:t>
            </w:r>
            <w:r w:rsidR="00946EEC" w:rsidRPr="00946EEC">
              <w:rPr>
                <w:rFonts w:ascii="Lato" w:hAnsi="Lato"/>
              </w:rPr>
              <w:br/>
              <w:t xml:space="preserve">               </w:t>
            </w:r>
            <w:r w:rsidR="00167C01" w:rsidRPr="00946EEC">
              <w:rPr>
                <w:rFonts w:ascii="Lato" w:hAnsi="Lato"/>
              </w:rPr>
              <w:t xml:space="preserve">(sick or on leave) </w:t>
            </w:r>
          </w:p>
        </w:tc>
        <w:tc>
          <w:tcPr>
            <w:tcW w:w="7087" w:type="dxa"/>
          </w:tcPr>
          <w:p w:rsidR="007A582B" w:rsidRPr="00946EEC" w:rsidRDefault="006627B1" w:rsidP="00C42F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In the event the authorised person is not available due to leave or sickness and the Scheduled S</w:t>
            </w:r>
            <w:r w:rsidR="004261B1" w:rsidRPr="00946EEC">
              <w:rPr>
                <w:rFonts w:ascii="Lato" w:hAnsi="Lato"/>
              </w:rPr>
              <w:t xml:space="preserve">ubstance is required, a representative will contact XXXXX for advice </w:t>
            </w:r>
          </w:p>
          <w:p w:rsidR="00E34061" w:rsidRPr="00946EEC" w:rsidRDefault="00E34061" w:rsidP="00C42F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 xml:space="preserve">Transfer scheduled substance to a new Authorised person  (if leave is for a longer period of time)  </w:t>
            </w:r>
          </w:p>
        </w:tc>
      </w:tr>
      <w:tr w:rsidR="00167C01" w:rsidRPr="00946EEC" w:rsidTr="000C2AE4">
        <w:trPr>
          <w:trHeight w:val="1447"/>
        </w:trPr>
        <w:tc>
          <w:tcPr>
            <w:tcW w:w="3256" w:type="dxa"/>
          </w:tcPr>
          <w:p w:rsidR="00B963FF" w:rsidRPr="00946EEC" w:rsidRDefault="00B963FF" w:rsidP="006627B1">
            <w:pPr>
              <w:rPr>
                <w:rFonts w:ascii="Lato" w:hAnsi="Lato"/>
              </w:rPr>
            </w:pPr>
          </w:p>
          <w:p w:rsidR="00167C01" w:rsidRPr="00946EEC" w:rsidRDefault="00B963FF" w:rsidP="006627B1">
            <w:pPr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br/>
            </w:r>
            <w:r w:rsidR="00167C01" w:rsidRPr="00946EEC">
              <w:rPr>
                <w:rFonts w:ascii="Lato" w:hAnsi="Lato"/>
              </w:rPr>
              <w:t xml:space="preserve">Emergency situation </w:t>
            </w:r>
          </w:p>
        </w:tc>
        <w:tc>
          <w:tcPr>
            <w:tcW w:w="7087" w:type="dxa"/>
          </w:tcPr>
          <w:p w:rsidR="006627B1" w:rsidRPr="00946EEC" w:rsidRDefault="00FB57A7" w:rsidP="00C42F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I</w:t>
            </w:r>
            <w:r w:rsidR="001F60F9" w:rsidRPr="00946EEC">
              <w:rPr>
                <w:rFonts w:ascii="Lato" w:hAnsi="Lato"/>
              </w:rPr>
              <w:t>f there is</w:t>
            </w:r>
            <w:r w:rsidRPr="00946EEC">
              <w:rPr>
                <w:rFonts w:ascii="Lato" w:hAnsi="Lato"/>
              </w:rPr>
              <w:t xml:space="preserve"> potential that the substance will be compromised then the</w:t>
            </w:r>
            <w:r w:rsidR="00167C01" w:rsidRPr="00946EEC">
              <w:rPr>
                <w:rFonts w:ascii="Lato" w:hAnsi="Lato"/>
              </w:rPr>
              <w:t xml:space="preserve"> Authorised person will return scheduled substance to place of purchase (if</w:t>
            </w:r>
            <w:r w:rsidRPr="00946EEC">
              <w:rPr>
                <w:rFonts w:ascii="Lato" w:hAnsi="Lato"/>
              </w:rPr>
              <w:t xml:space="preserve"> time permitted</w:t>
            </w:r>
            <w:r w:rsidR="00167C01" w:rsidRPr="00946EEC">
              <w:rPr>
                <w:rFonts w:ascii="Lato" w:hAnsi="Lato"/>
              </w:rPr>
              <w:t xml:space="preserve">) </w:t>
            </w:r>
          </w:p>
          <w:p w:rsidR="00FB57A7" w:rsidRPr="00946EEC" w:rsidRDefault="00167C01" w:rsidP="00C42F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If not able to return the substan</w:t>
            </w:r>
            <w:r w:rsidR="006627B1" w:rsidRPr="00946EEC">
              <w:rPr>
                <w:rFonts w:ascii="Lato" w:hAnsi="Lato"/>
              </w:rPr>
              <w:t xml:space="preserve">ce, then </w:t>
            </w:r>
            <w:r w:rsidRPr="00946EEC">
              <w:rPr>
                <w:rFonts w:ascii="Lato" w:hAnsi="Lato"/>
              </w:rPr>
              <w:t xml:space="preserve"> every effort is to be made to ensure the security</w:t>
            </w:r>
            <w:r w:rsidR="00FB57A7" w:rsidRPr="00946EEC">
              <w:rPr>
                <w:rFonts w:ascii="Lato" w:hAnsi="Lato"/>
              </w:rPr>
              <w:t xml:space="preserve"> and safety</w:t>
            </w:r>
            <w:r w:rsidRPr="00946EEC">
              <w:rPr>
                <w:rFonts w:ascii="Lato" w:hAnsi="Lato"/>
              </w:rPr>
              <w:t xml:space="preserve"> of the substance</w:t>
            </w:r>
          </w:p>
          <w:p w:rsidR="00167C01" w:rsidRPr="00946EEC" w:rsidRDefault="00FB57A7" w:rsidP="00C42F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 xml:space="preserve">Any damage will be assessed after the event and reported to Medicines and Poisons: </w:t>
            </w:r>
            <w:r w:rsidR="00167C01" w:rsidRPr="00946EEC">
              <w:rPr>
                <w:rFonts w:ascii="Lato" w:hAnsi="Lato"/>
              </w:rPr>
              <w:t xml:space="preserve"> </w:t>
            </w:r>
            <w:hyperlink r:id="rId14" w:history="1">
              <w:r w:rsidRPr="00946EEC">
                <w:rPr>
                  <w:rStyle w:val="Hyperlink"/>
                  <w:rFonts w:ascii="Lato" w:hAnsi="Lato"/>
                </w:rPr>
                <w:t>poisonscontrol@nt.gov.au</w:t>
              </w:r>
            </w:hyperlink>
          </w:p>
        </w:tc>
      </w:tr>
      <w:tr w:rsidR="00167C01" w:rsidRPr="00946EEC" w:rsidTr="000C2AE4">
        <w:trPr>
          <w:trHeight w:val="691"/>
        </w:trPr>
        <w:tc>
          <w:tcPr>
            <w:tcW w:w="3256" w:type="dxa"/>
          </w:tcPr>
          <w:p w:rsidR="00167C01" w:rsidRPr="00946EEC" w:rsidRDefault="006627B1" w:rsidP="00523F28">
            <w:pPr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br/>
            </w:r>
            <w:r w:rsidR="00167C01" w:rsidRPr="00946EEC">
              <w:rPr>
                <w:rFonts w:ascii="Lato" w:hAnsi="Lato"/>
              </w:rPr>
              <w:t xml:space="preserve">Record management </w:t>
            </w:r>
          </w:p>
        </w:tc>
        <w:tc>
          <w:tcPr>
            <w:tcW w:w="7087" w:type="dxa"/>
          </w:tcPr>
          <w:p w:rsidR="00167C01" w:rsidRPr="00946EEC" w:rsidRDefault="00167C01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A record</w:t>
            </w:r>
            <w:r w:rsidR="006627B1" w:rsidRPr="00946EEC">
              <w:rPr>
                <w:rFonts w:ascii="Lato" w:hAnsi="Lato"/>
              </w:rPr>
              <w:t xml:space="preserve"> of use</w:t>
            </w:r>
            <w:r w:rsidRPr="00946EEC">
              <w:rPr>
                <w:rFonts w:ascii="Lato" w:hAnsi="Lato"/>
              </w:rPr>
              <w:t xml:space="preserve"> will be kept for a minimum two year period </w:t>
            </w:r>
            <w:r w:rsidR="006627B1" w:rsidRPr="00946EEC">
              <w:rPr>
                <w:rFonts w:ascii="Lato" w:hAnsi="Lato"/>
              </w:rPr>
              <w:t>and be made available for inspection by the NT Department of Health</w:t>
            </w:r>
            <w:r w:rsidR="00FB57A7" w:rsidRPr="00946EEC">
              <w:rPr>
                <w:rFonts w:ascii="Lato" w:hAnsi="Lato"/>
              </w:rPr>
              <w:t xml:space="preserve"> if requested. </w:t>
            </w:r>
          </w:p>
          <w:p w:rsidR="006627B1" w:rsidRPr="00946EEC" w:rsidRDefault="006627B1" w:rsidP="006627B1">
            <w:pPr>
              <w:spacing w:after="0" w:line="240" w:lineRule="auto"/>
              <w:ind w:left="34"/>
              <w:contextualSpacing/>
              <w:rPr>
                <w:rFonts w:ascii="Lato" w:hAnsi="Lato"/>
              </w:rPr>
            </w:pPr>
          </w:p>
        </w:tc>
      </w:tr>
      <w:tr w:rsidR="0092453C" w:rsidRPr="00946EEC" w:rsidTr="000C2AE4">
        <w:trPr>
          <w:trHeight w:val="691"/>
        </w:trPr>
        <w:tc>
          <w:tcPr>
            <w:tcW w:w="3256" w:type="dxa"/>
          </w:tcPr>
          <w:p w:rsidR="0092453C" w:rsidRPr="00946EEC" w:rsidRDefault="0092453C" w:rsidP="00523F28">
            <w:pPr>
              <w:rPr>
                <w:rFonts w:ascii="Lato" w:hAnsi="Lato"/>
              </w:rPr>
            </w:pPr>
          </w:p>
          <w:p w:rsidR="0092453C" w:rsidRPr="00946EEC" w:rsidRDefault="0092453C" w:rsidP="00523F28">
            <w:pPr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Authorised person’s name and contact details</w:t>
            </w:r>
          </w:p>
        </w:tc>
        <w:tc>
          <w:tcPr>
            <w:tcW w:w="7087" w:type="dxa"/>
          </w:tcPr>
          <w:p w:rsidR="0092453C" w:rsidRPr="00946EEC" w:rsidRDefault="00D50E4B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>Name</w:t>
            </w:r>
          </w:p>
          <w:p w:rsidR="00D50E4B" w:rsidRPr="00946EEC" w:rsidRDefault="00D50E4B" w:rsidP="00C42F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Lato" w:hAnsi="Lato"/>
              </w:rPr>
            </w:pPr>
            <w:r w:rsidRPr="00946EEC">
              <w:rPr>
                <w:rFonts w:ascii="Lato" w:hAnsi="Lato"/>
              </w:rPr>
              <w:t xml:space="preserve">Contact details </w:t>
            </w:r>
          </w:p>
        </w:tc>
      </w:tr>
    </w:tbl>
    <w:p w:rsidR="00017B53" w:rsidRPr="00946EEC" w:rsidRDefault="00017B53" w:rsidP="00017B53">
      <w:pPr>
        <w:rPr>
          <w:rFonts w:ascii="Lato" w:hAnsi="Lato"/>
        </w:rPr>
      </w:pPr>
      <w:r w:rsidRPr="00946EEC">
        <w:rPr>
          <w:rFonts w:ascii="Lato" w:hAnsi="Lato"/>
        </w:rPr>
        <w:br/>
      </w:r>
    </w:p>
    <w:p w:rsidR="00017B53" w:rsidRPr="00946EEC" w:rsidRDefault="00017B53" w:rsidP="00017B53">
      <w:pPr>
        <w:rPr>
          <w:rFonts w:ascii="Lato" w:hAnsi="Lato"/>
        </w:rPr>
      </w:pPr>
      <w:r w:rsidRPr="00946EEC">
        <w:rPr>
          <w:rFonts w:ascii="Lato" w:hAnsi="Lato"/>
        </w:rPr>
        <w:t>Signed _________________________________</w:t>
      </w:r>
      <w:r w:rsidR="00A11405" w:rsidRPr="00946EEC">
        <w:rPr>
          <w:rFonts w:ascii="Lato" w:hAnsi="Lato"/>
        </w:rPr>
        <w:tab/>
      </w:r>
      <w:r w:rsidR="00A11405" w:rsidRPr="00946EEC">
        <w:rPr>
          <w:rFonts w:ascii="Lato" w:hAnsi="Lato"/>
        </w:rPr>
        <w:tab/>
      </w:r>
      <w:r w:rsidR="00A11405" w:rsidRPr="00946EEC">
        <w:rPr>
          <w:rFonts w:ascii="Lato" w:hAnsi="Lato"/>
        </w:rPr>
        <w:tab/>
        <w:t>Date______________________</w:t>
      </w:r>
    </w:p>
    <w:p w:rsidR="00017B53" w:rsidRPr="00946EEC" w:rsidRDefault="00017B53" w:rsidP="00017B53">
      <w:pPr>
        <w:rPr>
          <w:rFonts w:ascii="Lato" w:hAnsi="Lato"/>
        </w:rPr>
      </w:pPr>
    </w:p>
    <w:p w:rsidR="00B14257" w:rsidRPr="00946EEC" w:rsidRDefault="00017B53" w:rsidP="00017B53">
      <w:pPr>
        <w:rPr>
          <w:rFonts w:ascii="Lato" w:hAnsi="Lato"/>
        </w:rPr>
      </w:pPr>
      <w:r w:rsidRPr="00946EEC">
        <w:rPr>
          <w:rFonts w:ascii="Lato" w:hAnsi="Lato"/>
        </w:rPr>
        <w:t>Print name______________________________</w:t>
      </w:r>
    </w:p>
    <w:p w:rsidR="00A11405" w:rsidRPr="00946EEC" w:rsidRDefault="00A11405" w:rsidP="00017B53">
      <w:pPr>
        <w:rPr>
          <w:rFonts w:ascii="Lato" w:hAnsi="Lato"/>
        </w:rPr>
      </w:pPr>
    </w:p>
    <w:p w:rsidR="000B10F3" w:rsidRPr="00946EEC" w:rsidRDefault="00A11405" w:rsidP="00017B53">
      <w:pPr>
        <w:rPr>
          <w:rFonts w:ascii="Lato" w:hAnsi="Lato"/>
        </w:rPr>
      </w:pPr>
      <w:r w:rsidRPr="00946EEC">
        <w:rPr>
          <w:rFonts w:ascii="Lato" w:hAnsi="Lato"/>
        </w:rPr>
        <w:t xml:space="preserve">Date for </w:t>
      </w:r>
      <w:r w:rsidR="00167C01" w:rsidRPr="00946EEC">
        <w:rPr>
          <w:rFonts w:ascii="Lato" w:hAnsi="Lato"/>
        </w:rPr>
        <w:t>review _</w:t>
      </w:r>
      <w:r w:rsidRPr="00946EEC">
        <w:rPr>
          <w:rFonts w:ascii="Lato" w:hAnsi="Lato"/>
        </w:rPr>
        <w:t>________________________</w:t>
      </w:r>
    </w:p>
    <w:p w:rsidR="00A11405" w:rsidRPr="00946EEC" w:rsidRDefault="00A11405" w:rsidP="000B10F3">
      <w:pPr>
        <w:ind w:firstLine="284"/>
        <w:rPr>
          <w:rFonts w:ascii="Lato" w:hAnsi="Lato"/>
        </w:rPr>
      </w:pPr>
    </w:p>
    <w:sectPr w:rsidR="00A11405" w:rsidRPr="00946EEC" w:rsidSect="00A567E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50" w:rsidRDefault="00E14F50" w:rsidP="007332FF">
      <w:r>
        <w:separator/>
      </w:r>
    </w:p>
  </w:endnote>
  <w:endnote w:type="continuationSeparator" w:id="0">
    <w:p w:rsidR="00E14F50" w:rsidRDefault="00E14F5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261B1">
                <w:rPr>
                  <w:rStyle w:val="PageNumber"/>
                  <w:b/>
                </w:rPr>
                <w:t>Health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47DC7" w:rsidRPr="00CE6614" w:rsidRDefault="00E14F5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7-0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17B53">
                <w:rPr>
                  <w:rStyle w:val="PageNumber"/>
                </w:rPr>
                <w:t>7 July 2022</w:t>
              </w:r>
            </w:sdtContent>
          </w:sdt>
          <w:r w:rsidR="004261B1">
            <w:rPr>
              <w:rStyle w:val="PageNumber"/>
            </w:rPr>
            <w:t xml:space="preserve"> | Version 1</w:t>
          </w:r>
          <w:r w:rsidR="00D47DC7">
            <w:rPr>
              <w:rStyle w:val="PageNumber"/>
            </w:rPr>
            <w:t xml:space="preserve"> 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201F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201F3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017B53">
            <w:rPr>
              <w:rStyle w:val="PageNumber"/>
              <w:b/>
            </w:rPr>
            <w:t>Health</w:t>
          </w:r>
        </w:p>
        <w:p w:rsidR="00D47DC7" w:rsidRPr="00CE6614" w:rsidRDefault="00E14F5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7-0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17B53">
                <w:rPr>
                  <w:rStyle w:val="PageNumber"/>
                </w:rPr>
                <w:t>7 July 2022</w:t>
              </w:r>
            </w:sdtContent>
          </w:sdt>
          <w:r w:rsidR="00D47DC7" w:rsidRPr="00CE6614">
            <w:rPr>
              <w:rStyle w:val="PageNumber"/>
            </w:rPr>
            <w:t xml:space="preserve"> | Version </w:t>
          </w:r>
          <w:r w:rsidR="00017B53">
            <w:rPr>
              <w:rStyle w:val="PageNumber"/>
            </w:rPr>
            <w:t>1</w:t>
          </w:r>
          <w:r w:rsidR="00D47DC7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201F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201F3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50" w:rsidRDefault="00E14F50" w:rsidP="007332FF">
      <w:r>
        <w:separator/>
      </w:r>
    </w:p>
  </w:footnote>
  <w:footnote w:type="continuationSeparator" w:id="0">
    <w:p w:rsidR="00E14F50" w:rsidRDefault="00E14F50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E14F5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6E2B">
          <w:t>Medicines and Poisons Control information Sheet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9E" w:rsidRPr="007A582B" w:rsidRDefault="00017B53" w:rsidP="00435082">
    <w:pPr>
      <w:pStyle w:val="Title"/>
      <w:rPr>
        <w:sz w:val="32"/>
      </w:rPr>
    </w:pPr>
    <w:r w:rsidRPr="007A582B">
      <w:rPr>
        <w:noProof/>
        <w:sz w:val="56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5306060</wp:posOffset>
          </wp:positionH>
          <wp:positionV relativeFrom="paragraph">
            <wp:posOffset>-304165</wp:posOffset>
          </wp:positionV>
          <wp:extent cx="1572260" cy="561340"/>
          <wp:effectExtent l="0" t="0" r="8890" b="0"/>
          <wp:wrapThrough wrapText="bothSides">
            <wp:wrapPolygon edited="0">
              <wp:start x="0" y="0"/>
              <wp:lineTo x="0" y="20525"/>
              <wp:lineTo x="21460" y="20525"/>
              <wp:lineTo x="21460" y="0"/>
              <wp:lineTo x="0" y="0"/>
            </wp:wrapPolygon>
          </wp:wrapThrough>
          <wp:docPr id="2" name="Picture 2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Style w:val="TitleChar"/>
          <w:sz w:val="32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5A6E2B">
          <w:rPr>
            <w:rStyle w:val="TitleChar"/>
            <w:sz w:val="32"/>
          </w:rPr>
          <w:t>Medicines and Poisons Control information Sheet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73C"/>
    <w:multiLevelType w:val="hybridMultilevel"/>
    <w:tmpl w:val="6F6E4AD4"/>
    <w:lvl w:ilvl="0" w:tplc="0C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07207B4"/>
    <w:multiLevelType w:val="hybridMultilevel"/>
    <w:tmpl w:val="33164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8AB323D"/>
    <w:multiLevelType w:val="hybridMultilevel"/>
    <w:tmpl w:val="22D00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039604A"/>
    <w:multiLevelType w:val="hybridMultilevel"/>
    <w:tmpl w:val="8A22A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D0679"/>
    <w:multiLevelType w:val="hybridMultilevel"/>
    <w:tmpl w:val="E938BB2C"/>
    <w:lvl w:ilvl="0" w:tplc="4A04DC90">
      <w:numFmt w:val="bullet"/>
      <w:lvlText w:val="•"/>
      <w:lvlJc w:val="left"/>
      <w:pPr>
        <w:ind w:left="36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ABD5E33"/>
    <w:multiLevelType w:val="hybridMultilevel"/>
    <w:tmpl w:val="280822FC"/>
    <w:lvl w:ilvl="0" w:tplc="4A04DC90">
      <w:numFmt w:val="bullet"/>
      <w:lvlText w:val="•"/>
      <w:lvlJc w:val="left"/>
      <w:pPr>
        <w:ind w:left="36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6239006C"/>
    <w:multiLevelType w:val="hybridMultilevel"/>
    <w:tmpl w:val="98021D54"/>
    <w:lvl w:ilvl="0" w:tplc="4A04DC90">
      <w:numFmt w:val="bullet"/>
      <w:lvlText w:val="•"/>
      <w:lvlJc w:val="left"/>
      <w:pPr>
        <w:ind w:left="36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0" w15:restartNumberingAfterBreak="0">
    <w:nsid w:val="763E70B0"/>
    <w:multiLevelType w:val="hybridMultilevel"/>
    <w:tmpl w:val="ABBCEDDE"/>
    <w:lvl w:ilvl="0" w:tplc="4A04DC90">
      <w:numFmt w:val="bullet"/>
      <w:lvlText w:val="•"/>
      <w:lvlJc w:val="left"/>
      <w:pPr>
        <w:ind w:left="36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3"/>
  </w:num>
  <w:num w:numId="3">
    <w:abstractNumId w:val="41"/>
  </w:num>
  <w:num w:numId="4">
    <w:abstractNumId w:val="25"/>
  </w:num>
  <w:num w:numId="5">
    <w:abstractNumId w:val="17"/>
  </w:num>
  <w:num w:numId="6">
    <w:abstractNumId w:val="9"/>
  </w:num>
  <w:num w:numId="7">
    <w:abstractNumId w:val="29"/>
  </w:num>
  <w:num w:numId="8">
    <w:abstractNumId w:val="16"/>
  </w:num>
  <w:num w:numId="9">
    <w:abstractNumId w:val="5"/>
  </w:num>
  <w:num w:numId="10">
    <w:abstractNumId w:val="22"/>
  </w:num>
  <w:num w:numId="11">
    <w:abstractNumId w:val="27"/>
  </w:num>
  <w:num w:numId="12">
    <w:abstractNumId w:val="0"/>
  </w:num>
  <w:num w:numId="13">
    <w:abstractNumId w:val="33"/>
  </w:num>
  <w:num w:numId="14">
    <w:abstractNumId w:val="36"/>
  </w:num>
  <w:num w:numId="15">
    <w:abstractNumId w:val="40"/>
  </w:num>
  <w:num w:numId="16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53"/>
    <w:rsid w:val="00001DDF"/>
    <w:rsid w:val="0000322D"/>
    <w:rsid w:val="00007670"/>
    <w:rsid w:val="00010665"/>
    <w:rsid w:val="00017B53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10F3"/>
    <w:rsid w:val="000B2CA1"/>
    <w:rsid w:val="000C2AE4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05CD"/>
    <w:rsid w:val="00132658"/>
    <w:rsid w:val="00150DC0"/>
    <w:rsid w:val="0015394D"/>
    <w:rsid w:val="00156CD4"/>
    <w:rsid w:val="0016153B"/>
    <w:rsid w:val="00162207"/>
    <w:rsid w:val="00164A3E"/>
    <w:rsid w:val="00166FF6"/>
    <w:rsid w:val="00167C01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1F60F9"/>
    <w:rsid w:val="00203F1C"/>
    <w:rsid w:val="00206936"/>
    <w:rsid w:val="00206C6F"/>
    <w:rsid w:val="00206FBD"/>
    <w:rsid w:val="00207746"/>
    <w:rsid w:val="002201F3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5F32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1B1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A6E2B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27B1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C28BA"/>
    <w:rsid w:val="006D66F7"/>
    <w:rsid w:val="006D6850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25603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82B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453C"/>
    <w:rsid w:val="00925146"/>
    <w:rsid w:val="00925F0F"/>
    <w:rsid w:val="00932F6B"/>
    <w:rsid w:val="009444F0"/>
    <w:rsid w:val="009468BC"/>
    <w:rsid w:val="00946EE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1405"/>
    <w:rsid w:val="00A12B64"/>
    <w:rsid w:val="00A22C38"/>
    <w:rsid w:val="00A25193"/>
    <w:rsid w:val="00A253CE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3FF"/>
    <w:rsid w:val="00B96513"/>
    <w:rsid w:val="00B973D7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2F3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0E4B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4F50"/>
    <w:rsid w:val="00E15816"/>
    <w:rsid w:val="00E160D5"/>
    <w:rsid w:val="00E239FF"/>
    <w:rsid w:val="00E27D7B"/>
    <w:rsid w:val="00E30556"/>
    <w:rsid w:val="00E30981"/>
    <w:rsid w:val="00E33136"/>
    <w:rsid w:val="00E34061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EF7FF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3128"/>
    <w:rsid w:val="00FB55D5"/>
    <w:rsid w:val="00FB57A7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F3F62-A8D2-43F4-818A-2BF736BC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B53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Theme="minorHAnsi" w:eastAsiaTheme="minorHAnsi" w:hAnsiTheme="minorHAnsi" w:cstheme="minorBidi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Theme="minorHAnsi" w:eastAsiaTheme="minorHAnsi" w:hAnsiTheme="minorHAnsi" w:cstheme="minorBidi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Theme="minorHAnsi" w:eastAsiaTheme="minorHAnsi" w:hAnsiTheme="minorHAnsi" w:cstheme="minorBidi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Theme="minorHAnsi" w:eastAsiaTheme="minorHAnsi" w:hAnsiTheme="minorHAnsi" w:cstheme="minorBidi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Theme="minorHAnsi" w:eastAsiaTheme="minorHAnsi" w:hAnsiTheme="minorHAnsi" w:cstheme="minorBidi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isonscontrol@nt.gov.a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isonscontrol@nt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isonscontrol@nt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usinessemail@businessemail.com.a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oisonscontrol@nt.gov.au" TargetMode="External"/><Relationship Id="rId14" Type="http://schemas.openxmlformats.org/officeDocument/2006/relationships/hyperlink" Target="mailto:poisonscontrol@nt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BFCD14-C4A1-4D10-894B-1674572E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Medicines and Poisons Control information Sheet</vt:lpstr>
    </vt:vector>
  </TitlesOfParts>
  <Company>Health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Medicines and Poisons Control information Sheet</dc:title>
  <dc:creator>Northern Territory Government</dc:creator>
  <cp:lastModifiedBy>Itimai Kamkulna</cp:lastModifiedBy>
  <cp:revision>2</cp:revision>
  <cp:lastPrinted>2019-07-29T01:45:00Z</cp:lastPrinted>
  <dcterms:created xsi:type="dcterms:W3CDTF">2022-10-27T02:51:00Z</dcterms:created>
  <dcterms:modified xsi:type="dcterms:W3CDTF">2022-10-27T02:51:00Z</dcterms:modified>
</cp:coreProperties>
</file>