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D1" w:rsidRDefault="00D60BC2" w:rsidP="007B77E4">
      <w:pPr>
        <w:pStyle w:val="Title"/>
        <w:spacing w:after="0"/>
        <w:rPr>
          <w:rStyle w:val="TitleChar"/>
          <w:color w:val="FF0000"/>
          <w:sz w:val="32"/>
          <w:szCs w:val="32"/>
        </w:rPr>
      </w:pPr>
      <w:bookmarkStart w:id="0" w:name="_GoBack"/>
      <w:bookmarkEnd w:id="0"/>
      <w:r>
        <w:rPr>
          <w:rStyle w:val="TitleChar"/>
        </w:rPr>
        <w:t xml:space="preserve">Northern </w:t>
      </w:r>
      <w:r w:rsidR="00840932">
        <w:rPr>
          <w:rStyle w:val="TitleChar"/>
        </w:rPr>
        <w:t>Territory Recycling</w:t>
      </w:r>
      <w:r w:rsidR="006A2444">
        <w:rPr>
          <w:rStyle w:val="TitleChar"/>
        </w:rPr>
        <w:t xml:space="preserve"> </w:t>
      </w:r>
      <w:r w:rsidR="0016788B">
        <w:rPr>
          <w:rStyle w:val="TitleChar"/>
        </w:rPr>
        <w:t xml:space="preserve">Modernisation </w:t>
      </w:r>
      <w:bookmarkStart w:id="1" w:name="_Toc15286907"/>
      <w:bookmarkStart w:id="2" w:name="_Toc15286861"/>
      <w:r w:rsidR="006A2444">
        <w:rPr>
          <w:rStyle w:val="TitleChar"/>
        </w:rPr>
        <w:t>Fund</w:t>
      </w:r>
      <w:r w:rsidR="00FE460C">
        <w:rPr>
          <w:rStyle w:val="TitleChar"/>
        </w:rPr>
        <w:t xml:space="preserve"> </w:t>
      </w:r>
      <w:r w:rsidR="002B6A68">
        <w:rPr>
          <w:rStyle w:val="TitleChar"/>
        </w:rPr>
        <w:t>– Round 2</w:t>
      </w:r>
      <w:r w:rsidR="008B21AD">
        <w:rPr>
          <w:rStyle w:val="TitleChar"/>
        </w:rPr>
        <w:br/>
      </w:r>
      <w:bookmarkEnd w:id="1"/>
      <w:bookmarkEnd w:id="2"/>
    </w:p>
    <w:p w:rsidR="00FD7EE8" w:rsidRPr="00FD7EE8" w:rsidRDefault="00FD7EE8" w:rsidP="00FD7EE8"/>
    <w:p w:rsidR="00D61FD1" w:rsidRDefault="009B5CED" w:rsidP="00D61FD1">
      <w:pPr>
        <w:pStyle w:val="Heading1"/>
        <w:rPr>
          <w:lang w:eastAsia="en-AU"/>
        </w:rPr>
      </w:pPr>
      <w:bookmarkStart w:id="3" w:name="_Toc118897464"/>
      <w:r>
        <w:rPr>
          <w:lang w:eastAsia="en-AU"/>
        </w:rPr>
        <w:t>Terms and Conditions</w:t>
      </w:r>
      <w:bookmarkEnd w:id="3"/>
      <w:r w:rsidR="00FD7EE8">
        <w:rPr>
          <w:lang w:eastAsia="en-AU"/>
        </w:rPr>
        <w:t xml:space="preserve"> </w:t>
      </w:r>
    </w:p>
    <w:p w:rsidR="00FD7EE8" w:rsidRDefault="00EF76A6" w:rsidP="00FD7EE8">
      <w:pPr>
        <w:rPr>
          <w:lang w:eastAsia="en-AU"/>
        </w:rPr>
      </w:pPr>
      <w:r>
        <w:rPr>
          <w:lang w:eastAsia="en-AU"/>
        </w:rPr>
        <w:t xml:space="preserve"> </w:t>
      </w:r>
    </w:p>
    <w:p w:rsidR="00772E62" w:rsidRDefault="00772E62">
      <w:pPr>
        <w:rPr>
          <w:lang w:eastAsia="en-AU"/>
        </w:rPr>
      </w:pPr>
      <w:r>
        <w:rPr>
          <w:lang w:eastAsia="en-AU"/>
        </w:rPr>
        <w:br w:type="page"/>
      </w:r>
    </w:p>
    <w:sdt>
      <w:sdtPr>
        <w:rPr>
          <w:rFonts w:ascii="Lato" w:eastAsia="Calibri" w:hAnsi="Lato"/>
          <w:color w:val="auto"/>
          <w:sz w:val="22"/>
          <w:szCs w:val="22"/>
        </w:rPr>
        <w:id w:val="919527762"/>
        <w:docPartObj>
          <w:docPartGallery w:val="Table of Contents"/>
          <w:docPartUnique/>
        </w:docPartObj>
      </w:sdtPr>
      <w:sdtEndPr>
        <w:rPr>
          <w:b/>
          <w:bCs/>
          <w:noProof/>
        </w:rPr>
      </w:sdtEndPr>
      <w:sdtContent>
        <w:p w:rsidR="009B5CED" w:rsidRDefault="009B5CED">
          <w:pPr>
            <w:pStyle w:val="TOCHeading"/>
          </w:pPr>
          <w:r>
            <w:t>Contents</w:t>
          </w:r>
        </w:p>
        <w:p w:rsidR="003C25C9" w:rsidRDefault="009B5CED">
          <w:pPr>
            <w:pStyle w:val="TOC1"/>
            <w:tabs>
              <w:tab w:val="right" w:leader="dot" w:pos="10308"/>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118897464" w:history="1">
            <w:r w:rsidR="003C25C9" w:rsidRPr="00784C95">
              <w:rPr>
                <w:rStyle w:val="Hyperlink"/>
                <w:noProof/>
                <w:lang w:eastAsia="en-AU"/>
              </w:rPr>
              <w:t>Terms and Conditions</w:t>
            </w:r>
            <w:r w:rsidR="003C25C9">
              <w:rPr>
                <w:noProof/>
                <w:webHidden/>
              </w:rPr>
              <w:tab/>
            </w:r>
            <w:r w:rsidR="003C25C9">
              <w:rPr>
                <w:noProof/>
                <w:webHidden/>
              </w:rPr>
              <w:fldChar w:fldCharType="begin"/>
            </w:r>
            <w:r w:rsidR="003C25C9">
              <w:rPr>
                <w:noProof/>
                <w:webHidden/>
              </w:rPr>
              <w:instrText xml:space="preserve"> PAGEREF _Toc118897464 \h </w:instrText>
            </w:r>
            <w:r w:rsidR="003C25C9">
              <w:rPr>
                <w:noProof/>
                <w:webHidden/>
              </w:rPr>
            </w:r>
            <w:r w:rsidR="003C25C9">
              <w:rPr>
                <w:noProof/>
                <w:webHidden/>
              </w:rPr>
              <w:fldChar w:fldCharType="separate"/>
            </w:r>
            <w:r w:rsidR="003C25C9">
              <w:rPr>
                <w:noProof/>
                <w:webHidden/>
              </w:rPr>
              <w:t>1</w:t>
            </w:r>
            <w:r w:rsidR="003C25C9">
              <w:rPr>
                <w:noProof/>
                <w:webHidden/>
              </w:rPr>
              <w:fldChar w:fldCharType="end"/>
            </w:r>
          </w:hyperlink>
        </w:p>
        <w:p w:rsidR="003C25C9" w:rsidRDefault="009C1C99">
          <w:pPr>
            <w:pStyle w:val="TOC1"/>
            <w:tabs>
              <w:tab w:val="left" w:pos="440"/>
              <w:tab w:val="right" w:leader="dot" w:pos="10308"/>
            </w:tabs>
            <w:rPr>
              <w:rFonts w:asciiTheme="minorHAnsi" w:eastAsiaTheme="minorEastAsia" w:hAnsiTheme="minorHAnsi" w:cstheme="minorBidi"/>
              <w:noProof/>
              <w:lang w:eastAsia="en-AU"/>
            </w:rPr>
          </w:pPr>
          <w:hyperlink w:anchor="_Toc118897465" w:history="1">
            <w:r w:rsidR="003C25C9" w:rsidRPr="00784C95">
              <w:rPr>
                <w:rStyle w:val="Hyperlink"/>
                <w:noProof/>
                <w:lang w:eastAsia="en-AU"/>
              </w:rPr>
              <w:t>1.</w:t>
            </w:r>
            <w:r w:rsidR="003C25C9">
              <w:rPr>
                <w:rFonts w:asciiTheme="minorHAnsi" w:eastAsiaTheme="minorEastAsia" w:hAnsiTheme="minorHAnsi" w:cstheme="minorBidi"/>
                <w:noProof/>
                <w:lang w:eastAsia="en-AU"/>
              </w:rPr>
              <w:tab/>
            </w:r>
            <w:r w:rsidR="003C25C9" w:rsidRPr="00784C95">
              <w:rPr>
                <w:rStyle w:val="Hyperlink"/>
                <w:noProof/>
                <w:lang w:eastAsia="en-AU"/>
              </w:rPr>
              <w:t>Introduction</w:t>
            </w:r>
            <w:r w:rsidR="003C25C9">
              <w:rPr>
                <w:noProof/>
                <w:webHidden/>
              </w:rPr>
              <w:tab/>
            </w:r>
            <w:r w:rsidR="003C25C9">
              <w:rPr>
                <w:noProof/>
                <w:webHidden/>
              </w:rPr>
              <w:fldChar w:fldCharType="begin"/>
            </w:r>
            <w:r w:rsidR="003C25C9">
              <w:rPr>
                <w:noProof/>
                <w:webHidden/>
              </w:rPr>
              <w:instrText xml:space="preserve"> PAGEREF _Toc118897465 \h </w:instrText>
            </w:r>
            <w:r w:rsidR="003C25C9">
              <w:rPr>
                <w:noProof/>
                <w:webHidden/>
              </w:rPr>
            </w:r>
            <w:r w:rsidR="003C25C9">
              <w:rPr>
                <w:noProof/>
                <w:webHidden/>
              </w:rPr>
              <w:fldChar w:fldCharType="separate"/>
            </w:r>
            <w:r w:rsidR="003C25C9">
              <w:rPr>
                <w:noProof/>
                <w:webHidden/>
              </w:rPr>
              <w:t>3</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66" w:history="1">
            <w:r w:rsidR="003C25C9" w:rsidRPr="00784C95">
              <w:rPr>
                <w:rStyle w:val="Hyperlink"/>
                <w:noProof/>
                <w:lang w:eastAsia="en-AU"/>
              </w:rPr>
              <w:t xml:space="preserve">2. </w:t>
            </w:r>
            <w:r w:rsidR="003C25C9">
              <w:rPr>
                <w:rFonts w:asciiTheme="minorHAnsi" w:eastAsiaTheme="minorEastAsia" w:hAnsiTheme="minorHAnsi" w:cstheme="minorBidi"/>
                <w:noProof/>
                <w:lang w:eastAsia="en-AU"/>
              </w:rPr>
              <w:tab/>
            </w:r>
            <w:r w:rsidR="003C25C9" w:rsidRPr="00784C95">
              <w:rPr>
                <w:rStyle w:val="Hyperlink"/>
                <w:noProof/>
                <w:lang w:eastAsia="en-AU"/>
              </w:rPr>
              <w:t>Background</w:t>
            </w:r>
            <w:r w:rsidR="003C25C9">
              <w:rPr>
                <w:noProof/>
                <w:webHidden/>
              </w:rPr>
              <w:tab/>
            </w:r>
            <w:r w:rsidR="003C25C9">
              <w:rPr>
                <w:noProof/>
                <w:webHidden/>
              </w:rPr>
              <w:fldChar w:fldCharType="begin"/>
            </w:r>
            <w:r w:rsidR="003C25C9">
              <w:rPr>
                <w:noProof/>
                <w:webHidden/>
              </w:rPr>
              <w:instrText xml:space="preserve"> PAGEREF _Toc118897466 \h </w:instrText>
            </w:r>
            <w:r w:rsidR="003C25C9">
              <w:rPr>
                <w:noProof/>
                <w:webHidden/>
              </w:rPr>
            </w:r>
            <w:r w:rsidR="003C25C9">
              <w:rPr>
                <w:noProof/>
                <w:webHidden/>
              </w:rPr>
              <w:fldChar w:fldCharType="separate"/>
            </w:r>
            <w:r w:rsidR="003C25C9">
              <w:rPr>
                <w:noProof/>
                <w:webHidden/>
              </w:rPr>
              <w:t>3</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67" w:history="1">
            <w:r w:rsidR="003C25C9" w:rsidRPr="00784C95">
              <w:rPr>
                <w:rStyle w:val="Hyperlink"/>
                <w:noProof/>
                <w:lang w:eastAsia="en-AU"/>
              </w:rPr>
              <w:t xml:space="preserve">3. </w:t>
            </w:r>
            <w:r w:rsidR="003C25C9">
              <w:rPr>
                <w:rFonts w:asciiTheme="minorHAnsi" w:eastAsiaTheme="minorEastAsia" w:hAnsiTheme="minorHAnsi" w:cstheme="minorBidi"/>
                <w:noProof/>
                <w:lang w:eastAsia="en-AU"/>
              </w:rPr>
              <w:tab/>
            </w:r>
            <w:r w:rsidR="003C25C9" w:rsidRPr="00784C95">
              <w:rPr>
                <w:rStyle w:val="Hyperlink"/>
                <w:noProof/>
                <w:lang w:eastAsia="en-AU"/>
              </w:rPr>
              <w:t>Program objectives and outcomes</w:t>
            </w:r>
            <w:r w:rsidR="003C25C9">
              <w:rPr>
                <w:noProof/>
                <w:webHidden/>
              </w:rPr>
              <w:tab/>
            </w:r>
            <w:r w:rsidR="003C25C9">
              <w:rPr>
                <w:noProof/>
                <w:webHidden/>
              </w:rPr>
              <w:fldChar w:fldCharType="begin"/>
            </w:r>
            <w:r w:rsidR="003C25C9">
              <w:rPr>
                <w:noProof/>
                <w:webHidden/>
              </w:rPr>
              <w:instrText xml:space="preserve"> PAGEREF _Toc118897467 \h </w:instrText>
            </w:r>
            <w:r w:rsidR="003C25C9">
              <w:rPr>
                <w:noProof/>
                <w:webHidden/>
              </w:rPr>
            </w:r>
            <w:r w:rsidR="003C25C9">
              <w:rPr>
                <w:noProof/>
                <w:webHidden/>
              </w:rPr>
              <w:fldChar w:fldCharType="separate"/>
            </w:r>
            <w:r w:rsidR="003C25C9">
              <w:rPr>
                <w:noProof/>
                <w:webHidden/>
              </w:rPr>
              <w:t>4</w:t>
            </w:r>
            <w:r w:rsidR="003C25C9">
              <w:rPr>
                <w:noProof/>
                <w:webHidden/>
              </w:rPr>
              <w:fldChar w:fldCharType="end"/>
            </w:r>
          </w:hyperlink>
        </w:p>
        <w:p w:rsidR="003C25C9" w:rsidRDefault="009C1C99">
          <w:pPr>
            <w:pStyle w:val="TOC1"/>
            <w:tabs>
              <w:tab w:val="right" w:leader="dot" w:pos="10308"/>
            </w:tabs>
            <w:rPr>
              <w:rFonts w:asciiTheme="minorHAnsi" w:eastAsiaTheme="minorEastAsia" w:hAnsiTheme="minorHAnsi" w:cstheme="minorBidi"/>
              <w:noProof/>
              <w:lang w:eastAsia="en-AU"/>
            </w:rPr>
          </w:pPr>
          <w:hyperlink w:anchor="_Toc118897468" w:history="1">
            <w:r w:rsidR="003C25C9" w:rsidRPr="00784C95">
              <w:rPr>
                <w:rStyle w:val="Hyperlink"/>
                <w:noProof/>
                <w:lang w:eastAsia="en-AU"/>
              </w:rPr>
              <w:t>Definitions</w:t>
            </w:r>
            <w:r w:rsidR="003C25C9">
              <w:rPr>
                <w:noProof/>
                <w:webHidden/>
              </w:rPr>
              <w:tab/>
            </w:r>
            <w:r w:rsidR="003C25C9">
              <w:rPr>
                <w:noProof/>
                <w:webHidden/>
              </w:rPr>
              <w:fldChar w:fldCharType="begin"/>
            </w:r>
            <w:r w:rsidR="003C25C9">
              <w:rPr>
                <w:noProof/>
                <w:webHidden/>
              </w:rPr>
              <w:instrText xml:space="preserve"> PAGEREF _Toc118897468 \h </w:instrText>
            </w:r>
            <w:r w:rsidR="003C25C9">
              <w:rPr>
                <w:noProof/>
                <w:webHidden/>
              </w:rPr>
            </w:r>
            <w:r w:rsidR="003C25C9">
              <w:rPr>
                <w:noProof/>
                <w:webHidden/>
              </w:rPr>
              <w:fldChar w:fldCharType="separate"/>
            </w:r>
            <w:r w:rsidR="003C25C9">
              <w:rPr>
                <w:noProof/>
                <w:webHidden/>
              </w:rPr>
              <w:t>5</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69" w:history="1">
            <w:r w:rsidR="003C25C9" w:rsidRPr="00784C95">
              <w:rPr>
                <w:rStyle w:val="Hyperlink"/>
                <w:noProof/>
                <w:lang w:eastAsia="en-AU"/>
              </w:rPr>
              <w:t xml:space="preserve">4. </w:t>
            </w:r>
            <w:r w:rsidR="003C25C9">
              <w:rPr>
                <w:rFonts w:asciiTheme="minorHAnsi" w:eastAsiaTheme="minorEastAsia" w:hAnsiTheme="minorHAnsi" w:cstheme="minorBidi"/>
                <w:noProof/>
                <w:lang w:eastAsia="en-AU"/>
              </w:rPr>
              <w:tab/>
            </w:r>
            <w:r w:rsidR="003C25C9" w:rsidRPr="00784C95">
              <w:rPr>
                <w:rStyle w:val="Hyperlink"/>
                <w:noProof/>
                <w:lang w:eastAsia="en-AU"/>
              </w:rPr>
              <w:t>Applicant and Project Eligibility</w:t>
            </w:r>
            <w:r w:rsidR="003C25C9">
              <w:rPr>
                <w:noProof/>
                <w:webHidden/>
              </w:rPr>
              <w:tab/>
            </w:r>
            <w:r w:rsidR="003C25C9">
              <w:rPr>
                <w:noProof/>
                <w:webHidden/>
              </w:rPr>
              <w:fldChar w:fldCharType="begin"/>
            </w:r>
            <w:r w:rsidR="003C25C9">
              <w:rPr>
                <w:noProof/>
                <w:webHidden/>
              </w:rPr>
              <w:instrText xml:space="preserve"> PAGEREF _Toc118897469 \h </w:instrText>
            </w:r>
            <w:r w:rsidR="003C25C9">
              <w:rPr>
                <w:noProof/>
                <w:webHidden/>
              </w:rPr>
            </w:r>
            <w:r w:rsidR="003C25C9">
              <w:rPr>
                <w:noProof/>
                <w:webHidden/>
              </w:rPr>
              <w:fldChar w:fldCharType="separate"/>
            </w:r>
            <w:r w:rsidR="003C25C9">
              <w:rPr>
                <w:noProof/>
                <w:webHidden/>
              </w:rPr>
              <w:t>6</w:t>
            </w:r>
            <w:r w:rsidR="003C25C9">
              <w:rPr>
                <w:noProof/>
                <w:webHidden/>
              </w:rPr>
              <w:fldChar w:fldCharType="end"/>
            </w:r>
          </w:hyperlink>
        </w:p>
        <w:p w:rsidR="003C25C9" w:rsidRDefault="009C1C99">
          <w:pPr>
            <w:pStyle w:val="TOC2"/>
            <w:tabs>
              <w:tab w:val="right" w:leader="dot" w:pos="10308"/>
            </w:tabs>
            <w:rPr>
              <w:rFonts w:asciiTheme="minorHAnsi" w:eastAsiaTheme="minorEastAsia" w:hAnsiTheme="minorHAnsi" w:cstheme="minorBidi"/>
              <w:noProof/>
              <w:lang w:eastAsia="en-AU"/>
            </w:rPr>
          </w:pPr>
          <w:hyperlink w:anchor="_Toc118897470" w:history="1">
            <w:r w:rsidR="003C25C9" w:rsidRPr="00784C95">
              <w:rPr>
                <w:rStyle w:val="Hyperlink"/>
                <w:noProof/>
                <w:kern w:val="32"/>
                <w:lang w:eastAsia="en-AU"/>
              </w:rPr>
              <w:t>4.1 Organisation eligibility</w:t>
            </w:r>
            <w:r w:rsidR="003C25C9">
              <w:rPr>
                <w:noProof/>
                <w:webHidden/>
              </w:rPr>
              <w:tab/>
            </w:r>
            <w:r w:rsidR="003C25C9">
              <w:rPr>
                <w:noProof/>
                <w:webHidden/>
              </w:rPr>
              <w:fldChar w:fldCharType="begin"/>
            </w:r>
            <w:r w:rsidR="003C25C9">
              <w:rPr>
                <w:noProof/>
                <w:webHidden/>
              </w:rPr>
              <w:instrText xml:space="preserve"> PAGEREF _Toc118897470 \h </w:instrText>
            </w:r>
            <w:r w:rsidR="003C25C9">
              <w:rPr>
                <w:noProof/>
                <w:webHidden/>
              </w:rPr>
            </w:r>
            <w:r w:rsidR="003C25C9">
              <w:rPr>
                <w:noProof/>
                <w:webHidden/>
              </w:rPr>
              <w:fldChar w:fldCharType="separate"/>
            </w:r>
            <w:r w:rsidR="003C25C9">
              <w:rPr>
                <w:noProof/>
                <w:webHidden/>
              </w:rPr>
              <w:t>6</w:t>
            </w:r>
            <w:r w:rsidR="003C25C9">
              <w:rPr>
                <w:noProof/>
                <w:webHidden/>
              </w:rPr>
              <w:fldChar w:fldCharType="end"/>
            </w:r>
          </w:hyperlink>
        </w:p>
        <w:p w:rsidR="003C25C9" w:rsidRDefault="009C1C99">
          <w:pPr>
            <w:pStyle w:val="TOC2"/>
            <w:tabs>
              <w:tab w:val="left" w:pos="880"/>
              <w:tab w:val="right" w:leader="dot" w:pos="10308"/>
            </w:tabs>
            <w:rPr>
              <w:rFonts w:asciiTheme="minorHAnsi" w:eastAsiaTheme="minorEastAsia" w:hAnsiTheme="minorHAnsi" w:cstheme="minorBidi"/>
              <w:noProof/>
              <w:lang w:eastAsia="en-AU"/>
            </w:rPr>
          </w:pPr>
          <w:hyperlink w:anchor="_Toc118897471" w:history="1">
            <w:r w:rsidR="003C25C9" w:rsidRPr="00784C95">
              <w:rPr>
                <w:rStyle w:val="Hyperlink"/>
                <w:noProof/>
                <w:kern w:val="32"/>
                <w:lang w:eastAsia="en-AU"/>
              </w:rPr>
              <w:t xml:space="preserve">4.2 </w:t>
            </w:r>
            <w:r w:rsidR="003C25C9">
              <w:rPr>
                <w:rFonts w:asciiTheme="minorHAnsi" w:eastAsiaTheme="minorEastAsia" w:hAnsiTheme="minorHAnsi" w:cstheme="minorBidi"/>
                <w:noProof/>
                <w:lang w:eastAsia="en-AU"/>
              </w:rPr>
              <w:tab/>
            </w:r>
            <w:r w:rsidR="003C25C9" w:rsidRPr="00784C95">
              <w:rPr>
                <w:rStyle w:val="Hyperlink"/>
                <w:noProof/>
                <w:kern w:val="32"/>
                <w:lang w:eastAsia="en-AU"/>
              </w:rPr>
              <w:t>Eligible Projects</w:t>
            </w:r>
            <w:r w:rsidR="003C25C9">
              <w:rPr>
                <w:noProof/>
                <w:webHidden/>
              </w:rPr>
              <w:tab/>
            </w:r>
            <w:r w:rsidR="003C25C9">
              <w:rPr>
                <w:noProof/>
                <w:webHidden/>
              </w:rPr>
              <w:fldChar w:fldCharType="begin"/>
            </w:r>
            <w:r w:rsidR="003C25C9">
              <w:rPr>
                <w:noProof/>
                <w:webHidden/>
              </w:rPr>
              <w:instrText xml:space="preserve"> PAGEREF _Toc118897471 \h </w:instrText>
            </w:r>
            <w:r w:rsidR="003C25C9">
              <w:rPr>
                <w:noProof/>
                <w:webHidden/>
              </w:rPr>
            </w:r>
            <w:r w:rsidR="003C25C9">
              <w:rPr>
                <w:noProof/>
                <w:webHidden/>
              </w:rPr>
              <w:fldChar w:fldCharType="separate"/>
            </w:r>
            <w:r w:rsidR="003C25C9">
              <w:rPr>
                <w:noProof/>
                <w:webHidden/>
              </w:rPr>
              <w:t>6</w:t>
            </w:r>
            <w:r w:rsidR="003C25C9">
              <w:rPr>
                <w:noProof/>
                <w:webHidden/>
              </w:rPr>
              <w:fldChar w:fldCharType="end"/>
            </w:r>
          </w:hyperlink>
        </w:p>
        <w:p w:rsidR="003C25C9" w:rsidRDefault="009C1C99">
          <w:pPr>
            <w:pStyle w:val="TOC2"/>
            <w:tabs>
              <w:tab w:val="left" w:pos="880"/>
              <w:tab w:val="right" w:leader="dot" w:pos="10308"/>
            </w:tabs>
            <w:rPr>
              <w:rFonts w:asciiTheme="minorHAnsi" w:eastAsiaTheme="minorEastAsia" w:hAnsiTheme="minorHAnsi" w:cstheme="minorBidi"/>
              <w:noProof/>
              <w:lang w:eastAsia="en-AU"/>
            </w:rPr>
          </w:pPr>
          <w:hyperlink w:anchor="_Toc118897472" w:history="1">
            <w:r w:rsidR="003C25C9" w:rsidRPr="00784C95">
              <w:rPr>
                <w:rStyle w:val="Hyperlink"/>
                <w:noProof/>
                <w:kern w:val="32"/>
                <w:lang w:eastAsia="en-AU"/>
              </w:rPr>
              <w:t xml:space="preserve">4.3 </w:t>
            </w:r>
            <w:r w:rsidR="003C25C9">
              <w:rPr>
                <w:rFonts w:asciiTheme="minorHAnsi" w:eastAsiaTheme="minorEastAsia" w:hAnsiTheme="minorHAnsi" w:cstheme="minorBidi"/>
                <w:noProof/>
                <w:lang w:eastAsia="en-AU"/>
              </w:rPr>
              <w:tab/>
            </w:r>
            <w:r w:rsidR="003C25C9" w:rsidRPr="00784C95">
              <w:rPr>
                <w:rStyle w:val="Hyperlink"/>
                <w:noProof/>
                <w:kern w:val="32"/>
                <w:lang w:eastAsia="en-AU"/>
              </w:rPr>
              <w:t>Eligible project costs</w:t>
            </w:r>
            <w:r w:rsidR="003C25C9">
              <w:rPr>
                <w:noProof/>
                <w:webHidden/>
              </w:rPr>
              <w:tab/>
            </w:r>
            <w:r w:rsidR="003C25C9">
              <w:rPr>
                <w:noProof/>
                <w:webHidden/>
              </w:rPr>
              <w:fldChar w:fldCharType="begin"/>
            </w:r>
            <w:r w:rsidR="003C25C9">
              <w:rPr>
                <w:noProof/>
                <w:webHidden/>
              </w:rPr>
              <w:instrText xml:space="preserve"> PAGEREF _Toc118897472 \h </w:instrText>
            </w:r>
            <w:r w:rsidR="003C25C9">
              <w:rPr>
                <w:noProof/>
                <w:webHidden/>
              </w:rPr>
            </w:r>
            <w:r w:rsidR="003C25C9">
              <w:rPr>
                <w:noProof/>
                <w:webHidden/>
              </w:rPr>
              <w:fldChar w:fldCharType="separate"/>
            </w:r>
            <w:r w:rsidR="003C25C9">
              <w:rPr>
                <w:noProof/>
                <w:webHidden/>
              </w:rPr>
              <w:t>8</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73" w:history="1">
            <w:r w:rsidR="003C25C9" w:rsidRPr="00784C95">
              <w:rPr>
                <w:rStyle w:val="Hyperlink"/>
                <w:noProof/>
                <w:lang w:eastAsia="en-AU"/>
              </w:rPr>
              <w:t xml:space="preserve">5. </w:t>
            </w:r>
            <w:r w:rsidR="003C25C9">
              <w:rPr>
                <w:rFonts w:asciiTheme="minorHAnsi" w:eastAsiaTheme="minorEastAsia" w:hAnsiTheme="minorHAnsi" w:cstheme="minorBidi"/>
                <w:noProof/>
                <w:lang w:eastAsia="en-AU"/>
              </w:rPr>
              <w:tab/>
            </w:r>
            <w:r w:rsidR="003C25C9" w:rsidRPr="00784C95">
              <w:rPr>
                <w:rStyle w:val="Hyperlink"/>
                <w:noProof/>
                <w:lang w:eastAsia="en-AU"/>
              </w:rPr>
              <w:t>Funding arrangements for successful projects</w:t>
            </w:r>
            <w:r w:rsidR="003C25C9">
              <w:rPr>
                <w:noProof/>
                <w:webHidden/>
              </w:rPr>
              <w:tab/>
            </w:r>
            <w:r w:rsidR="003C25C9">
              <w:rPr>
                <w:noProof/>
                <w:webHidden/>
              </w:rPr>
              <w:fldChar w:fldCharType="begin"/>
            </w:r>
            <w:r w:rsidR="003C25C9">
              <w:rPr>
                <w:noProof/>
                <w:webHidden/>
              </w:rPr>
              <w:instrText xml:space="preserve"> PAGEREF _Toc118897473 \h </w:instrText>
            </w:r>
            <w:r w:rsidR="003C25C9">
              <w:rPr>
                <w:noProof/>
                <w:webHidden/>
              </w:rPr>
            </w:r>
            <w:r w:rsidR="003C25C9">
              <w:rPr>
                <w:noProof/>
                <w:webHidden/>
              </w:rPr>
              <w:fldChar w:fldCharType="separate"/>
            </w:r>
            <w:r w:rsidR="003C25C9">
              <w:rPr>
                <w:noProof/>
                <w:webHidden/>
              </w:rPr>
              <w:t>9</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74" w:history="1">
            <w:r w:rsidR="003C25C9" w:rsidRPr="00784C95">
              <w:rPr>
                <w:rStyle w:val="Hyperlink"/>
                <w:noProof/>
                <w:lang w:eastAsia="en-AU"/>
              </w:rPr>
              <w:t xml:space="preserve">6. </w:t>
            </w:r>
            <w:r w:rsidR="003C25C9">
              <w:rPr>
                <w:rFonts w:asciiTheme="minorHAnsi" w:eastAsiaTheme="minorEastAsia" w:hAnsiTheme="minorHAnsi" w:cstheme="minorBidi"/>
                <w:noProof/>
                <w:lang w:eastAsia="en-AU"/>
              </w:rPr>
              <w:tab/>
            </w:r>
            <w:r w:rsidR="003C25C9" w:rsidRPr="00784C95">
              <w:rPr>
                <w:rStyle w:val="Hyperlink"/>
                <w:noProof/>
                <w:lang w:eastAsia="en-AU"/>
              </w:rPr>
              <w:t>Application and panel assessment process</w:t>
            </w:r>
            <w:r w:rsidR="003C25C9">
              <w:rPr>
                <w:noProof/>
                <w:webHidden/>
              </w:rPr>
              <w:tab/>
            </w:r>
            <w:r w:rsidR="003C25C9">
              <w:rPr>
                <w:noProof/>
                <w:webHidden/>
              </w:rPr>
              <w:fldChar w:fldCharType="begin"/>
            </w:r>
            <w:r w:rsidR="003C25C9">
              <w:rPr>
                <w:noProof/>
                <w:webHidden/>
              </w:rPr>
              <w:instrText xml:space="preserve"> PAGEREF _Toc118897474 \h </w:instrText>
            </w:r>
            <w:r w:rsidR="003C25C9">
              <w:rPr>
                <w:noProof/>
                <w:webHidden/>
              </w:rPr>
            </w:r>
            <w:r w:rsidR="003C25C9">
              <w:rPr>
                <w:noProof/>
                <w:webHidden/>
              </w:rPr>
              <w:fldChar w:fldCharType="separate"/>
            </w:r>
            <w:r w:rsidR="003C25C9">
              <w:rPr>
                <w:noProof/>
                <w:webHidden/>
              </w:rPr>
              <w:t>10</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75" w:history="1">
            <w:r w:rsidR="003C25C9" w:rsidRPr="00784C95">
              <w:rPr>
                <w:rStyle w:val="Hyperlink"/>
                <w:noProof/>
                <w:lang w:eastAsia="en-AU"/>
              </w:rPr>
              <w:t xml:space="preserve">7. </w:t>
            </w:r>
            <w:r w:rsidR="003C25C9">
              <w:rPr>
                <w:rFonts w:asciiTheme="minorHAnsi" w:eastAsiaTheme="minorEastAsia" w:hAnsiTheme="minorHAnsi" w:cstheme="minorBidi"/>
                <w:noProof/>
                <w:lang w:eastAsia="en-AU"/>
              </w:rPr>
              <w:tab/>
            </w:r>
            <w:r w:rsidR="003C25C9" w:rsidRPr="00784C95">
              <w:rPr>
                <w:rStyle w:val="Hyperlink"/>
                <w:noProof/>
                <w:lang w:eastAsia="en-AU"/>
              </w:rPr>
              <w:t>Assessment Criteria</w:t>
            </w:r>
            <w:r w:rsidR="003C25C9">
              <w:rPr>
                <w:noProof/>
                <w:webHidden/>
              </w:rPr>
              <w:tab/>
            </w:r>
            <w:r w:rsidR="003C25C9">
              <w:rPr>
                <w:noProof/>
                <w:webHidden/>
              </w:rPr>
              <w:fldChar w:fldCharType="begin"/>
            </w:r>
            <w:r w:rsidR="003C25C9">
              <w:rPr>
                <w:noProof/>
                <w:webHidden/>
              </w:rPr>
              <w:instrText xml:space="preserve"> PAGEREF _Toc118897475 \h </w:instrText>
            </w:r>
            <w:r w:rsidR="003C25C9">
              <w:rPr>
                <w:noProof/>
                <w:webHidden/>
              </w:rPr>
            </w:r>
            <w:r w:rsidR="003C25C9">
              <w:rPr>
                <w:noProof/>
                <w:webHidden/>
              </w:rPr>
              <w:fldChar w:fldCharType="separate"/>
            </w:r>
            <w:r w:rsidR="003C25C9">
              <w:rPr>
                <w:noProof/>
                <w:webHidden/>
              </w:rPr>
              <w:t>11</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76" w:history="1">
            <w:r w:rsidR="003C25C9" w:rsidRPr="00784C95">
              <w:rPr>
                <w:rStyle w:val="Hyperlink"/>
                <w:noProof/>
                <w:lang w:eastAsia="en-AU"/>
              </w:rPr>
              <w:t xml:space="preserve">8. </w:t>
            </w:r>
            <w:r w:rsidR="003C25C9">
              <w:rPr>
                <w:rFonts w:asciiTheme="minorHAnsi" w:eastAsiaTheme="minorEastAsia" w:hAnsiTheme="minorHAnsi" w:cstheme="minorBidi"/>
                <w:noProof/>
                <w:lang w:eastAsia="en-AU"/>
              </w:rPr>
              <w:tab/>
            </w:r>
            <w:r w:rsidR="003C25C9" w:rsidRPr="00784C95">
              <w:rPr>
                <w:rStyle w:val="Hyperlink"/>
                <w:noProof/>
                <w:lang w:eastAsia="en-AU"/>
              </w:rPr>
              <w:t>Advice and support</w:t>
            </w:r>
            <w:r w:rsidR="003C25C9">
              <w:rPr>
                <w:noProof/>
                <w:webHidden/>
              </w:rPr>
              <w:tab/>
            </w:r>
            <w:r w:rsidR="003C25C9">
              <w:rPr>
                <w:noProof/>
                <w:webHidden/>
              </w:rPr>
              <w:fldChar w:fldCharType="begin"/>
            </w:r>
            <w:r w:rsidR="003C25C9">
              <w:rPr>
                <w:noProof/>
                <w:webHidden/>
              </w:rPr>
              <w:instrText xml:space="preserve"> PAGEREF _Toc118897476 \h </w:instrText>
            </w:r>
            <w:r w:rsidR="003C25C9">
              <w:rPr>
                <w:noProof/>
                <w:webHidden/>
              </w:rPr>
            </w:r>
            <w:r w:rsidR="003C25C9">
              <w:rPr>
                <w:noProof/>
                <w:webHidden/>
              </w:rPr>
              <w:fldChar w:fldCharType="separate"/>
            </w:r>
            <w:r w:rsidR="003C25C9">
              <w:rPr>
                <w:noProof/>
                <w:webHidden/>
              </w:rPr>
              <w:t>12</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77" w:history="1">
            <w:r w:rsidR="003C25C9" w:rsidRPr="00784C95">
              <w:rPr>
                <w:rStyle w:val="Hyperlink"/>
                <w:noProof/>
                <w:lang w:eastAsia="en-AU"/>
              </w:rPr>
              <w:t xml:space="preserve">9. </w:t>
            </w:r>
            <w:r w:rsidR="003C25C9">
              <w:rPr>
                <w:rFonts w:asciiTheme="minorHAnsi" w:eastAsiaTheme="minorEastAsia" w:hAnsiTheme="minorHAnsi" w:cstheme="minorBidi"/>
                <w:noProof/>
                <w:lang w:eastAsia="en-AU"/>
              </w:rPr>
              <w:tab/>
            </w:r>
            <w:r w:rsidR="003C25C9" w:rsidRPr="00784C95">
              <w:rPr>
                <w:rStyle w:val="Hyperlink"/>
                <w:noProof/>
                <w:lang w:eastAsia="en-AU"/>
              </w:rPr>
              <w:t>Confidentiality</w:t>
            </w:r>
            <w:r w:rsidR="003C25C9">
              <w:rPr>
                <w:noProof/>
                <w:webHidden/>
              </w:rPr>
              <w:tab/>
            </w:r>
            <w:r w:rsidR="003C25C9">
              <w:rPr>
                <w:noProof/>
                <w:webHidden/>
              </w:rPr>
              <w:fldChar w:fldCharType="begin"/>
            </w:r>
            <w:r w:rsidR="003C25C9">
              <w:rPr>
                <w:noProof/>
                <w:webHidden/>
              </w:rPr>
              <w:instrText xml:space="preserve"> PAGEREF _Toc118897477 \h </w:instrText>
            </w:r>
            <w:r w:rsidR="003C25C9">
              <w:rPr>
                <w:noProof/>
                <w:webHidden/>
              </w:rPr>
            </w:r>
            <w:r w:rsidR="003C25C9">
              <w:rPr>
                <w:noProof/>
                <w:webHidden/>
              </w:rPr>
              <w:fldChar w:fldCharType="separate"/>
            </w:r>
            <w:r w:rsidR="003C25C9">
              <w:rPr>
                <w:noProof/>
                <w:webHidden/>
              </w:rPr>
              <w:t>12</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78" w:history="1">
            <w:r w:rsidR="003C25C9" w:rsidRPr="00784C95">
              <w:rPr>
                <w:rStyle w:val="Hyperlink"/>
                <w:noProof/>
                <w:lang w:eastAsia="en-AU"/>
              </w:rPr>
              <w:t xml:space="preserve">10. </w:t>
            </w:r>
            <w:r w:rsidR="003C25C9">
              <w:rPr>
                <w:rFonts w:asciiTheme="minorHAnsi" w:eastAsiaTheme="minorEastAsia" w:hAnsiTheme="minorHAnsi" w:cstheme="minorBidi"/>
                <w:noProof/>
                <w:lang w:eastAsia="en-AU"/>
              </w:rPr>
              <w:tab/>
            </w:r>
            <w:r w:rsidR="003C25C9" w:rsidRPr="00784C95">
              <w:rPr>
                <w:rStyle w:val="Hyperlink"/>
                <w:noProof/>
                <w:lang w:eastAsia="en-AU"/>
              </w:rPr>
              <w:t>Relationship</w:t>
            </w:r>
            <w:r w:rsidR="003C25C9">
              <w:rPr>
                <w:noProof/>
                <w:webHidden/>
              </w:rPr>
              <w:tab/>
            </w:r>
            <w:r w:rsidR="003C25C9">
              <w:rPr>
                <w:noProof/>
                <w:webHidden/>
              </w:rPr>
              <w:fldChar w:fldCharType="begin"/>
            </w:r>
            <w:r w:rsidR="003C25C9">
              <w:rPr>
                <w:noProof/>
                <w:webHidden/>
              </w:rPr>
              <w:instrText xml:space="preserve"> PAGEREF _Toc118897478 \h </w:instrText>
            </w:r>
            <w:r w:rsidR="003C25C9">
              <w:rPr>
                <w:noProof/>
                <w:webHidden/>
              </w:rPr>
            </w:r>
            <w:r w:rsidR="003C25C9">
              <w:rPr>
                <w:noProof/>
                <w:webHidden/>
              </w:rPr>
              <w:fldChar w:fldCharType="separate"/>
            </w:r>
            <w:r w:rsidR="003C25C9">
              <w:rPr>
                <w:noProof/>
                <w:webHidden/>
              </w:rPr>
              <w:t>13</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79" w:history="1">
            <w:r w:rsidR="003C25C9" w:rsidRPr="00784C95">
              <w:rPr>
                <w:rStyle w:val="Hyperlink"/>
                <w:noProof/>
                <w:lang w:eastAsia="en-AU"/>
              </w:rPr>
              <w:t xml:space="preserve">11. </w:t>
            </w:r>
            <w:r w:rsidR="003C25C9">
              <w:rPr>
                <w:rFonts w:asciiTheme="minorHAnsi" w:eastAsiaTheme="minorEastAsia" w:hAnsiTheme="minorHAnsi" w:cstheme="minorBidi"/>
                <w:noProof/>
                <w:lang w:eastAsia="en-AU"/>
              </w:rPr>
              <w:tab/>
            </w:r>
            <w:r w:rsidR="003C25C9" w:rsidRPr="00784C95">
              <w:rPr>
                <w:rStyle w:val="Hyperlink"/>
                <w:noProof/>
                <w:lang w:eastAsia="en-AU"/>
              </w:rPr>
              <w:t>Participation at applicant’s cost</w:t>
            </w:r>
            <w:r w:rsidR="003C25C9">
              <w:rPr>
                <w:noProof/>
                <w:webHidden/>
              </w:rPr>
              <w:tab/>
            </w:r>
            <w:r w:rsidR="003C25C9">
              <w:rPr>
                <w:noProof/>
                <w:webHidden/>
              </w:rPr>
              <w:fldChar w:fldCharType="begin"/>
            </w:r>
            <w:r w:rsidR="003C25C9">
              <w:rPr>
                <w:noProof/>
                <w:webHidden/>
              </w:rPr>
              <w:instrText xml:space="preserve"> PAGEREF _Toc118897479 \h </w:instrText>
            </w:r>
            <w:r w:rsidR="003C25C9">
              <w:rPr>
                <w:noProof/>
                <w:webHidden/>
              </w:rPr>
            </w:r>
            <w:r w:rsidR="003C25C9">
              <w:rPr>
                <w:noProof/>
                <w:webHidden/>
              </w:rPr>
              <w:fldChar w:fldCharType="separate"/>
            </w:r>
            <w:r w:rsidR="003C25C9">
              <w:rPr>
                <w:noProof/>
                <w:webHidden/>
              </w:rPr>
              <w:t>13</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80" w:history="1">
            <w:r w:rsidR="003C25C9" w:rsidRPr="00784C95">
              <w:rPr>
                <w:rStyle w:val="Hyperlink"/>
                <w:noProof/>
                <w:lang w:eastAsia="en-AU"/>
              </w:rPr>
              <w:t xml:space="preserve">12. </w:t>
            </w:r>
            <w:r w:rsidR="003C25C9">
              <w:rPr>
                <w:rFonts w:asciiTheme="minorHAnsi" w:eastAsiaTheme="minorEastAsia" w:hAnsiTheme="minorHAnsi" w:cstheme="minorBidi"/>
                <w:noProof/>
                <w:lang w:eastAsia="en-AU"/>
              </w:rPr>
              <w:tab/>
            </w:r>
            <w:r w:rsidR="003C25C9" w:rsidRPr="00784C95">
              <w:rPr>
                <w:rStyle w:val="Hyperlink"/>
                <w:noProof/>
                <w:lang w:eastAsia="en-AU"/>
              </w:rPr>
              <w:t>Intellectual property</w:t>
            </w:r>
            <w:r w:rsidR="003C25C9">
              <w:rPr>
                <w:noProof/>
                <w:webHidden/>
              </w:rPr>
              <w:tab/>
            </w:r>
            <w:r w:rsidR="003C25C9">
              <w:rPr>
                <w:noProof/>
                <w:webHidden/>
              </w:rPr>
              <w:fldChar w:fldCharType="begin"/>
            </w:r>
            <w:r w:rsidR="003C25C9">
              <w:rPr>
                <w:noProof/>
                <w:webHidden/>
              </w:rPr>
              <w:instrText xml:space="preserve"> PAGEREF _Toc118897480 \h </w:instrText>
            </w:r>
            <w:r w:rsidR="003C25C9">
              <w:rPr>
                <w:noProof/>
                <w:webHidden/>
              </w:rPr>
            </w:r>
            <w:r w:rsidR="003C25C9">
              <w:rPr>
                <w:noProof/>
                <w:webHidden/>
              </w:rPr>
              <w:fldChar w:fldCharType="separate"/>
            </w:r>
            <w:r w:rsidR="003C25C9">
              <w:rPr>
                <w:noProof/>
                <w:webHidden/>
              </w:rPr>
              <w:t>14</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81" w:history="1">
            <w:r w:rsidR="003C25C9" w:rsidRPr="00784C95">
              <w:rPr>
                <w:rStyle w:val="Hyperlink"/>
                <w:noProof/>
                <w:lang w:eastAsia="en-AU"/>
              </w:rPr>
              <w:t xml:space="preserve">13. </w:t>
            </w:r>
            <w:r w:rsidR="003C25C9">
              <w:rPr>
                <w:rFonts w:asciiTheme="minorHAnsi" w:eastAsiaTheme="minorEastAsia" w:hAnsiTheme="minorHAnsi" w:cstheme="minorBidi"/>
                <w:noProof/>
                <w:lang w:eastAsia="en-AU"/>
              </w:rPr>
              <w:tab/>
            </w:r>
            <w:r w:rsidR="003C25C9" w:rsidRPr="00784C95">
              <w:rPr>
                <w:rStyle w:val="Hyperlink"/>
                <w:noProof/>
                <w:lang w:eastAsia="en-AU"/>
              </w:rPr>
              <w:t>Privacy</w:t>
            </w:r>
            <w:r w:rsidR="003C25C9">
              <w:rPr>
                <w:noProof/>
                <w:webHidden/>
              </w:rPr>
              <w:tab/>
            </w:r>
            <w:r w:rsidR="003C25C9">
              <w:rPr>
                <w:noProof/>
                <w:webHidden/>
              </w:rPr>
              <w:fldChar w:fldCharType="begin"/>
            </w:r>
            <w:r w:rsidR="003C25C9">
              <w:rPr>
                <w:noProof/>
                <w:webHidden/>
              </w:rPr>
              <w:instrText xml:space="preserve"> PAGEREF _Toc118897481 \h </w:instrText>
            </w:r>
            <w:r w:rsidR="003C25C9">
              <w:rPr>
                <w:noProof/>
                <w:webHidden/>
              </w:rPr>
            </w:r>
            <w:r w:rsidR="003C25C9">
              <w:rPr>
                <w:noProof/>
                <w:webHidden/>
              </w:rPr>
              <w:fldChar w:fldCharType="separate"/>
            </w:r>
            <w:r w:rsidR="003C25C9">
              <w:rPr>
                <w:noProof/>
                <w:webHidden/>
              </w:rPr>
              <w:t>14</w:t>
            </w:r>
            <w:r w:rsidR="003C25C9">
              <w:rPr>
                <w:noProof/>
                <w:webHidden/>
              </w:rPr>
              <w:fldChar w:fldCharType="end"/>
            </w:r>
          </w:hyperlink>
        </w:p>
        <w:p w:rsidR="003C25C9" w:rsidRDefault="009C1C99">
          <w:pPr>
            <w:pStyle w:val="TOC1"/>
            <w:tabs>
              <w:tab w:val="left" w:pos="660"/>
              <w:tab w:val="right" w:leader="dot" w:pos="10308"/>
            </w:tabs>
            <w:rPr>
              <w:rFonts w:asciiTheme="minorHAnsi" w:eastAsiaTheme="minorEastAsia" w:hAnsiTheme="minorHAnsi" w:cstheme="minorBidi"/>
              <w:noProof/>
              <w:lang w:eastAsia="en-AU"/>
            </w:rPr>
          </w:pPr>
          <w:hyperlink w:anchor="_Toc118897482" w:history="1">
            <w:r w:rsidR="003C25C9" w:rsidRPr="00784C95">
              <w:rPr>
                <w:rStyle w:val="Hyperlink"/>
                <w:noProof/>
                <w:lang w:eastAsia="en-AU"/>
              </w:rPr>
              <w:t>14.</w:t>
            </w:r>
            <w:r w:rsidR="003C25C9">
              <w:rPr>
                <w:rFonts w:asciiTheme="minorHAnsi" w:eastAsiaTheme="minorEastAsia" w:hAnsiTheme="minorHAnsi" w:cstheme="minorBidi"/>
                <w:noProof/>
                <w:lang w:eastAsia="en-AU"/>
              </w:rPr>
              <w:tab/>
            </w:r>
            <w:r w:rsidR="003C25C9" w:rsidRPr="00784C95">
              <w:rPr>
                <w:rStyle w:val="Hyperlink"/>
                <w:noProof/>
                <w:lang w:eastAsia="en-AU"/>
              </w:rPr>
              <w:t xml:space="preserve"> Compliance with Laws</w:t>
            </w:r>
            <w:r w:rsidR="003C25C9">
              <w:rPr>
                <w:noProof/>
                <w:webHidden/>
              </w:rPr>
              <w:tab/>
            </w:r>
            <w:r w:rsidR="003C25C9">
              <w:rPr>
                <w:noProof/>
                <w:webHidden/>
              </w:rPr>
              <w:fldChar w:fldCharType="begin"/>
            </w:r>
            <w:r w:rsidR="003C25C9">
              <w:rPr>
                <w:noProof/>
                <w:webHidden/>
              </w:rPr>
              <w:instrText xml:space="preserve"> PAGEREF _Toc118897482 \h </w:instrText>
            </w:r>
            <w:r w:rsidR="003C25C9">
              <w:rPr>
                <w:noProof/>
                <w:webHidden/>
              </w:rPr>
            </w:r>
            <w:r w:rsidR="003C25C9">
              <w:rPr>
                <w:noProof/>
                <w:webHidden/>
              </w:rPr>
              <w:fldChar w:fldCharType="separate"/>
            </w:r>
            <w:r w:rsidR="003C25C9">
              <w:rPr>
                <w:noProof/>
                <w:webHidden/>
              </w:rPr>
              <w:t>15</w:t>
            </w:r>
            <w:r w:rsidR="003C25C9">
              <w:rPr>
                <w:noProof/>
                <w:webHidden/>
              </w:rPr>
              <w:fldChar w:fldCharType="end"/>
            </w:r>
          </w:hyperlink>
        </w:p>
        <w:p w:rsidR="003C25C9" w:rsidRDefault="009C1C99">
          <w:pPr>
            <w:pStyle w:val="TOC1"/>
            <w:tabs>
              <w:tab w:val="right" w:leader="dot" w:pos="10308"/>
            </w:tabs>
            <w:rPr>
              <w:rFonts w:asciiTheme="minorHAnsi" w:eastAsiaTheme="minorEastAsia" w:hAnsiTheme="minorHAnsi" w:cstheme="minorBidi"/>
              <w:noProof/>
              <w:lang w:eastAsia="en-AU"/>
            </w:rPr>
          </w:pPr>
          <w:hyperlink w:anchor="_Toc118897483" w:history="1">
            <w:r w:rsidR="003C25C9" w:rsidRPr="00784C95">
              <w:rPr>
                <w:rStyle w:val="Hyperlink"/>
                <w:noProof/>
                <w:lang w:eastAsia="en-AU"/>
              </w:rPr>
              <w:t>15. Program duration and changes</w:t>
            </w:r>
            <w:r w:rsidR="003C25C9">
              <w:rPr>
                <w:noProof/>
                <w:webHidden/>
              </w:rPr>
              <w:tab/>
            </w:r>
            <w:r w:rsidR="003C25C9">
              <w:rPr>
                <w:noProof/>
                <w:webHidden/>
              </w:rPr>
              <w:fldChar w:fldCharType="begin"/>
            </w:r>
            <w:r w:rsidR="003C25C9">
              <w:rPr>
                <w:noProof/>
                <w:webHidden/>
              </w:rPr>
              <w:instrText xml:space="preserve"> PAGEREF _Toc118897483 \h </w:instrText>
            </w:r>
            <w:r w:rsidR="003C25C9">
              <w:rPr>
                <w:noProof/>
                <w:webHidden/>
              </w:rPr>
            </w:r>
            <w:r w:rsidR="003C25C9">
              <w:rPr>
                <w:noProof/>
                <w:webHidden/>
              </w:rPr>
              <w:fldChar w:fldCharType="separate"/>
            </w:r>
            <w:r w:rsidR="003C25C9">
              <w:rPr>
                <w:noProof/>
                <w:webHidden/>
              </w:rPr>
              <w:t>15</w:t>
            </w:r>
            <w:r w:rsidR="003C25C9">
              <w:rPr>
                <w:noProof/>
                <w:webHidden/>
              </w:rPr>
              <w:fldChar w:fldCharType="end"/>
            </w:r>
          </w:hyperlink>
        </w:p>
        <w:p w:rsidR="009B5CED" w:rsidRDefault="009B5CED">
          <w:r>
            <w:rPr>
              <w:b/>
              <w:bCs/>
              <w:noProof/>
            </w:rPr>
            <w:fldChar w:fldCharType="end"/>
          </w:r>
        </w:p>
      </w:sdtContent>
    </w:sdt>
    <w:p w:rsidR="00FD7EE8" w:rsidRDefault="00FD7EE8" w:rsidP="00FD7EE8">
      <w:pPr>
        <w:rPr>
          <w:lang w:eastAsia="en-AU"/>
        </w:rPr>
      </w:pPr>
    </w:p>
    <w:p w:rsidR="009B013A" w:rsidRDefault="009B013A">
      <w:pPr>
        <w:rPr>
          <w:lang w:eastAsia="en-AU"/>
        </w:rPr>
      </w:pPr>
      <w:r>
        <w:rPr>
          <w:lang w:eastAsia="en-AU"/>
        </w:rPr>
        <w:br w:type="page"/>
      </w:r>
    </w:p>
    <w:p w:rsidR="00FD7EE8" w:rsidRDefault="00A36536" w:rsidP="003C5FCE">
      <w:pPr>
        <w:pStyle w:val="Heading1"/>
        <w:rPr>
          <w:lang w:eastAsia="en-AU"/>
        </w:rPr>
      </w:pPr>
      <w:bookmarkStart w:id="4" w:name="_Toc118897465"/>
      <w:r>
        <w:rPr>
          <w:lang w:eastAsia="en-AU"/>
        </w:rPr>
        <w:lastRenderedPageBreak/>
        <w:t>1.</w:t>
      </w:r>
      <w:r>
        <w:rPr>
          <w:lang w:eastAsia="en-AU"/>
        </w:rPr>
        <w:tab/>
      </w:r>
      <w:r w:rsidR="00FD7EE8">
        <w:rPr>
          <w:lang w:eastAsia="en-AU"/>
        </w:rPr>
        <w:t>Introduction</w:t>
      </w:r>
      <w:bookmarkEnd w:id="4"/>
      <w:r w:rsidR="00FD7EE8">
        <w:rPr>
          <w:lang w:eastAsia="en-AU"/>
        </w:rPr>
        <w:t xml:space="preserve"> </w:t>
      </w:r>
    </w:p>
    <w:p w:rsidR="00FE460C" w:rsidRPr="009B5CED" w:rsidRDefault="00FE460C" w:rsidP="00D61FD1">
      <w:pPr>
        <w:rPr>
          <w:color w:val="222222"/>
          <w:sz w:val="24"/>
          <w:szCs w:val="24"/>
        </w:rPr>
      </w:pPr>
      <w:r w:rsidRPr="009B5CED">
        <w:rPr>
          <w:color w:val="222222"/>
          <w:sz w:val="24"/>
          <w:szCs w:val="24"/>
        </w:rPr>
        <w:t xml:space="preserve">The Northern </w:t>
      </w:r>
      <w:r w:rsidR="000F3FD5" w:rsidRPr="009B5CED">
        <w:rPr>
          <w:color w:val="222222"/>
          <w:sz w:val="24"/>
          <w:szCs w:val="24"/>
        </w:rPr>
        <w:t xml:space="preserve">Territory </w:t>
      </w:r>
      <w:r w:rsidR="000F3FD5" w:rsidRPr="00124A46">
        <w:rPr>
          <w:color w:val="222222"/>
          <w:sz w:val="24"/>
          <w:szCs w:val="24"/>
        </w:rPr>
        <w:t>Recycling</w:t>
      </w:r>
      <w:r w:rsidRPr="00124A46">
        <w:rPr>
          <w:color w:val="222222"/>
          <w:sz w:val="24"/>
          <w:szCs w:val="24"/>
        </w:rPr>
        <w:t xml:space="preserve"> Modernisation Fund</w:t>
      </w:r>
      <w:r w:rsidR="00776C45">
        <w:rPr>
          <w:color w:val="222222"/>
          <w:sz w:val="24"/>
          <w:szCs w:val="24"/>
        </w:rPr>
        <w:t xml:space="preserve"> </w:t>
      </w:r>
      <w:r w:rsidRPr="009B5CED">
        <w:rPr>
          <w:color w:val="222222"/>
          <w:sz w:val="24"/>
          <w:szCs w:val="24"/>
        </w:rPr>
        <w:t xml:space="preserve">is a joint initiative of the </w:t>
      </w:r>
      <w:r w:rsidR="000A1D39" w:rsidRPr="009B5CED">
        <w:rPr>
          <w:color w:val="222222"/>
          <w:sz w:val="24"/>
          <w:szCs w:val="24"/>
        </w:rPr>
        <w:t>Australian G</w:t>
      </w:r>
      <w:r w:rsidRPr="009B5CED">
        <w:rPr>
          <w:color w:val="222222"/>
          <w:sz w:val="24"/>
          <w:szCs w:val="24"/>
        </w:rPr>
        <w:t>overnment</w:t>
      </w:r>
      <w:r w:rsidR="001A1514">
        <w:rPr>
          <w:color w:val="222222"/>
          <w:sz w:val="24"/>
          <w:szCs w:val="24"/>
        </w:rPr>
        <w:t xml:space="preserve"> and Northern Territory Government,</w:t>
      </w:r>
      <w:r w:rsidRPr="009B5CED">
        <w:rPr>
          <w:color w:val="222222"/>
          <w:sz w:val="24"/>
          <w:szCs w:val="24"/>
        </w:rPr>
        <w:t xml:space="preserve"> providing $3.8 million in funding support for industry infrastructure expansions or upgrades to address gaps in the Territory’s </w:t>
      </w:r>
      <w:r w:rsidRPr="006814D7">
        <w:rPr>
          <w:color w:val="222222"/>
          <w:sz w:val="24"/>
          <w:szCs w:val="24"/>
        </w:rPr>
        <w:t>waste</w:t>
      </w:r>
      <w:r w:rsidR="00AE20E5" w:rsidRPr="006814D7">
        <w:rPr>
          <w:color w:val="222222"/>
          <w:sz w:val="24"/>
          <w:szCs w:val="24"/>
        </w:rPr>
        <w:t xml:space="preserve"> recycling and</w:t>
      </w:r>
      <w:r w:rsidRPr="006814D7">
        <w:rPr>
          <w:color w:val="222222"/>
          <w:sz w:val="24"/>
          <w:szCs w:val="24"/>
        </w:rPr>
        <w:t xml:space="preserve"> </w:t>
      </w:r>
      <w:r w:rsidR="00285FBF" w:rsidRPr="006814D7">
        <w:rPr>
          <w:color w:val="222222"/>
          <w:sz w:val="24"/>
          <w:szCs w:val="24"/>
        </w:rPr>
        <w:t>diversion</w:t>
      </w:r>
      <w:r w:rsidR="00285FBF">
        <w:rPr>
          <w:color w:val="222222"/>
          <w:sz w:val="24"/>
          <w:szCs w:val="24"/>
        </w:rPr>
        <w:t xml:space="preserve">, </w:t>
      </w:r>
      <w:r w:rsidRPr="009B5CED">
        <w:rPr>
          <w:color w:val="222222"/>
          <w:sz w:val="24"/>
          <w:szCs w:val="24"/>
        </w:rPr>
        <w:t xml:space="preserve">reprocessing </w:t>
      </w:r>
      <w:r w:rsidR="00285FBF">
        <w:rPr>
          <w:color w:val="222222"/>
          <w:sz w:val="24"/>
          <w:szCs w:val="24"/>
        </w:rPr>
        <w:t xml:space="preserve">and remanufacturing </w:t>
      </w:r>
      <w:r w:rsidRPr="009B5CED">
        <w:rPr>
          <w:color w:val="222222"/>
          <w:sz w:val="24"/>
          <w:szCs w:val="24"/>
        </w:rPr>
        <w:t>capacity.</w:t>
      </w:r>
    </w:p>
    <w:p w:rsidR="000A1D39" w:rsidRDefault="000A1D39" w:rsidP="00BA1F64">
      <w:pPr>
        <w:spacing w:after="240"/>
        <w:rPr>
          <w:color w:val="222222"/>
          <w:sz w:val="24"/>
          <w:szCs w:val="24"/>
        </w:rPr>
      </w:pPr>
      <w:r w:rsidRPr="009B5CED">
        <w:rPr>
          <w:color w:val="222222"/>
          <w:sz w:val="24"/>
          <w:szCs w:val="24"/>
        </w:rPr>
        <w:t xml:space="preserve">The </w:t>
      </w:r>
      <w:r w:rsidR="00D60BC2" w:rsidRPr="009B5CED">
        <w:rPr>
          <w:color w:val="222222"/>
          <w:sz w:val="24"/>
          <w:szCs w:val="24"/>
        </w:rPr>
        <w:t xml:space="preserve">NT </w:t>
      </w:r>
      <w:r w:rsidR="00776C45">
        <w:rPr>
          <w:color w:val="222222"/>
          <w:sz w:val="24"/>
          <w:szCs w:val="24"/>
        </w:rPr>
        <w:t>Recycling Modernisation Fund</w:t>
      </w:r>
      <w:r w:rsidRPr="009B5CED">
        <w:rPr>
          <w:color w:val="222222"/>
          <w:sz w:val="24"/>
          <w:szCs w:val="24"/>
        </w:rPr>
        <w:t xml:space="preserve"> </w:t>
      </w:r>
      <w:r w:rsidR="002B6A68">
        <w:rPr>
          <w:color w:val="222222"/>
          <w:sz w:val="24"/>
          <w:szCs w:val="24"/>
        </w:rPr>
        <w:t>(NT RMF)</w:t>
      </w:r>
      <w:r w:rsidR="0076692C">
        <w:rPr>
          <w:color w:val="222222"/>
          <w:sz w:val="24"/>
          <w:szCs w:val="24"/>
        </w:rPr>
        <w:t xml:space="preserve"> </w:t>
      </w:r>
      <w:r w:rsidRPr="009B5CED">
        <w:rPr>
          <w:color w:val="222222"/>
          <w:sz w:val="24"/>
          <w:szCs w:val="24"/>
        </w:rPr>
        <w:t xml:space="preserve">is a key element of the NT Circular Economy Strategy 2022-27 to </w:t>
      </w:r>
      <w:r w:rsidR="00F56FBF">
        <w:rPr>
          <w:color w:val="222222"/>
          <w:sz w:val="24"/>
          <w:szCs w:val="24"/>
        </w:rPr>
        <w:t xml:space="preserve">strengthen </w:t>
      </w:r>
      <w:r w:rsidR="00F56FBF" w:rsidRPr="00B757E2">
        <w:rPr>
          <w:color w:val="222222"/>
          <w:sz w:val="24"/>
          <w:szCs w:val="24"/>
        </w:rPr>
        <w:t xml:space="preserve">the circular economy industry as a contributor to the Territory’s </w:t>
      </w:r>
      <w:r w:rsidR="001859FF">
        <w:rPr>
          <w:color w:val="222222"/>
          <w:sz w:val="24"/>
          <w:szCs w:val="24"/>
        </w:rPr>
        <w:t xml:space="preserve">vision to achieve a </w:t>
      </w:r>
      <w:r w:rsidR="00F56FBF" w:rsidRPr="00B757E2">
        <w:rPr>
          <w:color w:val="222222"/>
          <w:sz w:val="24"/>
          <w:szCs w:val="24"/>
        </w:rPr>
        <w:t>$40</w:t>
      </w:r>
      <w:r w:rsidR="00F56FBF">
        <w:rPr>
          <w:color w:val="222222"/>
          <w:sz w:val="24"/>
          <w:szCs w:val="24"/>
        </w:rPr>
        <w:t> </w:t>
      </w:r>
      <w:r w:rsidR="00F56FBF" w:rsidRPr="00B757E2">
        <w:rPr>
          <w:color w:val="222222"/>
          <w:sz w:val="24"/>
          <w:szCs w:val="24"/>
        </w:rPr>
        <w:t>billion</w:t>
      </w:r>
      <w:r w:rsidR="001859FF">
        <w:rPr>
          <w:color w:val="222222"/>
          <w:sz w:val="24"/>
          <w:szCs w:val="24"/>
        </w:rPr>
        <w:t xml:space="preserve"> economy</w:t>
      </w:r>
      <w:r w:rsidR="00F56FBF" w:rsidRPr="00B757E2">
        <w:rPr>
          <w:color w:val="222222"/>
          <w:sz w:val="24"/>
          <w:szCs w:val="24"/>
        </w:rPr>
        <w:t xml:space="preserve"> by 2030</w:t>
      </w:r>
      <w:r w:rsidRPr="00B36EFD">
        <w:rPr>
          <w:color w:val="222222"/>
          <w:sz w:val="24"/>
          <w:szCs w:val="24"/>
        </w:rPr>
        <w:t>.</w:t>
      </w:r>
      <w:r w:rsidRPr="00AE20E5">
        <w:rPr>
          <w:color w:val="222222"/>
          <w:sz w:val="24"/>
          <w:szCs w:val="24"/>
        </w:rPr>
        <w:t xml:space="preserve">  </w:t>
      </w:r>
    </w:p>
    <w:p w:rsidR="000B285D" w:rsidRDefault="002B6A68" w:rsidP="000B285D">
      <w:pPr>
        <w:spacing w:after="240"/>
        <w:rPr>
          <w:color w:val="222222"/>
          <w:sz w:val="24"/>
          <w:szCs w:val="24"/>
        </w:rPr>
      </w:pPr>
      <w:r>
        <w:rPr>
          <w:color w:val="222222"/>
          <w:sz w:val="24"/>
          <w:szCs w:val="24"/>
        </w:rPr>
        <w:t xml:space="preserve">Round 1 of NT RMF </w:t>
      </w:r>
      <w:r w:rsidR="0076692C">
        <w:rPr>
          <w:color w:val="222222"/>
          <w:sz w:val="24"/>
          <w:szCs w:val="24"/>
        </w:rPr>
        <w:t>offered $2.3</w:t>
      </w:r>
      <w:r w:rsidR="00A4525D">
        <w:rPr>
          <w:color w:val="222222"/>
          <w:sz w:val="24"/>
          <w:szCs w:val="24"/>
        </w:rPr>
        <w:t>3</w:t>
      </w:r>
      <w:r w:rsidR="0076692C">
        <w:rPr>
          <w:color w:val="222222"/>
          <w:sz w:val="24"/>
          <w:szCs w:val="24"/>
        </w:rPr>
        <w:t xml:space="preserve"> million to seven projects including </w:t>
      </w:r>
      <w:r w:rsidR="00A4525D">
        <w:rPr>
          <w:color w:val="222222"/>
          <w:sz w:val="24"/>
          <w:szCs w:val="24"/>
        </w:rPr>
        <w:t>a t</w:t>
      </w:r>
      <w:r w:rsidR="0076692C">
        <w:rPr>
          <w:color w:val="222222"/>
          <w:sz w:val="24"/>
          <w:szCs w:val="24"/>
        </w:rPr>
        <w:t xml:space="preserve">yre recycling plant and </w:t>
      </w:r>
      <w:r w:rsidR="00C42609">
        <w:rPr>
          <w:color w:val="222222"/>
          <w:sz w:val="24"/>
          <w:szCs w:val="24"/>
        </w:rPr>
        <w:t xml:space="preserve">a </w:t>
      </w:r>
      <w:r w:rsidR="00A4525D">
        <w:rPr>
          <w:color w:val="222222"/>
          <w:sz w:val="24"/>
          <w:szCs w:val="24"/>
        </w:rPr>
        <w:t>g</w:t>
      </w:r>
      <w:r w:rsidR="0076692C">
        <w:rPr>
          <w:color w:val="222222"/>
          <w:sz w:val="24"/>
          <w:szCs w:val="24"/>
        </w:rPr>
        <w:t xml:space="preserve">lass recycling plant in the Northern Territory. </w:t>
      </w:r>
      <w:r w:rsidR="000B285D">
        <w:rPr>
          <w:color w:val="222222"/>
          <w:sz w:val="24"/>
          <w:szCs w:val="24"/>
        </w:rPr>
        <w:t xml:space="preserve">The glass recycling project and the tyre recycling project shall process most of the waste glass and waste tyres, in the Northern Territory. </w:t>
      </w:r>
    </w:p>
    <w:p w:rsidR="0076692C" w:rsidRPr="00AE20E5" w:rsidRDefault="0076692C" w:rsidP="000E767F">
      <w:pPr>
        <w:spacing w:after="240"/>
        <w:rPr>
          <w:color w:val="222222"/>
          <w:sz w:val="24"/>
          <w:szCs w:val="24"/>
        </w:rPr>
      </w:pPr>
      <w:r>
        <w:rPr>
          <w:color w:val="222222"/>
          <w:sz w:val="24"/>
          <w:szCs w:val="24"/>
        </w:rPr>
        <w:t>Round 2 of NT RMF provides $1.4</w:t>
      </w:r>
      <w:r w:rsidR="00AE0E6B">
        <w:rPr>
          <w:color w:val="222222"/>
          <w:sz w:val="24"/>
          <w:szCs w:val="24"/>
        </w:rPr>
        <w:t>7</w:t>
      </w:r>
      <w:r>
        <w:rPr>
          <w:color w:val="222222"/>
          <w:sz w:val="24"/>
          <w:szCs w:val="24"/>
        </w:rPr>
        <w:t xml:space="preserve"> million in funding support</w:t>
      </w:r>
      <w:r w:rsidR="002B30ED">
        <w:rPr>
          <w:color w:val="222222"/>
          <w:sz w:val="24"/>
          <w:szCs w:val="24"/>
        </w:rPr>
        <w:t xml:space="preserve"> for industry infrastructure expansions or upgrades to address </w:t>
      </w:r>
      <w:r w:rsidR="00480CD0">
        <w:rPr>
          <w:color w:val="222222"/>
          <w:sz w:val="24"/>
          <w:szCs w:val="24"/>
        </w:rPr>
        <w:t xml:space="preserve">the </w:t>
      </w:r>
      <w:r w:rsidR="00C42609">
        <w:rPr>
          <w:color w:val="222222"/>
          <w:sz w:val="24"/>
          <w:szCs w:val="24"/>
        </w:rPr>
        <w:t xml:space="preserve">Northern Territory’s </w:t>
      </w:r>
      <w:r w:rsidR="002B30ED">
        <w:rPr>
          <w:color w:val="222222"/>
          <w:sz w:val="24"/>
          <w:szCs w:val="24"/>
        </w:rPr>
        <w:t>gaps in recycling, reprocessing or remanufacturing capacity</w:t>
      </w:r>
      <w:r w:rsidR="00A4525D">
        <w:rPr>
          <w:color w:val="222222"/>
          <w:sz w:val="24"/>
          <w:szCs w:val="24"/>
        </w:rPr>
        <w:t xml:space="preserve">. Round 2 will have a specific focus on addressing </w:t>
      </w:r>
      <w:r w:rsidR="002B30ED">
        <w:rPr>
          <w:color w:val="222222"/>
          <w:sz w:val="24"/>
          <w:szCs w:val="24"/>
        </w:rPr>
        <w:t>waste plastics or waste paper and cardboard within the Northern Territory</w:t>
      </w:r>
      <w:r w:rsidR="00722489">
        <w:rPr>
          <w:color w:val="222222"/>
          <w:sz w:val="24"/>
          <w:szCs w:val="24"/>
        </w:rPr>
        <w:t>, applications addressing these waste streams will be prioritised</w:t>
      </w:r>
      <w:r w:rsidR="00CB08DB">
        <w:rPr>
          <w:color w:val="222222"/>
          <w:sz w:val="24"/>
          <w:szCs w:val="24"/>
        </w:rPr>
        <w:t>.</w:t>
      </w:r>
    </w:p>
    <w:p w:rsidR="00E34E97" w:rsidRDefault="00A36536" w:rsidP="003C5FCE">
      <w:pPr>
        <w:pStyle w:val="Heading1"/>
        <w:rPr>
          <w:lang w:eastAsia="en-AU"/>
        </w:rPr>
      </w:pPr>
      <w:bookmarkStart w:id="5" w:name="_Toc118897466"/>
      <w:r>
        <w:rPr>
          <w:lang w:eastAsia="en-AU"/>
        </w:rPr>
        <w:t xml:space="preserve">2. </w:t>
      </w:r>
      <w:r>
        <w:rPr>
          <w:lang w:eastAsia="en-AU"/>
        </w:rPr>
        <w:tab/>
      </w:r>
      <w:r w:rsidR="00E34E97">
        <w:rPr>
          <w:lang w:eastAsia="en-AU"/>
        </w:rPr>
        <w:t>Background</w:t>
      </w:r>
      <w:bookmarkEnd w:id="5"/>
    </w:p>
    <w:p w:rsidR="00E34E97" w:rsidRPr="009B5CED" w:rsidRDefault="00E34E97" w:rsidP="00E34E97">
      <w:pPr>
        <w:spacing w:after="240"/>
        <w:rPr>
          <w:rFonts w:eastAsia="Times New Roman"/>
          <w:color w:val="222222"/>
          <w:sz w:val="24"/>
          <w:szCs w:val="24"/>
          <w:lang w:eastAsia="en-AU"/>
        </w:rPr>
      </w:pPr>
      <w:r w:rsidRPr="009B5CED">
        <w:rPr>
          <w:rFonts w:eastAsia="Times New Roman"/>
          <w:color w:val="222222"/>
          <w:sz w:val="24"/>
          <w:szCs w:val="24"/>
          <w:lang w:eastAsia="en-AU"/>
        </w:rPr>
        <w:t>In late 2019, the Council of Australian Governments (COAG) agreed to transform Australia’s waste and recycling industry, banning the export of waste plastic, paper, glass and tyres while building Australia's capacity to</w:t>
      </w:r>
      <w:r w:rsidR="005867D9">
        <w:rPr>
          <w:rFonts w:eastAsia="Times New Roman"/>
          <w:color w:val="222222"/>
          <w:sz w:val="24"/>
          <w:szCs w:val="24"/>
          <w:lang w:eastAsia="en-AU"/>
        </w:rPr>
        <w:t xml:space="preserve"> manufacture</w:t>
      </w:r>
      <w:r w:rsidRPr="009B5CED">
        <w:rPr>
          <w:rFonts w:eastAsia="Times New Roman"/>
          <w:color w:val="222222"/>
          <w:sz w:val="24"/>
          <w:szCs w:val="24"/>
          <w:lang w:eastAsia="en-AU"/>
        </w:rPr>
        <w:t xml:space="preserve"> high value recycled commodities and</w:t>
      </w:r>
      <w:r w:rsidR="005867D9">
        <w:rPr>
          <w:rFonts w:eastAsia="Times New Roman"/>
          <w:color w:val="222222"/>
          <w:sz w:val="24"/>
          <w:szCs w:val="24"/>
          <w:lang w:eastAsia="en-AU"/>
        </w:rPr>
        <w:t xml:space="preserve"> generate</w:t>
      </w:r>
      <w:r w:rsidRPr="009B5CED">
        <w:rPr>
          <w:rFonts w:eastAsia="Times New Roman"/>
          <w:color w:val="222222"/>
          <w:sz w:val="24"/>
          <w:szCs w:val="24"/>
          <w:lang w:eastAsia="en-AU"/>
        </w:rPr>
        <w:t xml:space="preserve"> associated demand.</w:t>
      </w:r>
    </w:p>
    <w:p w:rsidR="00E34E97" w:rsidRPr="009B5CED" w:rsidRDefault="004E3184" w:rsidP="00E34E97">
      <w:pPr>
        <w:spacing w:after="240"/>
        <w:rPr>
          <w:rFonts w:eastAsia="Times New Roman"/>
          <w:color w:val="222222"/>
          <w:sz w:val="24"/>
          <w:szCs w:val="24"/>
          <w:lang w:eastAsia="en-AU"/>
        </w:rPr>
      </w:pPr>
      <w:r>
        <w:rPr>
          <w:rFonts w:eastAsia="Times New Roman"/>
          <w:color w:val="222222"/>
          <w:sz w:val="24"/>
          <w:szCs w:val="24"/>
          <w:lang w:eastAsia="en-AU"/>
        </w:rPr>
        <w:t>The Australian Government has entered into a National Partnership Agreement (NPA) with States and Territories to jointly invest in recycling infrastructure</w:t>
      </w:r>
      <w:r w:rsidR="003E6087">
        <w:rPr>
          <w:rFonts w:eastAsia="Times New Roman"/>
          <w:color w:val="222222"/>
          <w:sz w:val="24"/>
          <w:szCs w:val="24"/>
          <w:lang w:eastAsia="en-AU"/>
        </w:rPr>
        <w:t xml:space="preserve"> projects</w:t>
      </w:r>
      <w:r w:rsidR="00985996">
        <w:rPr>
          <w:rFonts w:eastAsia="Times New Roman"/>
          <w:color w:val="222222"/>
          <w:sz w:val="24"/>
          <w:szCs w:val="24"/>
          <w:lang w:eastAsia="en-AU"/>
        </w:rPr>
        <w:t xml:space="preserve"> through Recycling Modernisation Fund</w:t>
      </w:r>
      <w:r>
        <w:rPr>
          <w:rFonts w:eastAsia="Times New Roman"/>
          <w:color w:val="222222"/>
          <w:sz w:val="24"/>
          <w:szCs w:val="24"/>
          <w:lang w:eastAsia="en-AU"/>
        </w:rPr>
        <w:t xml:space="preserve"> to help build processing capacity and markets for recycled products. </w:t>
      </w:r>
    </w:p>
    <w:p w:rsidR="000A1D39" w:rsidRPr="009B5CED" w:rsidRDefault="00AD3AB2" w:rsidP="000A1D39">
      <w:pPr>
        <w:rPr>
          <w:sz w:val="24"/>
          <w:szCs w:val="24"/>
          <w:lang w:eastAsia="en-AU"/>
        </w:rPr>
      </w:pPr>
      <w:r>
        <w:rPr>
          <w:color w:val="222222"/>
          <w:sz w:val="24"/>
          <w:szCs w:val="24"/>
        </w:rPr>
        <w:t xml:space="preserve">The </w:t>
      </w:r>
      <w:r w:rsidR="00D60BC2" w:rsidRPr="009B5CED">
        <w:rPr>
          <w:color w:val="222222"/>
          <w:sz w:val="24"/>
          <w:szCs w:val="24"/>
        </w:rPr>
        <w:t xml:space="preserve">NT </w:t>
      </w:r>
      <w:r w:rsidR="00776C45">
        <w:rPr>
          <w:color w:val="222222"/>
          <w:sz w:val="24"/>
          <w:szCs w:val="24"/>
        </w:rPr>
        <w:t>Recycling Modernisation Fund</w:t>
      </w:r>
      <w:r w:rsidR="00D0163C" w:rsidRPr="009B5CED">
        <w:rPr>
          <w:color w:val="222222"/>
          <w:sz w:val="24"/>
          <w:szCs w:val="24"/>
        </w:rPr>
        <w:t xml:space="preserve"> </w:t>
      </w:r>
      <w:r w:rsidR="004E3184">
        <w:rPr>
          <w:color w:val="222222"/>
          <w:sz w:val="24"/>
          <w:szCs w:val="24"/>
        </w:rPr>
        <w:t xml:space="preserve">is a $3.8 million </w:t>
      </w:r>
      <w:r w:rsidR="000A1D39" w:rsidRPr="009B5CED">
        <w:rPr>
          <w:color w:val="222222"/>
          <w:sz w:val="24"/>
          <w:szCs w:val="24"/>
        </w:rPr>
        <w:t>investment</w:t>
      </w:r>
      <w:r w:rsidR="004E3184">
        <w:rPr>
          <w:color w:val="222222"/>
          <w:sz w:val="24"/>
          <w:szCs w:val="24"/>
        </w:rPr>
        <w:t xml:space="preserve">, </w:t>
      </w:r>
      <w:r w:rsidR="00580772" w:rsidRPr="009B5CED">
        <w:rPr>
          <w:color w:val="222222"/>
          <w:sz w:val="24"/>
          <w:szCs w:val="24"/>
        </w:rPr>
        <w:t>compris</w:t>
      </w:r>
      <w:r w:rsidR="00580772">
        <w:rPr>
          <w:color w:val="222222"/>
          <w:sz w:val="24"/>
          <w:szCs w:val="24"/>
        </w:rPr>
        <w:t xml:space="preserve">ing </w:t>
      </w:r>
      <w:r w:rsidR="00580772" w:rsidRPr="009B5CED">
        <w:rPr>
          <w:color w:val="222222"/>
          <w:sz w:val="24"/>
          <w:szCs w:val="24"/>
        </w:rPr>
        <w:t>$</w:t>
      </w:r>
      <w:r w:rsidR="000A1D39" w:rsidRPr="009B5CED">
        <w:rPr>
          <w:color w:val="222222"/>
          <w:sz w:val="24"/>
          <w:szCs w:val="24"/>
        </w:rPr>
        <w:t xml:space="preserve">1.9 million from </w:t>
      </w:r>
      <w:r w:rsidR="0089319B" w:rsidRPr="009B5CED">
        <w:rPr>
          <w:color w:val="222222"/>
          <w:sz w:val="24"/>
          <w:szCs w:val="24"/>
        </w:rPr>
        <w:t xml:space="preserve">the </w:t>
      </w:r>
      <w:r w:rsidR="0089319B">
        <w:rPr>
          <w:color w:val="222222"/>
          <w:sz w:val="24"/>
          <w:szCs w:val="24"/>
        </w:rPr>
        <w:t>Australian</w:t>
      </w:r>
      <w:r w:rsidR="000A1D39" w:rsidRPr="009B5CED">
        <w:rPr>
          <w:color w:val="222222"/>
          <w:sz w:val="24"/>
          <w:szCs w:val="24"/>
        </w:rPr>
        <w:t xml:space="preserve"> Government and $1.9 million in</w:t>
      </w:r>
      <w:r w:rsidR="00D60BC2" w:rsidRPr="009B5CED">
        <w:rPr>
          <w:color w:val="222222"/>
          <w:sz w:val="24"/>
          <w:szCs w:val="24"/>
        </w:rPr>
        <w:t xml:space="preserve"> </w:t>
      </w:r>
      <w:r w:rsidR="000A1D39" w:rsidRPr="009B5CED">
        <w:rPr>
          <w:color w:val="222222"/>
          <w:sz w:val="24"/>
          <w:szCs w:val="24"/>
        </w:rPr>
        <w:t xml:space="preserve">co-funding from </w:t>
      </w:r>
      <w:r w:rsidR="0089319B" w:rsidRPr="009B5CED">
        <w:rPr>
          <w:color w:val="222222"/>
          <w:sz w:val="24"/>
          <w:szCs w:val="24"/>
        </w:rPr>
        <w:t xml:space="preserve">the </w:t>
      </w:r>
      <w:r w:rsidR="0089319B">
        <w:rPr>
          <w:color w:val="222222"/>
          <w:sz w:val="24"/>
          <w:szCs w:val="24"/>
        </w:rPr>
        <w:t>Northern</w:t>
      </w:r>
      <w:r w:rsidR="001466AE">
        <w:rPr>
          <w:color w:val="222222"/>
          <w:sz w:val="24"/>
          <w:szCs w:val="24"/>
        </w:rPr>
        <w:t xml:space="preserve"> Territory</w:t>
      </w:r>
      <w:r w:rsidR="000A1D39" w:rsidRPr="009B5CED">
        <w:rPr>
          <w:color w:val="222222"/>
          <w:sz w:val="24"/>
          <w:szCs w:val="24"/>
        </w:rPr>
        <w:t xml:space="preserve"> Government</w:t>
      </w:r>
      <w:r w:rsidR="004E3184">
        <w:rPr>
          <w:color w:val="222222"/>
          <w:sz w:val="24"/>
          <w:szCs w:val="24"/>
        </w:rPr>
        <w:t xml:space="preserve"> to boost </w:t>
      </w:r>
      <w:r>
        <w:rPr>
          <w:color w:val="222222"/>
          <w:sz w:val="24"/>
          <w:szCs w:val="24"/>
        </w:rPr>
        <w:t xml:space="preserve">the </w:t>
      </w:r>
      <w:r w:rsidR="004E3184">
        <w:rPr>
          <w:color w:val="222222"/>
          <w:sz w:val="24"/>
          <w:szCs w:val="24"/>
        </w:rPr>
        <w:t>Territory’s recycling industry</w:t>
      </w:r>
      <w:r w:rsidR="000A1D39" w:rsidRPr="009B5CED">
        <w:rPr>
          <w:color w:val="222222"/>
          <w:sz w:val="24"/>
          <w:szCs w:val="24"/>
        </w:rPr>
        <w:t>.</w:t>
      </w:r>
      <w:r w:rsidR="004E3184">
        <w:rPr>
          <w:color w:val="222222"/>
          <w:sz w:val="24"/>
          <w:szCs w:val="24"/>
        </w:rPr>
        <w:t xml:space="preserve"> Round 1 of the </w:t>
      </w:r>
      <w:r>
        <w:rPr>
          <w:color w:val="222222"/>
          <w:sz w:val="24"/>
          <w:szCs w:val="24"/>
        </w:rPr>
        <w:t xml:space="preserve">NT RMF </w:t>
      </w:r>
      <w:r w:rsidR="004E3184">
        <w:rPr>
          <w:color w:val="222222"/>
          <w:sz w:val="24"/>
          <w:szCs w:val="24"/>
        </w:rPr>
        <w:t>grant program utilised $2.3</w:t>
      </w:r>
      <w:r w:rsidR="00A4525D">
        <w:rPr>
          <w:color w:val="222222"/>
          <w:sz w:val="24"/>
          <w:szCs w:val="24"/>
        </w:rPr>
        <w:t>3</w:t>
      </w:r>
      <w:r w:rsidR="004E3184">
        <w:rPr>
          <w:color w:val="222222"/>
          <w:sz w:val="24"/>
          <w:szCs w:val="24"/>
        </w:rPr>
        <w:t xml:space="preserve"> million to fund</w:t>
      </w:r>
      <w:r w:rsidR="00F14580">
        <w:rPr>
          <w:color w:val="222222"/>
          <w:sz w:val="24"/>
          <w:szCs w:val="24"/>
        </w:rPr>
        <w:t xml:space="preserve"> seven successful projects. Round 2 of NT RMF aims to utilise balance grant funding of $1.4</w:t>
      </w:r>
      <w:r w:rsidR="00AE0E6B">
        <w:rPr>
          <w:color w:val="222222"/>
          <w:sz w:val="24"/>
          <w:szCs w:val="24"/>
        </w:rPr>
        <w:t>7</w:t>
      </w:r>
      <w:r w:rsidR="00F14580">
        <w:rPr>
          <w:color w:val="222222"/>
          <w:sz w:val="24"/>
          <w:szCs w:val="24"/>
        </w:rPr>
        <w:t xml:space="preserve"> million.</w:t>
      </w:r>
    </w:p>
    <w:p w:rsidR="000A1D39" w:rsidRPr="009B5CED" w:rsidRDefault="00D268EE" w:rsidP="00E34E97">
      <w:pPr>
        <w:spacing w:after="240"/>
        <w:rPr>
          <w:color w:val="222222"/>
          <w:sz w:val="24"/>
          <w:szCs w:val="24"/>
        </w:rPr>
      </w:pPr>
      <w:r w:rsidRPr="009B5CED">
        <w:rPr>
          <w:color w:val="222222"/>
          <w:sz w:val="24"/>
          <w:szCs w:val="24"/>
        </w:rPr>
        <w:t>The fund supports </w:t>
      </w:r>
      <w:hyperlink r:id="rId9" w:history="1">
        <w:r w:rsidRPr="009B5CED">
          <w:rPr>
            <w:color w:val="007EB1"/>
            <w:sz w:val="24"/>
            <w:szCs w:val="24"/>
            <w:u w:val="single"/>
          </w:rPr>
          <w:t>National Waste Policy Action Plan</w:t>
        </w:r>
      </w:hyperlink>
      <w:r w:rsidRPr="009B5CED">
        <w:rPr>
          <w:color w:val="222222"/>
          <w:sz w:val="24"/>
          <w:szCs w:val="24"/>
        </w:rPr>
        <w:t xml:space="preserve"> targets and the NT Circular Economy Strategy 2022-27. </w:t>
      </w:r>
    </w:p>
    <w:p w:rsidR="002740ED" w:rsidRPr="009B5CED" w:rsidRDefault="00D268EE" w:rsidP="00E34E97">
      <w:pPr>
        <w:spacing w:after="240"/>
        <w:rPr>
          <w:color w:val="222222"/>
          <w:sz w:val="24"/>
          <w:szCs w:val="24"/>
        </w:rPr>
      </w:pPr>
      <w:r w:rsidRPr="009B5CED">
        <w:rPr>
          <w:color w:val="222222"/>
          <w:sz w:val="24"/>
          <w:szCs w:val="24"/>
        </w:rPr>
        <w:t>Funding will be invested in projects that</w:t>
      </w:r>
      <w:r w:rsidR="00285FBF">
        <w:rPr>
          <w:color w:val="222222"/>
          <w:sz w:val="24"/>
          <w:szCs w:val="24"/>
        </w:rPr>
        <w:t xml:space="preserve"> create or</w:t>
      </w:r>
      <w:r w:rsidRPr="009B5CED">
        <w:rPr>
          <w:color w:val="222222"/>
          <w:sz w:val="24"/>
          <w:szCs w:val="24"/>
        </w:rPr>
        <w:t xml:space="preserve"> improve </w:t>
      </w:r>
      <w:r w:rsidR="00C42609">
        <w:rPr>
          <w:color w:val="222222"/>
          <w:sz w:val="24"/>
          <w:szCs w:val="24"/>
        </w:rPr>
        <w:t xml:space="preserve">domestic </w:t>
      </w:r>
      <w:r w:rsidR="00FC26C2">
        <w:rPr>
          <w:color w:val="222222"/>
          <w:sz w:val="24"/>
          <w:szCs w:val="24"/>
        </w:rPr>
        <w:t xml:space="preserve">recovery, </w:t>
      </w:r>
      <w:r w:rsidRPr="009B5CED">
        <w:rPr>
          <w:color w:val="222222"/>
          <w:sz w:val="24"/>
          <w:szCs w:val="24"/>
        </w:rPr>
        <w:t>sorting, processing</w:t>
      </w:r>
      <w:r w:rsidRPr="006814D7">
        <w:rPr>
          <w:color w:val="222222"/>
          <w:sz w:val="24"/>
          <w:szCs w:val="24"/>
        </w:rPr>
        <w:t xml:space="preserve">, </w:t>
      </w:r>
      <w:r w:rsidR="00AE20E5" w:rsidRPr="006814D7">
        <w:rPr>
          <w:color w:val="222222"/>
          <w:sz w:val="24"/>
          <w:szCs w:val="24"/>
        </w:rPr>
        <w:t>reuse</w:t>
      </w:r>
      <w:r w:rsidR="00FC26C2" w:rsidRPr="006814D7">
        <w:rPr>
          <w:color w:val="222222"/>
          <w:sz w:val="24"/>
          <w:szCs w:val="24"/>
        </w:rPr>
        <w:t>,</w:t>
      </w:r>
      <w:r w:rsidR="00FC26C2">
        <w:rPr>
          <w:color w:val="222222"/>
          <w:sz w:val="24"/>
          <w:szCs w:val="24"/>
        </w:rPr>
        <w:t xml:space="preserve"> </w:t>
      </w:r>
      <w:r w:rsidRPr="009B5CED">
        <w:rPr>
          <w:color w:val="222222"/>
          <w:sz w:val="24"/>
          <w:szCs w:val="24"/>
        </w:rPr>
        <w:t>recycling or remanufacturing of</w:t>
      </w:r>
      <w:r w:rsidR="002740ED">
        <w:rPr>
          <w:color w:val="222222"/>
          <w:sz w:val="24"/>
          <w:szCs w:val="24"/>
        </w:rPr>
        <w:t xml:space="preserve"> one or more COAG waste</w:t>
      </w:r>
      <w:r w:rsidR="007F182E">
        <w:rPr>
          <w:color w:val="222222"/>
          <w:sz w:val="24"/>
          <w:szCs w:val="24"/>
        </w:rPr>
        <w:t xml:space="preserve"> export</w:t>
      </w:r>
      <w:r w:rsidR="002740ED">
        <w:rPr>
          <w:color w:val="222222"/>
          <w:sz w:val="24"/>
          <w:szCs w:val="24"/>
        </w:rPr>
        <w:t xml:space="preserve"> ban (</w:t>
      </w:r>
      <w:r w:rsidRPr="009B5CED">
        <w:rPr>
          <w:color w:val="222222"/>
          <w:sz w:val="24"/>
          <w:szCs w:val="24"/>
        </w:rPr>
        <w:t>plastic, paper and cardboard, tyres or glass</w:t>
      </w:r>
      <w:r w:rsidR="00AE6F91">
        <w:rPr>
          <w:color w:val="222222"/>
          <w:sz w:val="24"/>
          <w:szCs w:val="24"/>
        </w:rPr>
        <w:t>)</w:t>
      </w:r>
      <w:r w:rsidR="00094C3C">
        <w:rPr>
          <w:color w:val="222222"/>
          <w:sz w:val="24"/>
          <w:szCs w:val="24"/>
        </w:rPr>
        <w:t>.</w:t>
      </w:r>
    </w:p>
    <w:p w:rsidR="00256359" w:rsidRPr="009B5CED" w:rsidRDefault="00256359" w:rsidP="00BA1F64">
      <w:pPr>
        <w:spacing w:after="240"/>
        <w:rPr>
          <w:rFonts w:eastAsia="Times New Roman"/>
          <w:color w:val="222222"/>
          <w:sz w:val="24"/>
          <w:szCs w:val="24"/>
          <w:lang w:eastAsia="en-AU"/>
        </w:rPr>
      </w:pPr>
      <w:r w:rsidRPr="009B5CED">
        <w:rPr>
          <w:color w:val="222222"/>
          <w:sz w:val="24"/>
          <w:szCs w:val="24"/>
        </w:rPr>
        <w:t xml:space="preserve">Under the National Partnership Agreement and co-funding arrangements, the Northern Territory Government will administer the </w:t>
      </w:r>
      <w:r w:rsidR="000F3FD5" w:rsidRPr="009B5CED">
        <w:rPr>
          <w:color w:val="222222"/>
          <w:sz w:val="24"/>
          <w:szCs w:val="24"/>
        </w:rPr>
        <w:t xml:space="preserve">NT </w:t>
      </w:r>
      <w:r w:rsidR="000F3FD5">
        <w:rPr>
          <w:color w:val="222222"/>
          <w:sz w:val="24"/>
          <w:szCs w:val="24"/>
        </w:rPr>
        <w:t>Recycling</w:t>
      </w:r>
      <w:r w:rsidR="00776C45">
        <w:rPr>
          <w:color w:val="222222"/>
          <w:sz w:val="24"/>
          <w:szCs w:val="24"/>
        </w:rPr>
        <w:t xml:space="preserve"> Modernisation Fund</w:t>
      </w:r>
      <w:r w:rsidRPr="009B5CED">
        <w:rPr>
          <w:color w:val="222222"/>
          <w:sz w:val="24"/>
          <w:szCs w:val="24"/>
        </w:rPr>
        <w:t xml:space="preserve"> through the Department of Industry, Tourism and Trade.</w:t>
      </w:r>
    </w:p>
    <w:p w:rsidR="00F12F87" w:rsidRDefault="00A36536" w:rsidP="003C5FCE">
      <w:pPr>
        <w:pStyle w:val="Heading1"/>
        <w:rPr>
          <w:lang w:eastAsia="en-AU"/>
        </w:rPr>
      </w:pPr>
      <w:bookmarkStart w:id="6" w:name="_Toc118897467"/>
      <w:r>
        <w:rPr>
          <w:lang w:eastAsia="en-AU"/>
        </w:rPr>
        <w:lastRenderedPageBreak/>
        <w:t xml:space="preserve">3. </w:t>
      </w:r>
      <w:r>
        <w:rPr>
          <w:lang w:eastAsia="en-AU"/>
        </w:rPr>
        <w:tab/>
      </w:r>
      <w:r w:rsidR="00F12F87">
        <w:rPr>
          <w:lang w:eastAsia="en-AU"/>
        </w:rPr>
        <w:t xml:space="preserve">Program </w:t>
      </w:r>
      <w:r w:rsidR="004E107A">
        <w:rPr>
          <w:lang w:eastAsia="en-AU"/>
        </w:rPr>
        <w:t>objectives and outcomes</w:t>
      </w:r>
      <w:bookmarkEnd w:id="6"/>
    </w:p>
    <w:p w:rsidR="004E107A" w:rsidRPr="004E107A" w:rsidRDefault="004E107A" w:rsidP="004E107A">
      <w:pPr>
        <w:rPr>
          <w:rFonts w:ascii="Lato Semibold" w:eastAsia="Times New Roman" w:hAnsi="Lato Semibold"/>
          <w:color w:val="1F1F5F"/>
          <w:kern w:val="32"/>
          <w:sz w:val="28"/>
          <w:szCs w:val="32"/>
          <w:lang w:eastAsia="en-AU"/>
        </w:rPr>
      </w:pPr>
      <w:r w:rsidRPr="004E107A">
        <w:rPr>
          <w:rFonts w:ascii="Lato Semibold" w:eastAsia="Times New Roman" w:hAnsi="Lato Semibold"/>
          <w:color w:val="1F1F5F"/>
          <w:kern w:val="32"/>
          <w:sz w:val="28"/>
          <w:szCs w:val="32"/>
          <w:lang w:eastAsia="en-AU"/>
        </w:rPr>
        <w:t>Objective</w:t>
      </w:r>
    </w:p>
    <w:p w:rsidR="006D6223" w:rsidRDefault="00F12F87" w:rsidP="00F12F87">
      <w:pPr>
        <w:spacing w:after="240"/>
        <w:rPr>
          <w:color w:val="222222"/>
          <w:sz w:val="24"/>
          <w:szCs w:val="24"/>
        </w:rPr>
      </w:pPr>
      <w:r w:rsidRPr="009B5CED">
        <w:rPr>
          <w:color w:val="222222"/>
          <w:sz w:val="24"/>
          <w:szCs w:val="24"/>
        </w:rPr>
        <w:t xml:space="preserve">The </w:t>
      </w:r>
      <w:r w:rsidR="00D60BC2" w:rsidRPr="009B5CED">
        <w:rPr>
          <w:color w:val="222222"/>
          <w:sz w:val="24"/>
          <w:szCs w:val="24"/>
        </w:rPr>
        <w:t xml:space="preserve">NT </w:t>
      </w:r>
      <w:r w:rsidR="00776C45">
        <w:rPr>
          <w:color w:val="222222"/>
          <w:sz w:val="24"/>
          <w:szCs w:val="24"/>
        </w:rPr>
        <w:t>Recycling Modernisation Fund</w:t>
      </w:r>
      <w:r w:rsidRPr="009B5CED">
        <w:rPr>
          <w:color w:val="222222"/>
          <w:sz w:val="24"/>
          <w:szCs w:val="24"/>
        </w:rPr>
        <w:t xml:space="preserve"> (</w:t>
      </w:r>
      <w:r w:rsidR="00D60BC2" w:rsidRPr="009B5CED">
        <w:rPr>
          <w:color w:val="222222"/>
          <w:sz w:val="24"/>
          <w:szCs w:val="24"/>
        </w:rPr>
        <w:t xml:space="preserve">NT </w:t>
      </w:r>
      <w:r w:rsidR="006B446B">
        <w:rPr>
          <w:color w:val="222222"/>
          <w:sz w:val="24"/>
          <w:szCs w:val="24"/>
        </w:rPr>
        <w:t>RMF)</w:t>
      </w:r>
      <w:r w:rsidRPr="009B5CED">
        <w:rPr>
          <w:color w:val="222222"/>
          <w:sz w:val="24"/>
          <w:szCs w:val="24"/>
        </w:rPr>
        <w:t xml:space="preserve"> is a joint initiative supported by the </w:t>
      </w:r>
      <w:r w:rsidR="0089319B">
        <w:rPr>
          <w:color w:val="222222"/>
          <w:sz w:val="24"/>
          <w:szCs w:val="24"/>
        </w:rPr>
        <w:t>Australian Government and the Northern</w:t>
      </w:r>
      <w:r w:rsidR="0089319B" w:rsidRPr="009B5CED">
        <w:rPr>
          <w:color w:val="222222"/>
          <w:sz w:val="24"/>
          <w:szCs w:val="24"/>
        </w:rPr>
        <w:t xml:space="preserve"> </w:t>
      </w:r>
      <w:r w:rsidRPr="009B5CED">
        <w:rPr>
          <w:color w:val="222222"/>
          <w:sz w:val="24"/>
          <w:szCs w:val="24"/>
        </w:rPr>
        <w:t xml:space="preserve">Territory </w:t>
      </w:r>
      <w:r w:rsidR="00DA2C2F">
        <w:rPr>
          <w:color w:val="222222"/>
          <w:sz w:val="24"/>
          <w:szCs w:val="24"/>
        </w:rPr>
        <w:t>Government</w:t>
      </w:r>
      <w:r w:rsidRPr="009B5CED">
        <w:rPr>
          <w:color w:val="222222"/>
          <w:sz w:val="24"/>
          <w:szCs w:val="24"/>
        </w:rPr>
        <w:t xml:space="preserve"> to </w:t>
      </w:r>
      <w:r w:rsidR="006D2949">
        <w:rPr>
          <w:color w:val="222222"/>
          <w:sz w:val="24"/>
          <w:szCs w:val="24"/>
        </w:rPr>
        <w:t>improve recycling outcomes by</w:t>
      </w:r>
      <w:r w:rsidR="004E107A">
        <w:rPr>
          <w:color w:val="222222"/>
          <w:sz w:val="24"/>
          <w:szCs w:val="24"/>
        </w:rPr>
        <w:t xml:space="preserve"> addressing critical infrastructure gaps in Northern Territory’s waste management and resource recovery system.  </w:t>
      </w:r>
      <w:r w:rsidR="006D2949">
        <w:rPr>
          <w:color w:val="222222"/>
          <w:sz w:val="24"/>
          <w:szCs w:val="24"/>
        </w:rPr>
        <w:t xml:space="preserve"> </w:t>
      </w:r>
    </w:p>
    <w:p w:rsidR="004E107A" w:rsidRPr="004E107A" w:rsidRDefault="004E107A" w:rsidP="004E107A">
      <w:pPr>
        <w:rPr>
          <w:rFonts w:ascii="Lato Semibold" w:eastAsia="Times New Roman" w:hAnsi="Lato Semibold"/>
          <w:color w:val="1F1F5F"/>
          <w:kern w:val="32"/>
          <w:sz w:val="28"/>
          <w:szCs w:val="32"/>
          <w:lang w:eastAsia="en-AU"/>
        </w:rPr>
      </w:pPr>
      <w:r>
        <w:rPr>
          <w:rFonts w:ascii="Lato Semibold" w:eastAsia="Times New Roman" w:hAnsi="Lato Semibold"/>
          <w:color w:val="1F1F5F"/>
          <w:kern w:val="32"/>
          <w:sz w:val="28"/>
          <w:szCs w:val="32"/>
          <w:lang w:eastAsia="en-AU"/>
        </w:rPr>
        <w:t>Outcome</w:t>
      </w:r>
    </w:p>
    <w:p w:rsidR="006D6223" w:rsidRDefault="00F12F87" w:rsidP="00F12F87">
      <w:pPr>
        <w:spacing w:after="240"/>
        <w:rPr>
          <w:color w:val="222222"/>
          <w:sz w:val="24"/>
          <w:szCs w:val="24"/>
        </w:rPr>
      </w:pPr>
      <w:r w:rsidRPr="009B5CED">
        <w:rPr>
          <w:color w:val="222222"/>
          <w:sz w:val="24"/>
          <w:szCs w:val="24"/>
        </w:rPr>
        <w:t xml:space="preserve">The key outcome </w:t>
      </w:r>
      <w:r w:rsidR="0023777D">
        <w:rPr>
          <w:color w:val="222222"/>
          <w:sz w:val="24"/>
          <w:szCs w:val="24"/>
        </w:rPr>
        <w:t xml:space="preserve">of the </w:t>
      </w:r>
      <w:r w:rsidR="007C2BEC" w:rsidRPr="009B5CED">
        <w:rPr>
          <w:color w:val="222222"/>
          <w:sz w:val="24"/>
          <w:szCs w:val="24"/>
        </w:rPr>
        <w:t xml:space="preserve">NT </w:t>
      </w:r>
      <w:r w:rsidR="00776C45">
        <w:rPr>
          <w:color w:val="222222"/>
          <w:sz w:val="24"/>
          <w:szCs w:val="24"/>
        </w:rPr>
        <w:t xml:space="preserve">RMF </w:t>
      </w:r>
      <w:r w:rsidRPr="009B5CED">
        <w:rPr>
          <w:color w:val="222222"/>
          <w:sz w:val="24"/>
          <w:szCs w:val="24"/>
        </w:rPr>
        <w:t xml:space="preserve">is </w:t>
      </w:r>
      <w:r w:rsidR="005867D9">
        <w:rPr>
          <w:color w:val="222222"/>
          <w:sz w:val="24"/>
          <w:szCs w:val="24"/>
        </w:rPr>
        <w:t xml:space="preserve">the </w:t>
      </w:r>
      <w:r w:rsidRPr="009B5CED">
        <w:rPr>
          <w:color w:val="222222"/>
          <w:sz w:val="24"/>
          <w:szCs w:val="24"/>
        </w:rPr>
        <w:t xml:space="preserve">acceleration of projects that </w:t>
      </w:r>
      <w:r w:rsidR="004E107A">
        <w:rPr>
          <w:color w:val="222222"/>
          <w:sz w:val="24"/>
          <w:szCs w:val="24"/>
        </w:rPr>
        <w:t>will facilitate greater resource recovery by:</w:t>
      </w:r>
    </w:p>
    <w:p w:rsidR="006D6223" w:rsidRDefault="006D2949" w:rsidP="00A80916">
      <w:pPr>
        <w:pStyle w:val="ListParagraph"/>
        <w:numPr>
          <w:ilvl w:val="0"/>
          <w:numId w:val="18"/>
        </w:numPr>
        <w:spacing w:after="240"/>
        <w:rPr>
          <w:color w:val="222222"/>
          <w:sz w:val="24"/>
          <w:szCs w:val="24"/>
        </w:rPr>
      </w:pPr>
      <w:r w:rsidRPr="006D6223">
        <w:rPr>
          <w:color w:val="222222"/>
          <w:sz w:val="24"/>
          <w:szCs w:val="24"/>
        </w:rPr>
        <w:t>increas</w:t>
      </w:r>
      <w:r w:rsidR="004E107A">
        <w:rPr>
          <w:color w:val="222222"/>
          <w:sz w:val="24"/>
          <w:szCs w:val="24"/>
        </w:rPr>
        <w:t>ing</w:t>
      </w:r>
      <w:r w:rsidRPr="006D6223">
        <w:rPr>
          <w:color w:val="222222"/>
          <w:sz w:val="24"/>
          <w:szCs w:val="24"/>
        </w:rPr>
        <w:t xml:space="preserve"> the supply of quality recycled materials available for </w:t>
      </w:r>
      <w:r w:rsidR="00144CF9" w:rsidRPr="006D6223">
        <w:rPr>
          <w:color w:val="222222"/>
          <w:sz w:val="24"/>
          <w:szCs w:val="24"/>
        </w:rPr>
        <w:t>re</w:t>
      </w:r>
      <w:r w:rsidR="00144CF9">
        <w:rPr>
          <w:color w:val="222222"/>
          <w:sz w:val="24"/>
          <w:szCs w:val="24"/>
        </w:rPr>
        <w:t>-</w:t>
      </w:r>
      <w:r w:rsidR="00144CF9" w:rsidRPr="006D6223">
        <w:rPr>
          <w:color w:val="222222"/>
          <w:sz w:val="24"/>
          <w:szCs w:val="24"/>
        </w:rPr>
        <w:t>use</w:t>
      </w:r>
      <w:r w:rsidR="006D6223" w:rsidRPr="006D6223">
        <w:rPr>
          <w:color w:val="222222"/>
          <w:sz w:val="24"/>
          <w:szCs w:val="24"/>
        </w:rPr>
        <w:t>,</w:t>
      </w:r>
      <w:r w:rsidRPr="006D6223">
        <w:rPr>
          <w:color w:val="222222"/>
          <w:sz w:val="24"/>
          <w:szCs w:val="24"/>
        </w:rPr>
        <w:t xml:space="preserve"> and </w:t>
      </w:r>
    </w:p>
    <w:p w:rsidR="004E107A" w:rsidRPr="004E107A" w:rsidRDefault="006B446B" w:rsidP="00A80916">
      <w:pPr>
        <w:pStyle w:val="ListParagraph"/>
        <w:numPr>
          <w:ilvl w:val="0"/>
          <w:numId w:val="18"/>
        </w:numPr>
        <w:spacing w:after="240"/>
        <w:rPr>
          <w:color w:val="222222"/>
          <w:sz w:val="24"/>
          <w:szCs w:val="24"/>
        </w:rPr>
      </w:pPr>
      <w:r>
        <w:rPr>
          <w:color w:val="222222"/>
          <w:sz w:val="24"/>
          <w:szCs w:val="24"/>
        </w:rPr>
        <w:t>i</w:t>
      </w:r>
      <w:r w:rsidR="004E107A" w:rsidRPr="004E107A">
        <w:rPr>
          <w:color w:val="222222"/>
          <w:sz w:val="24"/>
          <w:szCs w:val="24"/>
        </w:rPr>
        <w:t>ncreasing the capacity for domestic sorting, processing and manufacturing of materials affected by the COAG waste export ban</w:t>
      </w:r>
      <w:r w:rsidR="005867D9">
        <w:rPr>
          <w:color w:val="222222"/>
          <w:sz w:val="24"/>
          <w:szCs w:val="24"/>
        </w:rPr>
        <w:t>.</w:t>
      </w:r>
    </w:p>
    <w:p w:rsidR="00DD16E6" w:rsidRPr="00905DD7" w:rsidRDefault="009E11BE" w:rsidP="00905DD7">
      <w:pPr>
        <w:spacing w:after="240"/>
        <w:rPr>
          <w:color w:val="222222"/>
          <w:sz w:val="24"/>
          <w:szCs w:val="24"/>
        </w:rPr>
      </w:pPr>
      <w:r w:rsidRPr="00905DD7">
        <w:rPr>
          <w:color w:val="222222"/>
          <w:sz w:val="24"/>
          <w:szCs w:val="24"/>
        </w:rPr>
        <w:t>The objectives and outcomes will be achieved by investment in p</w:t>
      </w:r>
      <w:r w:rsidR="00F12F87" w:rsidRPr="00905DD7">
        <w:rPr>
          <w:color w:val="222222"/>
          <w:sz w:val="24"/>
          <w:szCs w:val="24"/>
        </w:rPr>
        <w:t xml:space="preserve">rojects </w:t>
      </w:r>
      <w:r w:rsidRPr="00905DD7">
        <w:rPr>
          <w:color w:val="222222"/>
          <w:sz w:val="24"/>
          <w:szCs w:val="24"/>
        </w:rPr>
        <w:t>that</w:t>
      </w:r>
      <w:r w:rsidR="00F12F87" w:rsidRPr="00905DD7">
        <w:rPr>
          <w:color w:val="222222"/>
          <w:sz w:val="24"/>
          <w:szCs w:val="24"/>
        </w:rPr>
        <w:t xml:space="preserve"> add value to waste</w:t>
      </w:r>
      <w:r w:rsidR="00F90960" w:rsidRPr="00905DD7">
        <w:rPr>
          <w:color w:val="222222"/>
          <w:sz w:val="24"/>
          <w:szCs w:val="24"/>
        </w:rPr>
        <w:t xml:space="preserve"> materials and retain</w:t>
      </w:r>
      <w:r w:rsidR="0034243B">
        <w:rPr>
          <w:color w:val="222222"/>
          <w:sz w:val="24"/>
          <w:szCs w:val="24"/>
        </w:rPr>
        <w:t xml:space="preserve"> </w:t>
      </w:r>
      <w:r w:rsidR="00F90960" w:rsidRPr="00905DD7">
        <w:rPr>
          <w:color w:val="222222"/>
          <w:sz w:val="24"/>
          <w:szCs w:val="24"/>
        </w:rPr>
        <w:t>them as resources where possible within local economies</w:t>
      </w:r>
      <w:r w:rsidR="00F90960" w:rsidRPr="00D50543">
        <w:rPr>
          <w:color w:val="222222"/>
          <w:sz w:val="24"/>
          <w:szCs w:val="24"/>
        </w:rPr>
        <w:t>.</w:t>
      </w:r>
      <w:r w:rsidR="00DD16E6" w:rsidRPr="00D50543">
        <w:rPr>
          <w:color w:val="222222"/>
          <w:sz w:val="24"/>
          <w:szCs w:val="24"/>
        </w:rPr>
        <w:t xml:space="preserve"> </w:t>
      </w:r>
      <w:r w:rsidR="002819A7" w:rsidRPr="00D50543">
        <w:rPr>
          <w:color w:val="222222"/>
          <w:sz w:val="24"/>
          <w:szCs w:val="24"/>
        </w:rPr>
        <w:t xml:space="preserve">The projects </w:t>
      </w:r>
      <w:r w:rsidR="005867D9">
        <w:rPr>
          <w:color w:val="222222"/>
          <w:sz w:val="24"/>
          <w:szCs w:val="24"/>
        </w:rPr>
        <w:t>will also</w:t>
      </w:r>
      <w:r w:rsidR="002819A7" w:rsidRPr="00D50543">
        <w:rPr>
          <w:color w:val="222222"/>
          <w:sz w:val="24"/>
          <w:szCs w:val="24"/>
        </w:rPr>
        <w:t xml:space="preserve"> support</w:t>
      </w:r>
      <w:r w:rsidR="00905DD7" w:rsidRPr="00D50543">
        <w:rPr>
          <w:color w:val="222222"/>
          <w:sz w:val="24"/>
          <w:szCs w:val="24"/>
        </w:rPr>
        <w:t xml:space="preserve"> sustainable job creation</w:t>
      </w:r>
      <w:r w:rsidR="002819A7" w:rsidRPr="00D50543">
        <w:rPr>
          <w:color w:val="222222"/>
          <w:sz w:val="24"/>
          <w:szCs w:val="24"/>
        </w:rPr>
        <w:t xml:space="preserve">, </w:t>
      </w:r>
      <w:r w:rsidR="00905DD7" w:rsidRPr="00D50543">
        <w:rPr>
          <w:color w:val="222222"/>
          <w:sz w:val="24"/>
          <w:szCs w:val="24"/>
        </w:rPr>
        <w:t>business growth</w:t>
      </w:r>
      <w:r w:rsidR="002819A7" w:rsidRPr="00D50543">
        <w:rPr>
          <w:color w:val="222222"/>
          <w:sz w:val="24"/>
          <w:szCs w:val="24"/>
        </w:rPr>
        <w:t xml:space="preserve"> and industry development, particularly </w:t>
      </w:r>
      <w:r w:rsidR="00905DD7" w:rsidRPr="00D50543">
        <w:rPr>
          <w:color w:val="222222"/>
          <w:sz w:val="24"/>
          <w:szCs w:val="24"/>
        </w:rPr>
        <w:t xml:space="preserve">in </w:t>
      </w:r>
      <w:r w:rsidR="00D9217A">
        <w:rPr>
          <w:color w:val="222222"/>
          <w:sz w:val="24"/>
          <w:szCs w:val="24"/>
        </w:rPr>
        <w:t xml:space="preserve">the </w:t>
      </w:r>
      <w:r w:rsidR="00905DD7" w:rsidRPr="00D50543">
        <w:rPr>
          <w:color w:val="222222"/>
          <w:sz w:val="24"/>
          <w:szCs w:val="24"/>
        </w:rPr>
        <w:t>regional and remote</w:t>
      </w:r>
      <w:r w:rsidR="002819A7" w:rsidRPr="00D50543">
        <w:rPr>
          <w:color w:val="222222"/>
          <w:sz w:val="24"/>
          <w:szCs w:val="24"/>
        </w:rPr>
        <w:t xml:space="preserve"> areas</w:t>
      </w:r>
      <w:r w:rsidR="00905DD7" w:rsidRPr="00D50543">
        <w:rPr>
          <w:color w:val="222222"/>
          <w:sz w:val="24"/>
          <w:szCs w:val="24"/>
        </w:rPr>
        <w:t>.</w:t>
      </w:r>
    </w:p>
    <w:p w:rsidR="00F12F87" w:rsidRPr="009B5CED" w:rsidRDefault="00F12F87" w:rsidP="00F12F87">
      <w:pPr>
        <w:spacing w:after="240"/>
        <w:rPr>
          <w:color w:val="222222"/>
          <w:sz w:val="24"/>
          <w:szCs w:val="24"/>
        </w:rPr>
      </w:pPr>
      <w:r w:rsidRPr="009B5CED">
        <w:rPr>
          <w:color w:val="222222"/>
          <w:sz w:val="24"/>
          <w:szCs w:val="24"/>
        </w:rPr>
        <w:t xml:space="preserve">The </w:t>
      </w:r>
      <w:r w:rsidR="007C2BEC" w:rsidRPr="009B5CED">
        <w:rPr>
          <w:color w:val="222222"/>
          <w:sz w:val="24"/>
          <w:szCs w:val="24"/>
        </w:rPr>
        <w:t xml:space="preserve">NT </w:t>
      </w:r>
      <w:r w:rsidR="00776C45">
        <w:rPr>
          <w:color w:val="222222"/>
          <w:sz w:val="24"/>
          <w:szCs w:val="24"/>
        </w:rPr>
        <w:t>RMF</w:t>
      </w:r>
      <w:r w:rsidR="005C5638">
        <w:rPr>
          <w:color w:val="222222"/>
          <w:sz w:val="24"/>
          <w:szCs w:val="24"/>
        </w:rPr>
        <w:t xml:space="preserve"> Round 2</w:t>
      </w:r>
      <w:r w:rsidR="00256359" w:rsidRPr="009B5CED">
        <w:rPr>
          <w:color w:val="222222"/>
          <w:sz w:val="24"/>
          <w:szCs w:val="24"/>
        </w:rPr>
        <w:t xml:space="preserve"> </w:t>
      </w:r>
      <w:r w:rsidRPr="009B5CED">
        <w:rPr>
          <w:color w:val="222222"/>
          <w:sz w:val="24"/>
          <w:szCs w:val="24"/>
        </w:rPr>
        <w:t xml:space="preserve">is focused on: </w:t>
      </w:r>
    </w:p>
    <w:p w:rsidR="007C2BEC" w:rsidRPr="000B285D" w:rsidRDefault="00CE62CD" w:rsidP="000B285D">
      <w:pPr>
        <w:pStyle w:val="ListParagraph"/>
        <w:numPr>
          <w:ilvl w:val="0"/>
          <w:numId w:val="35"/>
        </w:numPr>
        <w:tabs>
          <w:tab w:val="left" w:pos="142"/>
          <w:tab w:val="left" w:pos="709"/>
        </w:tabs>
        <w:spacing w:after="240"/>
        <w:rPr>
          <w:color w:val="222222"/>
          <w:sz w:val="24"/>
          <w:szCs w:val="24"/>
        </w:rPr>
      </w:pPr>
      <w:r w:rsidRPr="000B285D">
        <w:rPr>
          <w:color w:val="222222"/>
          <w:sz w:val="24"/>
          <w:szCs w:val="24"/>
        </w:rPr>
        <w:t>Attracting</w:t>
      </w:r>
      <w:r w:rsidR="00F12F87" w:rsidRPr="000B285D">
        <w:rPr>
          <w:color w:val="222222"/>
          <w:sz w:val="24"/>
          <w:szCs w:val="24"/>
        </w:rPr>
        <w:t xml:space="preserve"> private sector investment in new infrastructure to address the</w:t>
      </w:r>
      <w:r w:rsidR="004D70E2" w:rsidRPr="000B285D">
        <w:rPr>
          <w:color w:val="222222"/>
          <w:sz w:val="24"/>
          <w:szCs w:val="24"/>
        </w:rPr>
        <w:t xml:space="preserve"> following</w:t>
      </w:r>
      <w:r w:rsidR="0049561B" w:rsidRPr="000B285D">
        <w:rPr>
          <w:color w:val="222222"/>
          <w:sz w:val="24"/>
          <w:szCs w:val="24"/>
        </w:rPr>
        <w:t xml:space="preserve"> waste </w:t>
      </w:r>
      <w:r w:rsidR="00F12F87" w:rsidRPr="000B285D">
        <w:rPr>
          <w:color w:val="222222"/>
          <w:sz w:val="24"/>
          <w:szCs w:val="24"/>
        </w:rPr>
        <w:t xml:space="preserve">streams: </w:t>
      </w:r>
    </w:p>
    <w:p w:rsidR="007C2BEC" w:rsidRPr="009B5CED" w:rsidRDefault="00256359" w:rsidP="00CE62CD">
      <w:pPr>
        <w:pStyle w:val="ListParagraph"/>
        <w:numPr>
          <w:ilvl w:val="0"/>
          <w:numId w:val="21"/>
        </w:numPr>
        <w:spacing w:after="240"/>
        <w:ind w:left="993" w:hanging="295"/>
        <w:rPr>
          <w:b/>
          <w:color w:val="222222"/>
          <w:sz w:val="24"/>
          <w:szCs w:val="24"/>
        </w:rPr>
      </w:pPr>
      <w:r w:rsidRPr="009B5CED">
        <w:rPr>
          <w:b/>
          <w:color w:val="222222"/>
          <w:sz w:val="24"/>
          <w:szCs w:val="24"/>
        </w:rPr>
        <w:t>plastic</w:t>
      </w:r>
      <w:r w:rsidR="00C826AA" w:rsidRPr="00B94DFC">
        <w:rPr>
          <w:b/>
          <w:color w:val="FF0000"/>
          <w:sz w:val="24"/>
          <w:szCs w:val="24"/>
        </w:rPr>
        <w:t>*</w:t>
      </w:r>
    </w:p>
    <w:p w:rsidR="007C2BEC" w:rsidRPr="00B94DFC" w:rsidRDefault="00F12F87" w:rsidP="00CE62CD">
      <w:pPr>
        <w:pStyle w:val="ListParagraph"/>
        <w:numPr>
          <w:ilvl w:val="0"/>
          <w:numId w:val="21"/>
        </w:numPr>
        <w:spacing w:after="240"/>
        <w:ind w:left="993" w:hanging="295"/>
        <w:rPr>
          <w:b/>
          <w:color w:val="FF0000"/>
          <w:sz w:val="24"/>
          <w:szCs w:val="24"/>
        </w:rPr>
      </w:pPr>
      <w:r w:rsidRPr="009B5CED">
        <w:rPr>
          <w:b/>
          <w:color w:val="222222"/>
          <w:sz w:val="24"/>
          <w:szCs w:val="24"/>
        </w:rPr>
        <w:t>mixed a</w:t>
      </w:r>
      <w:r w:rsidR="00256359" w:rsidRPr="009B5CED">
        <w:rPr>
          <w:b/>
          <w:color w:val="222222"/>
          <w:sz w:val="24"/>
          <w:szCs w:val="24"/>
        </w:rPr>
        <w:t>nd unsorted paper and cardboard</w:t>
      </w:r>
      <w:r w:rsidR="00C826AA" w:rsidRPr="00B94DFC">
        <w:rPr>
          <w:b/>
          <w:color w:val="FF0000"/>
          <w:sz w:val="24"/>
          <w:szCs w:val="24"/>
        </w:rPr>
        <w:t>*</w:t>
      </w:r>
    </w:p>
    <w:p w:rsidR="007C2BEC" w:rsidRPr="009B5CED" w:rsidRDefault="00F12F87" w:rsidP="00CE62CD">
      <w:pPr>
        <w:pStyle w:val="ListParagraph"/>
        <w:numPr>
          <w:ilvl w:val="0"/>
          <w:numId w:val="21"/>
        </w:numPr>
        <w:spacing w:after="240"/>
        <w:ind w:left="993" w:hanging="295"/>
        <w:rPr>
          <w:b/>
          <w:color w:val="222222"/>
          <w:sz w:val="24"/>
          <w:szCs w:val="24"/>
        </w:rPr>
      </w:pPr>
      <w:r w:rsidRPr="009B5CED">
        <w:rPr>
          <w:b/>
          <w:color w:val="222222"/>
          <w:sz w:val="24"/>
          <w:szCs w:val="24"/>
        </w:rPr>
        <w:t>glass, in a whole or broken state (both formed packaging and flat sheet glass) and</w:t>
      </w:r>
    </w:p>
    <w:p w:rsidR="00F12F87" w:rsidRDefault="00F12F87" w:rsidP="00CE62CD">
      <w:pPr>
        <w:pStyle w:val="ListParagraph"/>
        <w:numPr>
          <w:ilvl w:val="0"/>
          <w:numId w:val="21"/>
        </w:numPr>
        <w:spacing w:after="240"/>
        <w:ind w:left="993" w:hanging="295"/>
        <w:rPr>
          <w:b/>
          <w:color w:val="222222"/>
          <w:sz w:val="24"/>
          <w:szCs w:val="24"/>
        </w:rPr>
      </w:pPr>
      <w:r w:rsidRPr="009B5CED">
        <w:rPr>
          <w:b/>
          <w:color w:val="222222"/>
          <w:sz w:val="24"/>
          <w:szCs w:val="24"/>
        </w:rPr>
        <w:t xml:space="preserve">whole used tyres, including baled tyres </w:t>
      </w:r>
    </w:p>
    <w:p w:rsidR="00C826AA" w:rsidRDefault="00B94DFC" w:rsidP="00CE62CD">
      <w:pPr>
        <w:spacing w:after="240"/>
        <w:ind w:left="284" w:firstLine="425"/>
        <w:rPr>
          <w:color w:val="222222"/>
          <w:sz w:val="24"/>
          <w:szCs w:val="24"/>
        </w:rPr>
      </w:pPr>
      <w:r w:rsidRPr="00B94DFC">
        <w:rPr>
          <w:b/>
          <w:color w:val="FF0000"/>
          <w:sz w:val="24"/>
          <w:szCs w:val="24"/>
        </w:rPr>
        <w:t>*</w:t>
      </w:r>
      <w:r w:rsidR="004F1405">
        <w:rPr>
          <w:color w:val="222222"/>
          <w:sz w:val="24"/>
          <w:szCs w:val="24"/>
        </w:rPr>
        <w:t xml:space="preserve"> </w:t>
      </w:r>
      <w:r w:rsidR="00C826AA">
        <w:rPr>
          <w:color w:val="222222"/>
          <w:sz w:val="24"/>
          <w:szCs w:val="24"/>
        </w:rPr>
        <w:t>NT RMF Round 2 priority waste stream</w:t>
      </w:r>
    </w:p>
    <w:p w:rsidR="00AD3AB2" w:rsidRDefault="004F1405" w:rsidP="00CE62CD">
      <w:pPr>
        <w:spacing w:after="240"/>
        <w:ind w:left="709"/>
        <w:rPr>
          <w:color w:val="222222"/>
          <w:sz w:val="24"/>
          <w:szCs w:val="24"/>
        </w:rPr>
      </w:pPr>
      <w:r>
        <w:rPr>
          <w:color w:val="222222"/>
          <w:sz w:val="24"/>
          <w:szCs w:val="24"/>
        </w:rPr>
        <w:t xml:space="preserve">NT RMF Round 1 funded </w:t>
      </w:r>
      <w:r w:rsidR="009B1403">
        <w:rPr>
          <w:color w:val="222222"/>
          <w:sz w:val="24"/>
          <w:szCs w:val="24"/>
        </w:rPr>
        <w:t xml:space="preserve">a </w:t>
      </w:r>
      <w:r>
        <w:rPr>
          <w:color w:val="222222"/>
          <w:sz w:val="24"/>
          <w:szCs w:val="24"/>
        </w:rPr>
        <w:t xml:space="preserve">glass </w:t>
      </w:r>
      <w:r w:rsidR="009B1403">
        <w:rPr>
          <w:color w:val="222222"/>
          <w:sz w:val="24"/>
          <w:szCs w:val="24"/>
        </w:rPr>
        <w:t xml:space="preserve">recycling project </w:t>
      </w:r>
      <w:r>
        <w:rPr>
          <w:color w:val="222222"/>
          <w:sz w:val="24"/>
          <w:szCs w:val="24"/>
        </w:rPr>
        <w:t xml:space="preserve">and </w:t>
      </w:r>
      <w:r w:rsidR="009B1403">
        <w:rPr>
          <w:color w:val="222222"/>
          <w:sz w:val="24"/>
          <w:szCs w:val="24"/>
        </w:rPr>
        <w:t xml:space="preserve">a </w:t>
      </w:r>
      <w:r>
        <w:rPr>
          <w:color w:val="222222"/>
          <w:sz w:val="24"/>
          <w:szCs w:val="24"/>
        </w:rPr>
        <w:t>tyre recyc</w:t>
      </w:r>
      <w:r w:rsidR="009B1403">
        <w:rPr>
          <w:color w:val="222222"/>
          <w:sz w:val="24"/>
          <w:szCs w:val="24"/>
        </w:rPr>
        <w:t>ling project</w:t>
      </w:r>
      <w:r>
        <w:rPr>
          <w:color w:val="222222"/>
          <w:sz w:val="24"/>
          <w:szCs w:val="24"/>
        </w:rPr>
        <w:t xml:space="preserve"> that shall process </w:t>
      </w:r>
      <w:r w:rsidR="00CE62CD">
        <w:rPr>
          <w:color w:val="222222"/>
          <w:sz w:val="24"/>
          <w:szCs w:val="24"/>
        </w:rPr>
        <w:t>most of the</w:t>
      </w:r>
      <w:r w:rsidR="009B1403">
        <w:rPr>
          <w:color w:val="222222"/>
          <w:sz w:val="24"/>
          <w:szCs w:val="24"/>
        </w:rPr>
        <w:t xml:space="preserve"> </w:t>
      </w:r>
      <w:r>
        <w:rPr>
          <w:color w:val="222222"/>
          <w:sz w:val="24"/>
          <w:szCs w:val="24"/>
        </w:rPr>
        <w:t xml:space="preserve">waste glass and </w:t>
      </w:r>
      <w:r w:rsidR="00CE62CD">
        <w:rPr>
          <w:color w:val="222222"/>
          <w:sz w:val="24"/>
          <w:szCs w:val="24"/>
        </w:rPr>
        <w:t xml:space="preserve">waste </w:t>
      </w:r>
      <w:r w:rsidR="009B1403">
        <w:rPr>
          <w:color w:val="222222"/>
          <w:sz w:val="24"/>
          <w:szCs w:val="24"/>
        </w:rPr>
        <w:t xml:space="preserve">tyres, </w:t>
      </w:r>
      <w:r>
        <w:rPr>
          <w:color w:val="222222"/>
          <w:sz w:val="24"/>
          <w:szCs w:val="24"/>
        </w:rPr>
        <w:t xml:space="preserve">in the Northern Territory. </w:t>
      </w:r>
    </w:p>
    <w:p w:rsidR="00B94DFC" w:rsidRDefault="00AD3AB2" w:rsidP="00CE62CD">
      <w:pPr>
        <w:spacing w:after="240"/>
        <w:ind w:left="709"/>
        <w:rPr>
          <w:color w:val="222222"/>
          <w:sz w:val="24"/>
          <w:szCs w:val="24"/>
        </w:rPr>
      </w:pPr>
      <w:r>
        <w:rPr>
          <w:color w:val="222222"/>
          <w:sz w:val="24"/>
          <w:szCs w:val="24"/>
        </w:rPr>
        <w:t xml:space="preserve">NT RMF Round 2 will prioritise applications that address </w:t>
      </w:r>
      <w:r w:rsidR="00C826AA">
        <w:rPr>
          <w:color w:val="222222"/>
          <w:sz w:val="24"/>
          <w:szCs w:val="24"/>
        </w:rPr>
        <w:t xml:space="preserve">gaps in the Territory’s ability to manage </w:t>
      </w:r>
      <w:r w:rsidR="00CB08DB">
        <w:rPr>
          <w:color w:val="222222"/>
          <w:sz w:val="24"/>
          <w:szCs w:val="24"/>
        </w:rPr>
        <w:t xml:space="preserve">waste </w:t>
      </w:r>
      <w:r w:rsidR="00C826AA">
        <w:rPr>
          <w:color w:val="222222"/>
          <w:sz w:val="24"/>
          <w:szCs w:val="24"/>
        </w:rPr>
        <w:t xml:space="preserve">plastic and </w:t>
      </w:r>
      <w:r w:rsidR="00CB08DB">
        <w:rPr>
          <w:color w:val="222222"/>
          <w:sz w:val="24"/>
          <w:szCs w:val="24"/>
        </w:rPr>
        <w:t xml:space="preserve">waste </w:t>
      </w:r>
      <w:r w:rsidR="00C826AA">
        <w:rPr>
          <w:color w:val="222222"/>
          <w:sz w:val="24"/>
          <w:szCs w:val="24"/>
        </w:rPr>
        <w:t xml:space="preserve">paper and cardboard streams. Projects that address glass and tyre waste streams may still be considered in limited circumstances. Applicants considering a project addressing glass or tyre streams are encouraged to discuss their proposal with </w:t>
      </w:r>
      <w:r w:rsidR="00C826AA" w:rsidRPr="003462A0">
        <w:rPr>
          <w:rFonts w:asciiTheme="minorHAnsi" w:hAnsiTheme="minorHAnsi" w:cs="Calibri"/>
          <w:color w:val="000000"/>
          <w:sz w:val="24"/>
          <w:szCs w:val="24"/>
        </w:rPr>
        <w:t>the Department of Industry, Tourism and Trade (DITT)</w:t>
      </w:r>
      <w:r w:rsidR="00C826AA">
        <w:rPr>
          <w:rFonts w:asciiTheme="minorHAnsi" w:hAnsiTheme="minorHAnsi" w:cs="Calibri"/>
          <w:color w:val="000000"/>
          <w:sz w:val="24"/>
          <w:szCs w:val="24"/>
        </w:rPr>
        <w:t xml:space="preserve"> by email at</w:t>
      </w:r>
      <w:r w:rsidR="00C826AA" w:rsidRPr="003462A0">
        <w:rPr>
          <w:rFonts w:asciiTheme="minorHAnsi" w:hAnsiTheme="minorHAnsi" w:cs="Calibri"/>
          <w:color w:val="000000"/>
          <w:sz w:val="24"/>
          <w:szCs w:val="24"/>
        </w:rPr>
        <w:t xml:space="preserve"> </w:t>
      </w:r>
      <w:hyperlink r:id="rId10" w:history="1">
        <w:r w:rsidR="00C826AA" w:rsidRPr="00F00054">
          <w:rPr>
            <w:rFonts w:cs="Arial"/>
            <w:b/>
            <w:sz w:val="24"/>
            <w:szCs w:val="24"/>
          </w:rPr>
          <w:t>NTRMF.DITT@nt.gov.au</w:t>
        </w:r>
      </w:hyperlink>
      <w:r w:rsidR="00C826AA">
        <w:rPr>
          <w:color w:val="222222"/>
          <w:sz w:val="24"/>
          <w:szCs w:val="24"/>
        </w:rPr>
        <w:t xml:space="preserve"> before applying. </w:t>
      </w:r>
    </w:p>
    <w:p w:rsidR="00F12F87" w:rsidRPr="00CE62CD" w:rsidRDefault="00F12F87" w:rsidP="000B285D">
      <w:pPr>
        <w:pStyle w:val="ListParagraph"/>
        <w:numPr>
          <w:ilvl w:val="0"/>
          <w:numId w:val="35"/>
        </w:numPr>
        <w:spacing w:after="240"/>
        <w:rPr>
          <w:color w:val="222222"/>
          <w:sz w:val="24"/>
          <w:szCs w:val="24"/>
        </w:rPr>
      </w:pPr>
      <w:r w:rsidRPr="00CE62CD">
        <w:rPr>
          <w:color w:val="222222"/>
          <w:sz w:val="24"/>
          <w:szCs w:val="24"/>
        </w:rPr>
        <w:lastRenderedPageBreak/>
        <w:t xml:space="preserve">improving sorting, processing, </w:t>
      </w:r>
      <w:r w:rsidR="00CE0475" w:rsidRPr="00CE62CD">
        <w:rPr>
          <w:color w:val="222222"/>
          <w:sz w:val="24"/>
          <w:szCs w:val="24"/>
        </w:rPr>
        <w:t xml:space="preserve">reusing, </w:t>
      </w:r>
      <w:r w:rsidRPr="00CE62CD">
        <w:rPr>
          <w:color w:val="222222"/>
          <w:sz w:val="24"/>
          <w:szCs w:val="24"/>
        </w:rPr>
        <w:t xml:space="preserve">recycling and remanufacturing of waste </w:t>
      </w:r>
    </w:p>
    <w:p w:rsidR="00F12F87" w:rsidRPr="00CE62CD" w:rsidRDefault="00F12F87" w:rsidP="000B285D">
      <w:pPr>
        <w:pStyle w:val="ListParagraph"/>
        <w:numPr>
          <w:ilvl w:val="0"/>
          <w:numId w:val="35"/>
        </w:numPr>
        <w:spacing w:after="240"/>
        <w:rPr>
          <w:color w:val="222222"/>
          <w:sz w:val="24"/>
          <w:szCs w:val="24"/>
        </w:rPr>
      </w:pPr>
      <w:r w:rsidRPr="00CE62CD">
        <w:rPr>
          <w:color w:val="222222"/>
          <w:sz w:val="24"/>
          <w:szCs w:val="24"/>
        </w:rPr>
        <w:t>facilitating waste avoidance, landfill diversion (including stockpile diversion / reduction)</w:t>
      </w:r>
      <w:r w:rsidR="00F90960" w:rsidRPr="00CE62CD">
        <w:rPr>
          <w:color w:val="222222"/>
          <w:sz w:val="24"/>
          <w:szCs w:val="24"/>
        </w:rPr>
        <w:t xml:space="preserve">, </w:t>
      </w:r>
      <w:r w:rsidRPr="00CE62CD">
        <w:rPr>
          <w:color w:val="222222"/>
          <w:sz w:val="24"/>
          <w:szCs w:val="24"/>
        </w:rPr>
        <w:t xml:space="preserve">recycling </w:t>
      </w:r>
      <w:r w:rsidR="00CE0475" w:rsidRPr="00CE62CD">
        <w:rPr>
          <w:color w:val="222222"/>
          <w:sz w:val="24"/>
          <w:szCs w:val="24"/>
        </w:rPr>
        <w:t xml:space="preserve">and manufacturing </w:t>
      </w:r>
      <w:r w:rsidRPr="00CE62CD">
        <w:rPr>
          <w:color w:val="222222"/>
          <w:sz w:val="24"/>
          <w:szCs w:val="24"/>
        </w:rPr>
        <w:t xml:space="preserve">activities </w:t>
      </w:r>
    </w:p>
    <w:p w:rsidR="00F12F87" w:rsidRPr="00CE62CD" w:rsidRDefault="00F12F87" w:rsidP="000B285D">
      <w:pPr>
        <w:pStyle w:val="ListParagraph"/>
        <w:numPr>
          <w:ilvl w:val="0"/>
          <w:numId w:val="35"/>
        </w:numPr>
        <w:spacing w:after="240"/>
        <w:rPr>
          <w:color w:val="222222"/>
          <w:sz w:val="24"/>
          <w:szCs w:val="24"/>
        </w:rPr>
      </w:pPr>
      <w:r w:rsidRPr="00CE62CD">
        <w:rPr>
          <w:color w:val="222222"/>
          <w:sz w:val="24"/>
          <w:szCs w:val="24"/>
        </w:rPr>
        <w:t>creating economic development opportunities</w:t>
      </w:r>
      <w:r w:rsidR="008B21AD" w:rsidRPr="00CE62CD">
        <w:rPr>
          <w:color w:val="222222"/>
          <w:sz w:val="24"/>
          <w:szCs w:val="24"/>
        </w:rPr>
        <w:t>,</w:t>
      </w:r>
      <w:r w:rsidRPr="00CE62CD">
        <w:rPr>
          <w:color w:val="222222"/>
          <w:sz w:val="24"/>
          <w:szCs w:val="24"/>
        </w:rPr>
        <w:t xml:space="preserve"> particularly in regional areas </w:t>
      </w:r>
    </w:p>
    <w:p w:rsidR="00F12F87" w:rsidRPr="00CE62CD" w:rsidRDefault="00F12F87" w:rsidP="000B285D">
      <w:pPr>
        <w:pStyle w:val="ListParagraph"/>
        <w:numPr>
          <w:ilvl w:val="0"/>
          <w:numId w:val="35"/>
        </w:numPr>
        <w:spacing w:after="240"/>
        <w:rPr>
          <w:color w:val="222222"/>
          <w:sz w:val="24"/>
          <w:szCs w:val="24"/>
        </w:rPr>
      </w:pPr>
      <w:r w:rsidRPr="00CE62CD">
        <w:rPr>
          <w:color w:val="222222"/>
          <w:sz w:val="24"/>
          <w:szCs w:val="24"/>
        </w:rPr>
        <w:t>creating job development opportunities</w:t>
      </w:r>
      <w:r w:rsidR="008B21AD" w:rsidRPr="00CE62CD">
        <w:rPr>
          <w:color w:val="222222"/>
          <w:sz w:val="24"/>
          <w:szCs w:val="24"/>
        </w:rPr>
        <w:t>,</w:t>
      </w:r>
      <w:r w:rsidRPr="00CE62CD">
        <w:rPr>
          <w:color w:val="222222"/>
          <w:sz w:val="24"/>
          <w:szCs w:val="24"/>
        </w:rPr>
        <w:t xml:space="preserve"> particularly in regional areas </w:t>
      </w:r>
    </w:p>
    <w:p w:rsidR="00F12F87" w:rsidRPr="00CE62CD" w:rsidRDefault="00F12F87" w:rsidP="000B285D">
      <w:pPr>
        <w:pStyle w:val="ListParagraph"/>
        <w:numPr>
          <w:ilvl w:val="0"/>
          <w:numId w:val="35"/>
        </w:numPr>
        <w:tabs>
          <w:tab w:val="left" w:pos="142"/>
        </w:tabs>
        <w:spacing w:after="240"/>
        <w:rPr>
          <w:color w:val="222222"/>
          <w:sz w:val="24"/>
          <w:szCs w:val="24"/>
        </w:rPr>
      </w:pPr>
      <w:r w:rsidRPr="00CE62CD">
        <w:rPr>
          <w:color w:val="222222"/>
          <w:sz w:val="24"/>
          <w:szCs w:val="24"/>
        </w:rPr>
        <w:t xml:space="preserve">building a stronger onshore recycling </w:t>
      </w:r>
      <w:r w:rsidR="00CE0475" w:rsidRPr="00CE62CD">
        <w:rPr>
          <w:color w:val="222222"/>
          <w:sz w:val="24"/>
          <w:szCs w:val="24"/>
        </w:rPr>
        <w:t xml:space="preserve">and manufacturing </w:t>
      </w:r>
      <w:r w:rsidRPr="00CE62CD">
        <w:rPr>
          <w:color w:val="222222"/>
          <w:sz w:val="24"/>
          <w:szCs w:val="24"/>
        </w:rPr>
        <w:t xml:space="preserve">industry by developing new domestic markets for recycled materials </w:t>
      </w:r>
    </w:p>
    <w:p w:rsidR="00345FCE" w:rsidRPr="0049561B" w:rsidRDefault="00F12F87" w:rsidP="000B285D">
      <w:pPr>
        <w:pStyle w:val="ListParagraph"/>
        <w:numPr>
          <w:ilvl w:val="0"/>
          <w:numId w:val="35"/>
        </w:numPr>
        <w:spacing w:after="240"/>
        <w:rPr>
          <w:color w:val="222222"/>
          <w:sz w:val="24"/>
          <w:szCs w:val="24"/>
        </w:rPr>
      </w:pPr>
      <w:r w:rsidRPr="0049561B">
        <w:rPr>
          <w:color w:val="222222"/>
          <w:sz w:val="24"/>
          <w:szCs w:val="24"/>
        </w:rPr>
        <w:t xml:space="preserve">addressing </w:t>
      </w:r>
      <w:r w:rsidR="00144CF9" w:rsidRPr="0049561B">
        <w:rPr>
          <w:color w:val="222222"/>
          <w:sz w:val="24"/>
          <w:szCs w:val="24"/>
        </w:rPr>
        <w:t xml:space="preserve">the </w:t>
      </w:r>
      <w:r w:rsidR="00256359" w:rsidRPr="0049561B">
        <w:rPr>
          <w:color w:val="222222"/>
          <w:sz w:val="24"/>
          <w:szCs w:val="24"/>
        </w:rPr>
        <w:t xml:space="preserve">Northern Territory’s </w:t>
      </w:r>
      <w:r w:rsidRPr="0049561B">
        <w:rPr>
          <w:color w:val="222222"/>
          <w:sz w:val="24"/>
          <w:szCs w:val="24"/>
        </w:rPr>
        <w:t xml:space="preserve">regional and remote waste challenges where possible. </w:t>
      </w:r>
    </w:p>
    <w:p w:rsidR="008B21AD" w:rsidRPr="009E11BE" w:rsidRDefault="008B21AD" w:rsidP="008B21AD">
      <w:pPr>
        <w:pStyle w:val="Heading1"/>
        <w:rPr>
          <w:lang w:eastAsia="en-AU"/>
        </w:rPr>
      </w:pPr>
      <w:bookmarkStart w:id="7" w:name="_Toc118897468"/>
      <w:r w:rsidRPr="009E11BE">
        <w:rPr>
          <w:lang w:eastAsia="en-AU"/>
        </w:rPr>
        <w:t>Definitions</w:t>
      </w:r>
      <w:bookmarkEnd w:id="7"/>
    </w:p>
    <w:p w:rsidR="001B64C9" w:rsidRPr="009E11BE" w:rsidRDefault="0049561B" w:rsidP="001B64C9">
      <w:pPr>
        <w:spacing w:after="240"/>
        <w:rPr>
          <w:color w:val="222222"/>
          <w:sz w:val="24"/>
          <w:szCs w:val="24"/>
        </w:rPr>
      </w:pPr>
      <w:r>
        <w:rPr>
          <w:b/>
          <w:color w:val="222222"/>
          <w:sz w:val="24"/>
          <w:szCs w:val="24"/>
        </w:rPr>
        <w:t>E</w:t>
      </w:r>
      <w:r w:rsidR="00BA7006" w:rsidRPr="009E11BE">
        <w:rPr>
          <w:b/>
          <w:color w:val="222222"/>
          <w:sz w:val="24"/>
          <w:szCs w:val="24"/>
        </w:rPr>
        <w:t xml:space="preserve">ligible </w:t>
      </w:r>
      <w:r>
        <w:rPr>
          <w:b/>
          <w:color w:val="222222"/>
          <w:sz w:val="24"/>
          <w:szCs w:val="24"/>
        </w:rPr>
        <w:t>P</w:t>
      </w:r>
      <w:r w:rsidR="00E4319C" w:rsidRPr="009E11BE">
        <w:rPr>
          <w:b/>
          <w:color w:val="222222"/>
          <w:sz w:val="24"/>
          <w:szCs w:val="24"/>
        </w:rPr>
        <w:t>roject</w:t>
      </w:r>
      <w:r w:rsidR="00BA7006" w:rsidRPr="009E11BE">
        <w:rPr>
          <w:b/>
          <w:color w:val="222222"/>
          <w:sz w:val="24"/>
          <w:szCs w:val="24"/>
        </w:rPr>
        <w:t xml:space="preserve"> </w:t>
      </w:r>
      <w:r w:rsidR="00E4319C" w:rsidRPr="009E11BE">
        <w:rPr>
          <w:color w:val="222222"/>
          <w:sz w:val="24"/>
          <w:szCs w:val="24"/>
        </w:rPr>
        <w:t>is described in Section 4.2.</w:t>
      </w:r>
      <w:r w:rsidR="008D1D2A" w:rsidRPr="009E11BE">
        <w:rPr>
          <w:color w:val="222222"/>
          <w:sz w:val="24"/>
          <w:szCs w:val="24"/>
        </w:rPr>
        <w:t xml:space="preserve"> </w:t>
      </w:r>
    </w:p>
    <w:p w:rsidR="004D4FA9" w:rsidRPr="00301ED6" w:rsidRDefault="0049561B" w:rsidP="001B64C9">
      <w:pPr>
        <w:spacing w:after="240"/>
        <w:rPr>
          <w:rFonts w:asciiTheme="minorHAnsi" w:hAnsiTheme="minorHAnsi"/>
          <w:color w:val="222222"/>
          <w:sz w:val="24"/>
          <w:szCs w:val="24"/>
        </w:rPr>
      </w:pPr>
      <w:r>
        <w:rPr>
          <w:rFonts w:asciiTheme="minorHAnsi" w:hAnsiTheme="minorHAnsi"/>
          <w:b/>
          <w:sz w:val="24"/>
          <w:szCs w:val="24"/>
        </w:rPr>
        <w:t>A</w:t>
      </w:r>
      <w:r w:rsidR="004D4FA9" w:rsidRPr="009E11BE">
        <w:rPr>
          <w:rFonts w:asciiTheme="minorHAnsi" w:hAnsiTheme="minorHAnsi"/>
          <w:b/>
          <w:sz w:val="24"/>
          <w:szCs w:val="24"/>
        </w:rPr>
        <w:t>pplicant</w:t>
      </w:r>
      <w:r w:rsidR="004D4FA9" w:rsidRPr="009E11BE">
        <w:rPr>
          <w:rFonts w:asciiTheme="minorHAnsi" w:hAnsiTheme="minorHAnsi"/>
          <w:sz w:val="24"/>
          <w:szCs w:val="24"/>
        </w:rPr>
        <w:t xml:space="preserve"> means an </w:t>
      </w:r>
      <w:r w:rsidR="00582BE0" w:rsidRPr="009E11BE">
        <w:rPr>
          <w:rFonts w:asciiTheme="minorHAnsi" w:hAnsiTheme="minorHAnsi"/>
          <w:sz w:val="24"/>
          <w:szCs w:val="24"/>
        </w:rPr>
        <w:t xml:space="preserve">eligible </w:t>
      </w:r>
      <w:r w:rsidR="004D4FA9" w:rsidRPr="009E11BE">
        <w:rPr>
          <w:rFonts w:asciiTheme="minorHAnsi" w:hAnsiTheme="minorHAnsi"/>
          <w:sz w:val="24"/>
          <w:szCs w:val="24"/>
        </w:rPr>
        <w:t xml:space="preserve">organisation applying for funding under the </w:t>
      </w:r>
      <w:r w:rsidR="00AE6F91">
        <w:rPr>
          <w:rFonts w:asciiTheme="minorHAnsi" w:hAnsiTheme="minorHAnsi"/>
          <w:sz w:val="24"/>
          <w:szCs w:val="24"/>
        </w:rPr>
        <w:t xml:space="preserve">NT </w:t>
      </w:r>
      <w:r w:rsidR="00776C45">
        <w:rPr>
          <w:rFonts w:asciiTheme="minorHAnsi" w:hAnsiTheme="minorHAnsi"/>
          <w:sz w:val="24"/>
          <w:szCs w:val="24"/>
        </w:rPr>
        <w:t>RMF</w:t>
      </w:r>
      <w:r w:rsidR="00AE6F91">
        <w:rPr>
          <w:rFonts w:asciiTheme="minorHAnsi" w:hAnsiTheme="minorHAnsi"/>
          <w:sz w:val="24"/>
          <w:szCs w:val="24"/>
        </w:rPr>
        <w:t xml:space="preserve"> Round 2</w:t>
      </w:r>
      <w:r w:rsidR="004D4FA9" w:rsidRPr="00301ED6">
        <w:rPr>
          <w:rFonts w:asciiTheme="minorHAnsi" w:hAnsiTheme="minorHAnsi"/>
          <w:sz w:val="24"/>
          <w:szCs w:val="24"/>
        </w:rPr>
        <w:t xml:space="preserve">; </w:t>
      </w:r>
    </w:p>
    <w:p w:rsidR="004D4FA9" w:rsidRDefault="0049561B" w:rsidP="009B5CED">
      <w:pPr>
        <w:pStyle w:val="ListParagraph"/>
        <w:autoSpaceDE w:val="0"/>
        <w:autoSpaceDN w:val="0"/>
        <w:adjustRightInd w:val="0"/>
        <w:rPr>
          <w:rFonts w:asciiTheme="minorHAnsi" w:hAnsiTheme="minorHAnsi" w:cs="Calibri"/>
          <w:sz w:val="24"/>
          <w:szCs w:val="24"/>
        </w:rPr>
      </w:pPr>
      <w:r>
        <w:rPr>
          <w:rFonts w:asciiTheme="minorHAnsi" w:hAnsiTheme="minorHAnsi" w:cs="Calibri"/>
          <w:b/>
          <w:sz w:val="24"/>
          <w:szCs w:val="24"/>
        </w:rPr>
        <w:t>A</w:t>
      </w:r>
      <w:r w:rsidR="004D4FA9" w:rsidRPr="009B5CED">
        <w:rPr>
          <w:rFonts w:asciiTheme="minorHAnsi" w:hAnsiTheme="minorHAnsi" w:cs="Calibri"/>
          <w:b/>
          <w:sz w:val="24"/>
          <w:szCs w:val="24"/>
        </w:rPr>
        <w:t>pplication</w:t>
      </w:r>
      <w:r w:rsidR="004D4FA9" w:rsidRPr="009B5CED">
        <w:rPr>
          <w:rFonts w:asciiTheme="minorHAnsi" w:hAnsiTheme="minorHAnsi" w:cs="Calibri"/>
          <w:sz w:val="24"/>
          <w:szCs w:val="24"/>
        </w:rPr>
        <w:t xml:space="preserve"> means an application (or relevant part of an application) made </w:t>
      </w:r>
      <w:r w:rsidR="005866B2">
        <w:rPr>
          <w:rFonts w:asciiTheme="minorHAnsi" w:hAnsiTheme="minorHAnsi" w:cs="Calibri"/>
          <w:sz w:val="24"/>
          <w:szCs w:val="24"/>
        </w:rPr>
        <w:t>under</w:t>
      </w:r>
      <w:r w:rsidR="005866B2" w:rsidRPr="009B5CED">
        <w:rPr>
          <w:rFonts w:asciiTheme="minorHAnsi" w:hAnsiTheme="minorHAnsi" w:cs="Calibri"/>
          <w:sz w:val="24"/>
          <w:szCs w:val="24"/>
        </w:rPr>
        <w:t xml:space="preserve"> </w:t>
      </w:r>
      <w:r w:rsidR="004D4FA9" w:rsidRPr="009B5CED">
        <w:rPr>
          <w:rFonts w:asciiTheme="minorHAnsi" w:hAnsiTheme="minorHAnsi" w:cs="Calibri"/>
          <w:sz w:val="24"/>
          <w:szCs w:val="24"/>
        </w:rPr>
        <w:t xml:space="preserve">the NT </w:t>
      </w:r>
      <w:r w:rsidR="00776C45">
        <w:rPr>
          <w:rFonts w:asciiTheme="minorHAnsi" w:hAnsiTheme="minorHAnsi" w:cs="Calibri"/>
          <w:sz w:val="24"/>
          <w:szCs w:val="24"/>
        </w:rPr>
        <w:t>RMF</w:t>
      </w:r>
      <w:r w:rsidR="005C5638">
        <w:rPr>
          <w:rFonts w:asciiTheme="minorHAnsi" w:hAnsiTheme="minorHAnsi" w:cs="Calibri"/>
          <w:sz w:val="24"/>
          <w:szCs w:val="24"/>
        </w:rPr>
        <w:t xml:space="preserve"> Round 2</w:t>
      </w:r>
      <w:r w:rsidR="004D4FA9" w:rsidRPr="009B5CED">
        <w:rPr>
          <w:rFonts w:asciiTheme="minorHAnsi" w:hAnsiTheme="minorHAnsi" w:cs="Calibri"/>
          <w:sz w:val="24"/>
          <w:szCs w:val="24"/>
        </w:rPr>
        <w:t xml:space="preserve"> and includes the application form and any other supporting or additional information in whatever form provided by the applicant to the </w:t>
      </w:r>
      <w:r w:rsidR="00F90960">
        <w:rPr>
          <w:rFonts w:asciiTheme="minorHAnsi" w:hAnsiTheme="minorHAnsi" w:cs="Calibri"/>
          <w:sz w:val="24"/>
          <w:szCs w:val="24"/>
        </w:rPr>
        <w:t xml:space="preserve">Department </w:t>
      </w:r>
      <w:r w:rsidR="004D4FA9" w:rsidRPr="009B5CED">
        <w:rPr>
          <w:rFonts w:asciiTheme="minorHAnsi" w:hAnsiTheme="minorHAnsi" w:cs="Calibri"/>
          <w:sz w:val="24"/>
          <w:szCs w:val="24"/>
        </w:rPr>
        <w:t xml:space="preserve"> in connection with its application at any stage of the assessment process; </w:t>
      </w:r>
    </w:p>
    <w:p w:rsidR="00F90960" w:rsidRDefault="0049561B" w:rsidP="00F90960">
      <w:pPr>
        <w:spacing w:after="240"/>
        <w:rPr>
          <w:color w:val="222222"/>
          <w:sz w:val="24"/>
          <w:szCs w:val="24"/>
        </w:rPr>
      </w:pPr>
      <w:r>
        <w:rPr>
          <w:b/>
          <w:color w:val="222222"/>
          <w:sz w:val="24"/>
          <w:szCs w:val="24"/>
        </w:rPr>
        <w:t>A</w:t>
      </w:r>
      <w:r w:rsidR="00F90960" w:rsidRPr="009B5CED">
        <w:rPr>
          <w:b/>
          <w:color w:val="222222"/>
          <w:sz w:val="24"/>
          <w:szCs w:val="24"/>
        </w:rPr>
        <w:t xml:space="preserve">pproved </w:t>
      </w:r>
      <w:r w:rsidR="00F90960">
        <w:rPr>
          <w:b/>
          <w:color w:val="222222"/>
          <w:sz w:val="24"/>
          <w:szCs w:val="24"/>
        </w:rPr>
        <w:t>w</w:t>
      </w:r>
      <w:r w:rsidR="00F90960" w:rsidRPr="009B5CED">
        <w:rPr>
          <w:b/>
          <w:color w:val="222222"/>
          <w:sz w:val="24"/>
          <w:szCs w:val="24"/>
        </w:rPr>
        <w:t>aste</w:t>
      </w:r>
      <w:r w:rsidR="00F90960" w:rsidRPr="009B5CED">
        <w:rPr>
          <w:color w:val="222222"/>
          <w:sz w:val="24"/>
          <w:szCs w:val="24"/>
        </w:rPr>
        <w:t xml:space="preserve"> includes plastic; mixed and unsorted paper and cardboard; glass, in a whole or broken state (both formed packaging and flat sheet glass); and whole used tyres, including baled tyres.</w:t>
      </w:r>
    </w:p>
    <w:p w:rsidR="00266F99" w:rsidRPr="009B5CED" w:rsidRDefault="00266F99" w:rsidP="00F90960">
      <w:pPr>
        <w:spacing w:after="240"/>
        <w:rPr>
          <w:color w:val="222222"/>
          <w:sz w:val="24"/>
          <w:szCs w:val="24"/>
        </w:rPr>
      </w:pPr>
      <w:r w:rsidRPr="00AB496A">
        <w:rPr>
          <w:b/>
          <w:color w:val="222222"/>
          <w:sz w:val="24"/>
          <w:szCs w:val="24"/>
        </w:rPr>
        <w:t>Auditable</w:t>
      </w:r>
      <w:r w:rsidRPr="00AB496A">
        <w:rPr>
          <w:color w:val="222222"/>
          <w:sz w:val="24"/>
          <w:szCs w:val="24"/>
        </w:rPr>
        <w:t xml:space="preserve"> means able to be audited</w:t>
      </w:r>
      <w:r w:rsidR="005C7AA3" w:rsidRPr="00AB496A">
        <w:rPr>
          <w:color w:val="222222"/>
          <w:sz w:val="24"/>
          <w:szCs w:val="24"/>
        </w:rPr>
        <w:t xml:space="preserve">. In this document it refers to </w:t>
      </w:r>
      <w:r w:rsidRPr="00AB496A">
        <w:rPr>
          <w:color w:val="222222"/>
          <w:sz w:val="24"/>
          <w:szCs w:val="24"/>
        </w:rPr>
        <w:t>project costs</w:t>
      </w:r>
      <w:r w:rsidR="005C7AA3" w:rsidRPr="00AB496A">
        <w:rPr>
          <w:color w:val="222222"/>
          <w:sz w:val="24"/>
          <w:szCs w:val="24"/>
        </w:rPr>
        <w:t xml:space="preserve"> to be maintained in a format that allows an auditor to examine records or financial accounts to check their accuracy.</w:t>
      </w:r>
    </w:p>
    <w:p w:rsidR="00565E7F" w:rsidRPr="006814D7" w:rsidRDefault="0049561B" w:rsidP="00EB7A32">
      <w:pPr>
        <w:pStyle w:val="ListParagraph"/>
        <w:autoSpaceDE w:val="0"/>
        <w:autoSpaceDN w:val="0"/>
        <w:adjustRightInd w:val="0"/>
        <w:rPr>
          <w:rFonts w:asciiTheme="minorHAnsi" w:hAnsiTheme="minorHAnsi" w:cs="Calibri"/>
          <w:bCs/>
          <w:sz w:val="24"/>
          <w:szCs w:val="24"/>
        </w:rPr>
      </w:pPr>
      <w:r>
        <w:rPr>
          <w:rFonts w:asciiTheme="minorHAnsi" w:hAnsiTheme="minorHAnsi" w:cs="Calibri"/>
          <w:b/>
          <w:sz w:val="24"/>
          <w:szCs w:val="24"/>
        </w:rPr>
        <w:t>E</w:t>
      </w:r>
      <w:r w:rsidR="00565E7F" w:rsidRPr="006814D7">
        <w:rPr>
          <w:rFonts w:asciiTheme="minorHAnsi" w:hAnsiTheme="minorHAnsi" w:cs="Calibri"/>
          <w:b/>
          <w:sz w:val="24"/>
          <w:szCs w:val="24"/>
        </w:rPr>
        <w:t xml:space="preserve">ligible organisation </w:t>
      </w:r>
      <w:r w:rsidR="00565E7F" w:rsidRPr="006814D7">
        <w:rPr>
          <w:rFonts w:asciiTheme="minorHAnsi" w:hAnsiTheme="minorHAnsi" w:cs="Calibri"/>
          <w:bCs/>
          <w:sz w:val="24"/>
          <w:szCs w:val="24"/>
        </w:rPr>
        <w:t xml:space="preserve">means </w:t>
      </w:r>
      <w:r w:rsidR="00D6696A" w:rsidRPr="006814D7">
        <w:rPr>
          <w:rFonts w:asciiTheme="minorHAnsi" w:hAnsiTheme="minorHAnsi" w:cs="Calibri"/>
          <w:bCs/>
          <w:sz w:val="24"/>
          <w:szCs w:val="24"/>
        </w:rPr>
        <w:t>an</w:t>
      </w:r>
      <w:r w:rsidR="005879FB" w:rsidRPr="006814D7">
        <w:rPr>
          <w:rFonts w:asciiTheme="minorHAnsi" w:hAnsiTheme="minorHAnsi" w:cs="Calibri"/>
          <w:bCs/>
          <w:sz w:val="24"/>
          <w:szCs w:val="24"/>
        </w:rPr>
        <w:t xml:space="preserve"> entity</w:t>
      </w:r>
      <w:r w:rsidR="00565E7F" w:rsidRPr="006814D7">
        <w:rPr>
          <w:rFonts w:asciiTheme="minorHAnsi" w:hAnsiTheme="minorHAnsi" w:cs="Calibri"/>
          <w:bCs/>
          <w:sz w:val="24"/>
          <w:szCs w:val="24"/>
        </w:rPr>
        <w:t xml:space="preserve"> that</w:t>
      </w:r>
      <w:r w:rsidR="00C26CA0" w:rsidRPr="006814D7">
        <w:rPr>
          <w:rFonts w:asciiTheme="minorHAnsi" w:hAnsiTheme="minorHAnsi" w:cs="Calibri"/>
          <w:bCs/>
          <w:sz w:val="24"/>
          <w:szCs w:val="24"/>
        </w:rPr>
        <w:t xml:space="preserve"> </w:t>
      </w:r>
      <w:r w:rsidR="00565E7F" w:rsidRPr="006814D7">
        <w:rPr>
          <w:rFonts w:asciiTheme="minorHAnsi" w:hAnsiTheme="minorHAnsi" w:cs="Calibri"/>
          <w:bCs/>
          <w:sz w:val="24"/>
          <w:szCs w:val="24"/>
        </w:rPr>
        <w:t>satisfies the following criteria:</w:t>
      </w:r>
    </w:p>
    <w:p w:rsidR="00C26CA0" w:rsidRPr="006814D7" w:rsidRDefault="004361A2" w:rsidP="00A80916">
      <w:pPr>
        <w:pStyle w:val="ListParagraph"/>
        <w:numPr>
          <w:ilvl w:val="0"/>
          <w:numId w:val="15"/>
        </w:numPr>
        <w:autoSpaceDE w:val="0"/>
        <w:autoSpaceDN w:val="0"/>
        <w:adjustRightInd w:val="0"/>
        <w:ind w:left="709" w:hanging="426"/>
        <w:rPr>
          <w:rFonts w:asciiTheme="minorHAnsi" w:hAnsiTheme="minorHAnsi" w:cs="Calibri"/>
          <w:bCs/>
          <w:sz w:val="24"/>
          <w:szCs w:val="24"/>
        </w:rPr>
      </w:pPr>
      <w:r w:rsidRPr="006814D7">
        <w:rPr>
          <w:rFonts w:asciiTheme="minorHAnsi" w:hAnsiTheme="minorHAnsi" w:cs="Calibri"/>
          <w:bCs/>
          <w:sz w:val="24"/>
          <w:szCs w:val="24"/>
        </w:rPr>
        <w:t>is a legal entity (a natural person or an incorporated entity), with or without a registered business name; and</w:t>
      </w:r>
    </w:p>
    <w:p w:rsidR="004361A2" w:rsidRPr="006814D7" w:rsidRDefault="004361A2" w:rsidP="00A80916">
      <w:pPr>
        <w:pStyle w:val="ListParagraph"/>
        <w:numPr>
          <w:ilvl w:val="0"/>
          <w:numId w:val="15"/>
        </w:numPr>
        <w:autoSpaceDE w:val="0"/>
        <w:autoSpaceDN w:val="0"/>
        <w:adjustRightInd w:val="0"/>
        <w:ind w:left="709" w:hanging="426"/>
        <w:rPr>
          <w:rFonts w:asciiTheme="minorHAnsi" w:hAnsiTheme="minorHAnsi" w:cs="Calibri"/>
          <w:bCs/>
          <w:sz w:val="24"/>
          <w:szCs w:val="24"/>
        </w:rPr>
      </w:pPr>
      <w:r w:rsidRPr="006814D7">
        <w:rPr>
          <w:rFonts w:asciiTheme="minorHAnsi" w:hAnsiTheme="minorHAnsi" w:cs="Calibri"/>
          <w:bCs/>
          <w:sz w:val="24"/>
          <w:szCs w:val="24"/>
        </w:rPr>
        <w:t xml:space="preserve">holds a valid Australian Business Number and has been operating </w:t>
      </w:r>
      <w:r w:rsidR="00A84B58" w:rsidRPr="006814D7">
        <w:rPr>
          <w:rFonts w:asciiTheme="minorHAnsi" w:hAnsiTheme="minorHAnsi" w:cs="Calibri"/>
          <w:bCs/>
          <w:sz w:val="24"/>
          <w:szCs w:val="24"/>
        </w:rPr>
        <w:t>a business under that number for at least one year;</w:t>
      </w:r>
      <w:r w:rsidR="00582BE0" w:rsidRPr="006814D7">
        <w:rPr>
          <w:rFonts w:asciiTheme="minorHAnsi" w:hAnsiTheme="minorHAnsi" w:cs="Calibri"/>
          <w:bCs/>
          <w:sz w:val="24"/>
          <w:szCs w:val="24"/>
        </w:rPr>
        <w:t xml:space="preserve"> and</w:t>
      </w:r>
    </w:p>
    <w:p w:rsidR="005879FB" w:rsidRPr="006814D7" w:rsidRDefault="00565E7F" w:rsidP="00A80916">
      <w:pPr>
        <w:pStyle w:val="ListParagraph"/>
        <w:numPr>
          <w:ilvl w:val="0"/>
          <w:numId w:val="16"/>
        </w:numPr>
        <w:autoSpaceDE w:val="0"/>
        <w:autoSpaceDN w:val="0"/>
        <w:adjustRightInd w:val="0"/>
        <w:ind w:left="709" w:hanging="426"/>
        <w:rPr>
          <w:rFonts w:asciiTheme="minorHAnsi" w:hAnsiTheme="minorHAnsi" w:cs="Calibri"/>
          <w:bCs/>
          <w:sz w:val="24"/>
          <w:szCs w:val="24"/>
        </w:rPr>
      </w:pPr>
      <w:r w:rsidRPr="006814D7">
        <w:rPr>
          <w:rFonts w:asciiTheme="minorHAnsi" w:hAnsiTheme="minorHAnsi" w:cs="Calibri"/>
          <w:bCs/>
          <w:sz w:val="24"/>
          <w:szCs w:val="24"/>
        </w:rPr>
        <w:t xml:space="preserve">proposes to carry out an eligible </w:t>
      </w:r>
      <w:r w:rsidR="00F56FBF">
        <w:rPr>
          <w:rFonts w:asciiTheme="minorHAnsi" w:hAnsiTheme="minorHAnsi" w:cs="Calibri"/>
          <w:bCs/>
          <w:sz w:val="24"/>
          <w:szCs w:val="24"/>
        </w:rPr>
        <w:t>project</w:t>
      </w:r>
      <w:r w:rsidR="00F56FBF" w:rsidRPr="006814D7">
        <w:rPr>
          <w:rFonts w:asciiTheme="minorHAnsi" w:hAnsiTheme="minorHAnsi" w:cs="Calibri"/>
          <w:bCs/>
          <w:sz w:val="24"/>
          <w:szCs w:val="24"/>
        </w:rPr>
        <w:t xml:space="preserve"> </w:t>
      </w:r>
      <w:r w:rsidRPr="006814D7">
        <w:rPr>
          <w:rFonts w:asciiTheme="minorHAnsi" w:hAnsiTheme="minorHAnsi" w:cs="Calibri"/>
          <w:bCs/>
          <w:sz w:val="24"/>
          <w:szCs w:val="24"/>
        </w:rPr>
        <w:t>with any grant</w:t>
      </w:r>
      <w:r w:rsidR="00CC22C3">
        <w:rPr>
          <w:rFonts w:asciiTheme="minorHAnsi" w:hAnsiTheme="minorHAnsi" w:cs="Calibri"/>
          <w:bCs/>
          <w:sz w:val="24"/>
          <w:szCs w:val="24"/>
        </w:rPr>
        <w:t xml:space="preserve"> funding provided to it</w:t>
      </w:r>
      <w:r w:rsidR="005879FB" w:rsidRPr="006814D7">
        <w:rPr>
          <w:rFonts w:asciiTheme="minorHAnsi" w:hAnsiTheme="minorHAnsi" w:cs="Calibri"/>
          <w:bCs/>
          <w:sz w:val="24"/>
          <w:szCs w:val="24"/>
        </w:rPr>
        <w:t>;</w:t>
      </w:r>
      <w:r w:rsidR="00582BE0" w:rsidRPr="006814D7">
        <w:rPr>
          <w:rFonts w:asciiTheme="minorHAnsi" w:hAnsiTheme="minorHAnsi" w:cs="Calibri"/>
          <w:bCs/>
          <w:sz w:val="24"/>
          <w:szCs w:val="24"/>
        </w:rPr>
        <w:t xml:space="preserve"> and</w:t>
      </w:r>
    </w:p>
    <w:p w:rsidR="00DF184E" w:rsidRPr="006814D7" w:rsidRDefault="00780352" w:rsidP="00A80916">
      <w:pPr>
        <w:pStyle w:val="CommentText"/>
        <w:numPr>
          <w:ilvl w:val="0"/>
          <w:numId w:val="16"/>
        </w:numPr>
        <w:ind w:left="709" w:hanging="426"/>
      </w:pPr>
      <w:r w:rsidRPr="006814D7">
        <w:rPr>
          <w:sz w:val="24"/>
        </w:rPr>
        <w:t xml:space="preserve">has </w:t>
      </w:r>
      <w:r w:rsidR="009A59E3" w:rsidRPr="006814D7">
        <w:rPr>
          <w:sz w:val="24"/>
        </w:rPr>
        <w:t>the financial capacity</w:t>
      </w:r>
      <w:r w:rsidR="00543812" w:rsidRPr="006814D7">
        <w:rPr>
          <w:sz w:val="24"/>
        </w:rPr>
        <w:t xml:space="preserve"> and authority to commit co-funding of </w:t>
      </w:r>
      <w:r w:rsidR="00CC22C3">
        <w:rPr>
          <w:sz w:val="24"/>
        </w:rPr>
        <w:t xml:space="preserve">at least </w:t>
      </w:r>
      <w:r w:rsidR="009A59E3" w:rsidRPr="006814D7">
        <w:rPr>
          <w:sz w:val="24"/>
        </w:rPr>
        <w:t>50% of the total eligible project costs</w:t>
      </w:r>
      <w:r w:rsidR="00DF6808" w:rsidRPr="006814D7">
        <w:rPr>
          <w:sz w:val="24"/>
        </w:rPr>
        <w:t xml:space="preserve"> </w:t>
      </w:r>
      <w:r w:rsidR="00DF184E" w:rsidRPr="006814D7">
        <w:rPr>
          <w:rFonts w:asciiTheme="minorHAnsi" w:hAnsiTheme="minorHAnsi" w:cs="Calibri"/>
          <w:bCs/>
          <w:sz w:val="24"/>
          <w:szCs w:val="24"/>
        </w:rPr>
        <w:t>;</w:t>
      </w:r>
      <w:r w:rsidR="00B127C7" w:rsidRPr="006814D7">
        <w:rPr>
          <w:rFonts w:asciiTheme="minorHAnsi" w:hAnsiTheme="minorHAnsi" w:cs="Calibri"/>
          <w:bCs/>
          <w:sz w:val="24"/>
          <w:szCs w:val="24"/>
        </w:rPr>
        <w:t xml:space="preserve"> </w:t>
      </w:r>
      <w:r w:rsidR="00582BE0" w:rsidRPr="006814D7">
        <w:rPr>
          <w:rFonts w:asciiTheme="minorHAnsi" w:hAnsiTheme="minorHAnsi" w:cs="Calibri"/>
          <w:bCs/>
          <w:sz w:val="24"/>
          <w:szCs w:val="24"/>
        </w:rPr>
        <w:t>and</w:t>
      </w:r>
    </w:p>
    <w:p w:rsidR="00B80309" w:rsidRPr="006814D7" w:rsidRDefault="00B127C7" w:rsidP="00A80916">
      <w:pPr>
        <w:pStyle w:val="ListParagraph"/>
        <w:numPr>
          <w:ilvl w:val="0"/>
          <w:numId w:val="16"/>
        </w:numPr>
        <w:autoSpaceDE w:val="0"/>
        <w:autoSpaceDN w:val="0"/>
        <w:adjustRightInd w:val="0"/>
        <w:ind w:left="709" w:hanging="426"/>
        <w:rPr>
          <w:rFonts w:asciiTheme="minorHAnsi" w:hAnsiTheme="minorHAnsi" w:cs="Calibri"/>
          <w:bCs/>
          <w:sz w:val="24"/>
          <w:szCs w:val="24"/>
        </w:rPr>
      </w:pPr>
      <w:r w:rsidRPr="006814D7">
        <w:rPr>
          <w:rFonts w:asciiTheme="minorHAnsi" w:hAnsiTheme="minorHAnsi" w:cs="Calibri"/>
          <w:bCs/>
          <w:sz w:val="24"/>
          <w:szCs w:val="24"/>
        </w:rPr>
        <w:t>has a history of substantial compliance with all legislative requirements and its governing legislation and is fully compliant as at the date of the application</w:t>
      </w:r>
      <w:r w:rsidR="00582BE0" w:rsidRPr="006814D7">
        <w:rPr>
          <w:rFonts w:asciiTheme="minorHAnsi" w:hAnsiTheme="minorHAnsi" w:cs="Calibri"/>
          <w:bCs/>
          <w:sz w:val="24"/>
          <w:szCs w:val="24"/>
        </w:rPr>
        <w:t>.</w:t>
      </w:r>
    </w:p>
    <w:p w:rsidR="00C77F69" w:rsidRPr="006814D7" w:rsidRDefault="00C77F69" w:rsidP="0049561B">
      <w:pPr>
        <w:autoSpaceDE w:val="0"/>
        <w:autoSpaceDN w:val="0"/>
        <w:adjustRightInd w:val="0"/>
        <w:rPr>
          <w:rFonts w:asciiTheme="minorHAnsi" w:hAnsiTheme="minorHAnsi" w:cs="Calibri"/>
          <w:bCs/>
          <w:i/>
          <w:sz w:val="24"/>
          <w:szCs w:val="24"/>
        </w:rPr>
      </w:pPr>
      <w:r w:rsidRPr="006814D7">
        <w:rPr>
          <w:rFonts w:asciiTheme="minorHAnsi" w:hAnsiTheme="minorHAnsi" w:cs="Calibri"/>
          <w:bCs/>
          <w:i/>
          <w:sz w:val="24"/>
          <w:szCs w:val="24"/>
        </w:rPr>
        <w:t>Examples of</w:t>
      </w:r>
      <w:r w:rsidR="005317ED" w:rsidRPr="006814D7">
        <w:rPr>
          <w:rFonts w:asciiTheme="minorHAnsi" w:hAnsiTheme="minorHAnsi" w:cs="Calibri"/>
          <w:bCs/>
          <w:i/>
          <w:sz w:val="24"/>
          <w:szCs w:val="24"/>
        </w:rPr>
        <w:t xml:space="preserve"> entities that may be</w:t>
      </w:r>
      <w:r w:rsidRPr="006814D7">
        <w:rPr>
          <w:rFonts w:asciiTheme="minorHAnsi" w:hAnsiTheme="minorHAnsi" w:cs="Calibri"/>
          <w:bCs/>
          <w:i/>
          <w:sz w:val="24"/>
          <w:szCs w:val="24"/>
        </w:rPr>
        <w:t xml:space="preserve"> eligible organisations are, sole traders, partnerships, </w:t>
      </w:r>
      <w:r w:rsidR="005317ED" w:rsidRPr="006814D7">
        <w:rPr>
          <w:rFonts w:asciiTheme="minorHAnsi" w:hAnsiTheme="minorHAnsi" w:cs="Calibri"/>
          <w:bCs/>
          <w:i/>
          <w:sz w:val="24"/>
          <w:szCs w:val="24"/>
        </w:rPr>
        <w:t>companies,</w:t>
      </w:r>
      <w:r w:rsidR="00301ED6" w:rsidRPr="006814D7">
        <w:rPr>
          <w:rFonts w:asciiTheme="minorHAnsi" w:hAnsiTheme="minorHAnsi" w:cs="Calibri"/>
          <w:bCs/>
          <w:i/>
          <w:sz w:val="24"/>
          <w:szCs w:val="24"/>
        </w:rPr>
        <w:t xml:space="preserve"> </w:t>
      </w:r>
      <w:r w:rsidRPr="006814D7">
        <w:rPr>
          <w:rFonts w:asciiTheme="minorHAnsi" w:hAnsiTheme="minorHAnsi" w:cs="Calibri"/>
          <w:bCs/>
          <w:i/>
          <w:sz w:val="24"/>
          <w:szCs w:val="24"/>
        </w:rPr>
        <w:t xml:space="preserve">local </w:t>
      </w:r>
      <w:r w:rsidR="00301ED6" w:rsidRPr="006814D7">
        <w:rPr>
          <w:rFonts w:asciiTheme="minorHAnsi" w:hAnsiTheme="minorHAnsi" w:cs="Calibri"/>
          <w:bCs/>
          <w:i/>
          <w:sz w:val="24"/>
          <w:szCs w:val="24"/>
        </w:rPr>
        <w:t>governing</w:t>
      </w:r>
      <w:r w:rsidRPr="006814D7">
        <w:rPr>
          <w:rFonts w:asciiTheme="minorHAnsi" w:hAnsiTheme="minorHAnsi" w:cs="Calibri"/>
          <w:bCs/>
          <w:i/>
          <w:sz w:val="24"/>
          <w:szCs w:val="24"/>
        </w:rPr>
        <w:t xml:space="preserve"> </w:t>
      </w:r>
      <w:r w:rsidR="005317ED" w:rsidRPr="006814D7">
        <w:rPr>
          <w:rFonts w:asciiTheme="minorHAnsi" w:hAnsiTheme="minorHAnsi" w:cs="Calibri"/>
          <w:bCs/>
          <w:i/>
          <w:sz w:val="24"/>
          <w:szCs w:val="24"/>
        </w:rPr>
        <w:t xml:space="preserve">bodies </w:t>
      </w:r>
      <w:r w:rsidRPr="006814D7">
        <w:rPr>
          <w:rFonts w:asciiTheme="minorHAnsi" w:hAnsiTheme="minorHAnsi" w:cs="Calibri"/>
          <w:bCs/>
          <w:i/>
          <w:sz w:val="24"/>
          <w:szCs w:val="24"/>
        </w:rPr>
        <w:t xml:space="preserve">and </w:t>
      </w:r>
      <w:r w:rsidR="00720C83">
        <w:rPr>
          <w:rFonts w:asciiTheme="minorHAnsi" w:hAnsiTheme="minorHAnsi" w:cs="Calibri"/>
          <w:bCs/>
          <w:i/>
          <w:sz w:val="24"/>
          <w:szCs w:val="24"/>
        </w:rPr>
        <w:t>A</w:t>
      </w:r>
      <w:r w:rsidRPr="006814D7">
        <w:rPr>
          <w:rFonts w:asciiTheme="minorHAnsi" w:hAnsiTheme="minorHAnsi" w:cs="Calibri"/>
          <w:bCs/>
          <w:i/>
          <w:sz w:val="24"/>
          <w:szCs w:val="24"/>
        </w:rPr>
        <w:t>boriginal organisations</w:t>
      </w:r>
      <w:r w:rsidR="005317ED" w:rsidRPr="006814D7">
        <w:rPr>
          <w:rFonts w:asciiTheme="minorHAnsi" w:hAnsiTheme="minorHAnsi" w:cs="Calibri"/>
          <w:bCs/>
          <w:i/>
          <w:sz w:val="24"/>
          <w:szCs w:val="24"/>
        </w:rPr>
        <w:t xml:space="preserve"> noting that they must meet all the criteria outlined above.</w:t>
      </w:r>
      <w:r w:rsidR="00EE6225" w:rsidRPr="006814D7">
        <w:rPr>
          <w:rFonts w:asciiTheme="minorHAnsi" w:hAnsiTheme="minorHAnsi" w:cs="Calibri"/>
          <w:bCs/>
          <w:i/>
          <w:sz w:val="24"/>
          <w:szCs w:val="24"/>
        </w:rPr>
        <w:t xml:space="preserve">  Eligible organisations may be for profit or not-for-profit.</w:t>
      </w:r>
    </w:p>
    <w:p w:rsidR="00347EBB" w:rsidRPr="006814D7" w:rsidRDefault="0049561B" w:rsidP="0049561B">
      <w:pPr>
        <w:pStyle w:val="ListParagraph"/>
        <w:tabs>
          <w:tab w:val="left" w:pos="851"/>
        </w:tabs>
        <w:autoSpaceDE w:val="0"/>
        <w:autoSpaceDN w:val="0"/>
        <w:adjustRightInd w:val="0"/>
        <w:rPr>
          <w:rFonts w:asciiTheme="minorHAnsi" w:hAnsiTheme="minorHAnsi" w:cs="Calibri"/>
          <w:bCs/>
          <w:sz w:val="24"/>
          <w:szCs w:val="24"/>
        </w:rPr>
      </w:pPr>
      <w:r>
        <w:rPr>
          <w:rFonts w:asciiTheme="minorHAnsi" w:hAnsiTheme="minorHAnsi" w:cs="Calibri"/>
          <w:b/>
          <w:sz w:val="24"/>
          <w:szCs w:val="24"/>
        </w:rPr>
        <w:lastRenderedPageBreak/>
        <w:t>E</w:t>
      </w:r>
      <w:r w:rsidR="001B04A7" w:rsidRPr="006814D7">
        <w:rPr>
          <w:rFonts w:asciiTheme="minorHAnsi" w:hAnsiTheme="minorHAnsi" w:cs="Calibri"/>
          <w:b/>
          <w:sz w:val="24"/>
          <w:szCs w:val="24"/>
        </w:rPr>
        <w:t xml:space="preserve">xcluded organisations </w:t>
      </w:r>
      <w:r w:rsidR="007B709B" w:rsidRPr="006814D7">
        <w:rPr>
          <w:rFonts w:asciiTheme="minorHAnsi" w:hAnsiTheme="minorHAnsi" w:cs="Calibri"/>
          <w:bCs/>
          <w:sz w:val="24"/>
          <w:szCs w:val="24"/>
        </w:rPr>
        <w:t>are public and private educational institutions, government agencies and government owned</w:t>
      </w:r>
      <w:r w:rsidR="00A91443">
        <w:rPr>
          <w:rFonts w:asciiTheme="minorHAnsi" w:hAnsiTheme="minorHAnsi" w:cs="Calibri"/>
          <w:bCs/>
          <w:sz w:val="24"/>
          <w:szCs w:val="24"/>
        </w:rPr>
        <w:t>/controlled</w:t>
      </w:r>
      <w:r w:rsidR="007B709B" w:rsidRPr="006814D7">
        <w:rPr>
          <w:rFonts w:asciiTheme="minorHAnsi" w:hAnsiTheme="minorHAnsi" w:cs="Calibri"/>
          <w:bCs/>
          <w:sz w:val="24"/>
          <w:szCs w:val="24"/>
        </w:rPr>
        <w:t xml:space="preserve"> bodies</w:t>
      </w:r>
      <w:r w:rsidR="00486820" w:rsidRPr="006814D7">
        <w:rPr>
          <w:rFonts w:asciiTheme="minorHAnsi" w:hAnsiTheme="minorHAnsi" w:cs="Calibri"/>
          <w:bCs/>
          <w:sz w:val="24"/>
          <w:szCs w:val="24"/>
        </w:rPr>
        <w:t xml:space="preserve"> and</w:t>
      </w:r>
      <w:r w:rsidR="007B709B" w:rsidRPr="006814D7">
        <w:rPr>
          <w:rFonts w:asciiTheme="minorHAnsi" w:hAnsiTheme="minorHAnsi" w:cs="Calibri"/>
          <w:bCs/>
          <w:sz w:val="24"/>
          <w:szCs w:val="24"/>
        </w:rPr>
        <w:t xml:space="preserve"> statutory corporations</w:t>
      </w:r>
      <w:r w:rsidR="00A91443">
        <w:rPr>
          <w:rFonts w:asciiTheme="minorHAnsi" w:hAnsiTheme="minorHAnsi" w:cs="Calibri"/>
          <w:bCs/>
          <w:sz w:val="24"/>
          <w:szCs w:val="24"/>
        </w:rPr>
        <w:t>.</w:t>
      </w:r>
    </w:p>
    <w:p w:rsidR="004265ED" w:rsidRPr="006814D7" w:rsidRDefault="004D4FA9" w:rsidP="004265ED">
      <w:pPr>
        <w:pStyle w:val="ListParagraph"/>
        <w:autoSpaceDE w:val="0"/>
        <w:autoSpaceDN w:val="0"/>
        <w:adjustRightInd w:val="0"/>
        <w:rPr>
          <w:rFonts w:asciiTheme="minorHAnsi" w:hAnsiTheme="minorHAnsi" w:cs="Calibri"/>
          <w:sz w:val="24"/>
          <w:szCs w:val="24"/>
        </w:rPr>
      </w:pPr>
      <w:r w:rsidRPr="006814D7">
        <w:rPr>
          <w:rFonts w:asciiTheme="minorHAnsi" w:hAnsiTheme="minorHAnsi" w:cs="Calibri"/>
          <w:b/>
          <w:sz w:val="24"/>
          <w:szCs w:val="24"/>
        </w:rPr>
        <w:t xml:space="preserve">NT </w:t>
      </w:r>
      <w:r w:rsidR="00776C45">
        <w:rPr>
          <w:rFonts w:asciiTheme="minorHAnsi" w:hAnsiTheme="minorHAnsi" w:cs="Calibri"/>
          <w:b/>
          <w:sz w:val="24"/>
          <w:szCs w:val="24"/>
        </w:rPr>
        <w:t>RMF</w:t>
      </w:r>
      <w:r w:rsidRPr="006814D7">
        <w:rPr>
          <w:rFonts w:asciiTheme="minorHAnsi" w:hAnsiTheme="minorHAnsi" w:cs="Calibri"/>
          <w:sz w:val="24"/>
          <w:szCs w:val="24"/>
        </w:rPr>
        <w:t xml:space="preserve"> means </w:t>
      </w:r>
      <w:r w:rsidR="006B446B" w:rsidRPr="006814D7">
        <w:rPr>
          <w:rFonts w:asciiTheme="minorHAnsi" w:hAnsiTheme="minorHAnsi" w:cs="Calibri"/>
          <w:sz w:val="24"/>
          <w:szCs w:val="24"/>
        </w:rPr>
        <w:t xml:space="preserve">the </w:t>
      </w:r>
      <w:r w:rsidR="006B446B">
        <w:rPr>
          <w:rFonts w:asciiTheme="minorHAnsi" w:hAnsiTheme="minorHAnsi" w:cs="Calibri"/>
          <w:sz w:val="24"/>
          <w:szCs w:val="24"/>
        </w:rPr>
        <w:t>Northern</w:t>
      </w:r>
      <w:r w:rsidR="00776C45">
        <w:rPr>
          <w:rFonts w:asciiTheme="minorHAnsi" w:hAnsiTheme="minorHAnsi" w:cs="Calibri"/>
          <w:sz w:val="24"/>
          <w:szCs w:val="24"/>
        </w:rPr>
        <w:t xml:space="preserve"> Territory </w:t>
      </w:r>
      <w:r w:rsidRPr="006814D7">
        <w:rPr>
          <w:rFonts w:asciiTheme="minorHAnsi" w:hAnsiTheme="minorHAnsi" w:cs="Calibri"/>
          <w:sz w:val="24"/>
          <w:szCs w:val="24"/>
        </w:rPr>
        <w:t xml:space="preserve">Recycling Modernisation Fund; </w:t>
      </w:r>
    </w:p>
    <w:p w:rsidR="00F45E37" w:rsidRPr="006814D7" w:rsidRDefault="00F45E37" w:rsidP="004265ED">
      <w:pPr>
        <w:pStyle w:val="ListParagraph"/>
        <w:autoSpaceDE w:val="0"/>
        <w:autoSpaceDN w:val="0"/>
        <w:adjustRightInd w:val="0"/>
        <w:rPr>
          <w:rFonts w:asciiTheme="minorHAnsi" w:hAnsiTheme="minorHAnsi" w:cs="Calibri"/>
          <w:sz w:val="24"/>
          <w:szCs w:val="24"/>
        </w:rPr>
      </w:pPr>
      <w:r w:rsidRPr="006814D7">
        <w:rPr>
          <w:rFonts w:asciiTheme="minorHAnsi" w:hAnsiTheme="minorHAnsi" w:cs="Calibri"/>
          <w:b/>
          <w:bCs/>
          <w:sz w:val="24"/>
          <w:szCs w:val="24"/>
        </w:rPr>
        <w:t>Panel</w:t>
      </w:r>
      <w:r w:rsidRPr="006814D7">
        <w:rPr>
          <w:rFonts w:asciiTheme="minorHAnsi" w:hAnsiTheme="minorHAnsi" w:cs="Calibri"/>
          <w:sz w:val="24"/>
          <w:szCs w:val="24"/>
        </w:rPr>
        <w:t xml:space="preserve"> means an assessment panel made up of representatives of the Northern Territory Government and independent person</w:t>
      </w:r>
      <w:r w:rsidR="00CC22C3">
        <w:rPr>
          <w:rFonts w:asciiTheme="minorHAnsi" w:hAnsiTheme="minorHAnsi" w:cs="Calibri"/>
          <w:sz w:val="24"/>
          <w:szCs w:val="24"/>
        </w:rPr>
        <w:t>/</w:t>
      </w:r>
      <w:r w:rsidRPr="006814D7">
        <w:rPr>
          <w:rFonts w:asciiTheme="minorHAnsi" w:hAnsiTheme="minorHAnsi" w:cs="Calibri"/>
          <w:sz w:val="24"/>
          <w:szCs w:val="24"/>
        </w:rPr>
        <w:t>s from relevant industry.</w:t>
      </w:r>
    </w:p>
    <w:p w:rsidR="00347EBB" w:rsidRPr="006814D7" w:rsidRDefault="00ED2A74" w:rsidP="004265ED">
      <w:pPr>
        <w:pStyle w:val="ListParagraph"/>
        <w:autoSpaceDE w:val="0"/>
        <w:autoSpaceDN w:val="0"/>
        <w:adjustRightInd w:val="0"/>
        <w:rPr>
          <w:rFonts w:asciiTheme="minorHAnsi" w:hAnsiTheme="minorHAnsi" w:cs="Calibri"/>
          <w:sz w:val="24"/>
          <w:szCs w:val="24"/>
        </w:rPr>
      </w:pPr>
      <w:r>
        <w:rPr>
          <w:rFonts w:asciiTheme="minorHAnsi" w:hAnsiTheme="minorHAnsi" w:cs="Calibri"/>
          <w:b/>
          <w:sz w:val="24"/>
          <w:szCs w:val="24"/>
        </w:rPr>
        <w:t>T</w:t>
      </w:r>
      <w:r w:rsidR="00347EBB" w:rsidRPr="006814D7">
        <w:rPr>
          <w:rFonts w:asciiTheme="minorHAnsi" w:hAnsiTheme="minorHAnsi" w:cs="Calibri"/>
          <w:b/>
          <w:sz w:val="24"/>
          <w:szCs w:val="24"/>
        </w:rPr>
        <w:t>erms and conditions</w:t>
      </w:r>
      <w:r w:rsidR="00347EBB" w:rsidRPr="006814D7">
        <w:rPr>
          <w:rFonts w:asciiTheme="minorHAnsi" w:hAnsiTheme="minorHAnsi" w:cs="Calibri"/>
          <w:sz w:val="24"/>
          <w:szCs w:val="24"/>
        </w:rPr>
        <w:t xml:space="preserve"> refers to these NT </w:t>
      </w:r>
      <w:r w:rsidR="00776C45">
        <w:rPr>
          <w:rFonts w:asciiTheme="minorHAnsi" w:hAnsiTheme="minorHAnsi" w:cs="Calibri"/>
          <w:sz w:val="24"/>
          <w:szCs w:val="24"/>
        </w:rPr>
        <w:t>Recycling Modernisation Fund</w:t>
      </w:r>
      <w:r w:rsidR="00347EBB" w:rsidRPr="006814D7">
        <w:rPr>
          <w:rFonts w:asciiTheme="minorHAnsi" w:hAnsiTheme="minorHAnsi" w:cs="Calibri"/>
          <w:sz w:val="24"/>
          <w:szCs w:val="24"/>
        </w:rPr>
        <w:t xml:space="preserve"> </w:t>
      </w:r>
      <w:r w:rsidR="00AE6F91">
        <w:rPr>
          <w:rFonts w:asciiTheme="minorHAnsi" w:hAnsiTheme="minorHAnsi" w:cs="Calibri"/>
          <w:sz w:val="24"/>
          <w:szCs w:val="24"/>
        </w:rPr>
        <w:t xml:space="preserve">Round 2 </w:t>
      </w:r>
      <w:r w:rsidR="00347EBB" w:rsidRPr="006814D7">
        <w:rPr>
          <w:rFonts w:asciiTheme="minorHAnsi" w:hAnsiTheme="minorHAnsi" w:cs="Calibri"/>
          <w:sz w:val="24"/>
          <w:szCs w:val="24"/>
        </w:rPr>
        <w:t xml:space="preserve">terms and conditions, as amended from time to time;  </w:t>
      </w:r>
    </w:p>
    <w:p w:rsidR="004D4FA9" w:rsidRPr="006814D7" w:rsidRDefault="00ED2A74" w:rsidP="004265ED">
      <w:pPr>
        <w:pStyle w:val="ListParagraph"/>
        <w:autoSpaceDE w:val="0"/>
        <w:autoSpaceDN w:val="0"/>
        <w:adjustRightInd w:val="0"/>
        <w:rPr>
          <w:rFonts w:asciiTheme="minorHAnsi" w:hAnsiTheme="minorHAnsi" w:cs="Calibri"/>
          <w:bCs/>
          <w:sz w:val="24"/>
          <w:szCs w:val="24"/>
        </w:rPr>
      </w:pPr>
      <w:r>
        <w:rPr>
          <w:rFonts w:asciiTheme="minorHAnsi" w:hAnsiTheme="minorHAnsi" w:cs="Calibri"/>
          <w:b/>
          <w:sz w:val="24"/>
          <w:szCs w:val="24"/>
        </w:rPr>
        <w:t>T</w:t>
      </w:r>
      <w:r w:rsidR="00F90960" w:rsidRPr="006814D7">
        <w:rPr>
          <w:rFonts w:asciiTheme="minorHAnsi" w:hAnsiTheme="minorHAnsi" w:cs="Calibri"/>
          <w:b/>
          <w:sz w:val="24"/>
          <w:szCs w:val="24"/>
        </w:rPr>
        <w:t>he Department</w:t>
      </w:r>
      <w:r w:rsidR="00F90960" w:rsidRPr="006814D7">
        <w:rPr>
          <w:rFonts w:asciiTheme="minorHAnsi" w:hAnsiTheme="minorHAnsi" w:cs="Calibri"/>
          <w:sz w:val="24"/>
          <w:szCs w:val="24"/>
        </w:rPr>
        <w:t xml:space="preserve"> means Department of Industry, Tourism and Trade (responsible to administer</w:t>
      </w:r>
      <w:r w:rsidR="00776C45">
        <w:rPr>
          <w:rFonts w:asciiTheme="minorHAnsi" w:hAnsiTheme="minorHAnsi" w:cs="Calibri"/>
          <w:sz w:val="24"/>
          <w:szCs w:val="24"/>
        </w:rPr>
        <w:t xml:space="preserve"> NT RMF</w:t>
      </w:r>
      <w:r w:rsidR="00F90960" w:rsidRPr="006814D7">
        <w:rPr>
          <w:rFonts w:asciiTheme="minorHAnsi" w:hAnsiTheme="minorHAnsi" w:cs="Calibri"/>
          <w:sz w:val="24"/>
          <w:szCs w:val="24"/>
        </w:rPr>
        <w:t xml:space="preserve"> on behalf of the Northern Territory Government)</w:t>
      </w:r>
      <w:r w:rsidR="001817B2" w:rsidRPr="006814D7">
        <w:rPr>
          <w:rFonts w:asciiTheme="minorHAnsi" w:hAnsiTheme="minorHAnsi" w:cs="Calibri"/>
          <w:sz w:val="24"/>
          <w:szCs w:val="24"/>
        </w:rPr>
        <w:t>.</w:t>
      </w:r>
      <w:r w:rsidR="004D4FA9" w:rsidRPr="006814D7">
        <w:rPr>
          <w:rFonts w:asciiTheme="minorHAnsi" w:hAnsiTheme="minorHAnsi" w:cs="Calibri"/>
          <w:sz w:val="24"/>
          <w:szCs w:val="24"/>
        </w:rPr>
        <w:t xml:space="preserve"> </w:t>
      </w:r>
    </w:p>
    <w:p w:rsidR="004D4FA9" w:rsidRPr="00776C45" w:rsidRDefault="00ED2A74" w:rsidP="003C5FCE">
      <w:pPr>
        <w:spacing w:after="240"/>
        <w:rPr>
          <w:color w:val="222222"/>
          <w:sz w:val="24"/>
          <w:szCs w:val="24"/>
        </w:rPr>
      </w:pPr>
      <w:r>
        <w:rPr>
          <w:b/>
          <w:bCs/>
          <w:color w:val="222222"/>
          <w:sz w:val="24"/>
          <w:szCs w:val="24"/>
        </w:rPr>
        <w:t>W</w:t>
      </w:r>
      <w:r w:rsidR="00881B1F" w:rsidRPr="006814D7">
        <w:rPr>
          <w:b/>
          <w:bCs/>
          <w:color w:val="222222"/>
          <w:sz w:val="24"/>
          <w:szCs w:val="24"/>
        </w:rPr>
        <w:t>ebsite</w:t>
      </w:r>
      <w:r w:rsidR="00881B1F" w:rsidRPr="006814D7">
        <w:rPr>
          <w:color w:val="222222"/>
          <w:sz w:val="24"/>
          <w:szCs w:val="24"/>
        </w:rPr>
        <w:t xml:space="preserve"> means </w:t>
      </w:r>
      <w:r w:rsidR="00840932" w:rsidRPr="00561564">
        <w:rPr>
          <w:b/>
          <w:color w:val="0070C0"/>
          <w:sz w:val="24"/>
          <w:szCs w:val="24"/>
          <w:u w:val="single"/>
        </w:rPr>
        <w:t>www.nt.gov.au</w:t>
      </w:r>
      <w:r w:rsidR="00561564">
        <w:rPr>
          <w:b/>
          <w:color w:val="0070C0"/>
          <w:sz w:val="24"/>
          <w:szCs w:val="24"/>
          <w:u w:val="single"/>
        </w:rPr>
        <w:t>/recycling-modernisation-fund</w:t>
      </w:r>
    </w:p>
    <w:p w:rsidR="005A0741" w:rsidRPr="00A25369" w:rsidRDefault="00A36536" w:rsidP="003C5FCE">
      <w:pPr>
        <w:pStyle w:val="Heading1"/>
        <w:rPr>
          <w:lang w:eastAsia="en-AU"/>
        </w:rPr>
      </w:pPr>
      <w:bookmarkStart w:id="8" w:name="_Toc118897469"/>
      <w:r>
        <w:rPr>
          <w:lang w:eastAsia="en-AU"/>
        </w:rPr>
        <w:t xml:space="preserve">4. </w:t>
      </w:r>
      <w:r>
        <w:rPr>
          <w:lang w:eastAsia="en-AU"/>
        </w:rPr>
        <w:tab/>
      </w:r>
      <w:r w:rsidR="00E4319C">
        <w:rPr>
          <w:lang w:eastAsia="en-AU"/>
        </w:rPr>
        <w:t xml:space="preserve">Applicant and </w:t>
      </w:r>
      <w:r w:rsidR="00ED5CBB">
        <w:rPr>
          <w:lang w:eastAsia="en-AU"/>
        </w:rPr>
        <w:t xml:space="preserve">Project </w:t>
      </w:r>
      <w:r w:rsidR="00256359" w:rsidRPr="00256359">
        <w:rPr>
          <w:lang w:eastAsia="en-AU"/>
        </w:rPr>
        <w:t>Eligibility</w:t>
      </w:r>
      <w:bookmarkEnd w:id="8"/>
      <w:r w:rsidR="00256359" w:rsidRPr="00256359">
        <w:rPr>
          <w:lang w:eastAsia="en-AU"/>
        </w:rPr>
        <w:t xml:space="preserve"> </w:t>
      </w:r>
    </w:p>
    <w:p w:rsidR="00256359" w:rsidRPr="007B77E4" w:rsidRDefault="00A36536" w:rsidP="00A36536">
      <w:pPr>
        <w:pStyle w:val="Heading2"/>
        <w:tabs>
          <w:tab w:val="left" w:pos="567"/>
        </w:tabs>
        <w:rPr>
          <w:color w:val="1F1F5F"/>
          <w:kern w:val="32"/>
          <w:szCs w:val="32"/>
          <w:lang w:eastAsia="en-AU"/>
        </w:rPr>
      </w:pPr>
      <w:bookmarkStart w:id="9" w:name="_Toc118897470"/>
      <w:r>
        <w:rPr>
          <w:color w:val="1F1F5F"/>
          <w:kern w:val="32"/>
          <w:szCs w:val="32"/>
          <w:lang w:eastAsia="en-AU"/>
        </w:rPr>
        <w:t xml:space="preserve">4.1 </w:t>
      </w:r>
      <w:r w:rsidR="00256359" w:rsidRPr="009B013A">
        <w:rPr>
          <w:color w:val="1F1F5F"/>
          <w:kern w:val="32"/>
          <w:szCs w:val="32"/>
          <w:lang w:eastAsia="en-AU"/>
        </w:rPr>
        <w:t>Organisation eligibility</w:t>
      </w:r>
      <w:bookmarkEnd w:id="9"/>
      <w:r w:rsidR="00256359" w:rsidRPr="007B77E4">
        <w:rPr>
          <w:color w:val="1F1F5F"/>
          <w:kern w:val="32"/>
          <w:szCs w:val="32"/>
          <w:lang w:eastAsia="en-AU"/>
        </w:rPr>
        <w:t xml:space="preserve"> </w:t>
      </w:r>
    </w:p>
    <w:p w:rsidR="00FE537D" w:rsidRDefault="00486820" w:rsidP="00FE537D">
      <w:pPr>
        <w:spacing w:after="120"/>
        <w:rPr>
          <w:sz w:val="24"/>
          <w:szCs w:val="24"/>
          <w:lang w:eastAsia="en-AU"/>
        </w:rPr>
      </w:pPr>
      <w:r>
        <w:rPr>
          <w:sz w:val="24"/>
          <w:szCs w:val="24"/>
          <w:lang w:eastAsia="en-AU"/>
        </w:rPr>
        <w:t>Only an eligible organisation or a consorti</w:t>
      </w:r>
      <w:r w:rsidR="005545EA">
        <w:rPr>
          <w:sz w:val="24"/>
          <w:szCs w:val="24"/>
          <w:lang w:eastAsia="en-AU"/>
        </w:rPr>
        <w:t>um of eligible organisations may apply.</w:t>
      </w:r>
      <w:r w:rsidR="00F13E4A">
        <w:rPr>
          <w:sz w:val="24"/>
          <w:szCs w:val="24"/>
          <w:lang w:eastAsia="en-AU"/>
        </w:rPr>
        <w:t xml:space="preserve"> Where the applicant is made up of two or more organisations, </w:t>
      </w:r>
      <w:r w:rsidR="00F13E4A" w:rsidRPr="00BA5EC5">
        <w:rPr>
          <w:sz w:val="24"/>
          <w:szCs w:val="24"/>
          <w:lang w:eastAsia="en-AU"/>
        </w:rPr>
        <w:t xml:space="preserve">one </w:t>
      </w:r>
      <w:r w:rsidR="00BA5EC5" w:rsidRPr="00BA5EC5">
        <w:rPr>
          <w:sz w:val="24"/>
          <w:szCs w:val="24"/>
          <w:lang w:eastAsia="en-AU"/>
        </w:rPr>
        <w:t xml:space="preserve">organisation </w:t>
      </w:r>
      <w:r w:rsidR="00F13E4A" w:rsidRPr="00BA5EC5">
        <w:rPr>
          <w:sz w:val="24"/>
          <w:szCs w:val="24"/>
          <w:lang w:eastAsia="en-AU"/>
        </w:rPr>
        <w:t>must be the</w:t>
      </w:r>
      <w:r w:rsidR="00C5616D" w:rsidRPr="00BA5EC5">
        <w:rPr>
          <w:sz w:val="24"/>
          <w:szCs w:val="24"/>
          <w:lang w:eastAsia="en-AU"/>
        </w:rPr>
        <w:t xml:space="preserve"> lead applicant, and if the application is successful </w:t>
      </w:r>
      <w:r w:rsidR="00EE4971" w:rsidRPr="00BA5EC5">
        <w:rPr>
          <w:sz w:val="24"/>
          <w:szCs w:val="24"/>
          <w:lang w:eastAsia="en-AU"/>
        </w:rPr>
        <w:t xml:space="preserve">the </w:t>
      </w:r>
      <w:r w:rsidR="00927FC1" w:rsidRPr="00BA5EC5">
        <w:rPr>
          <w:sz w:val="24"/>
          <w:szCs w:val="24"/>
          <w:lang w:eastAsia="en-AU"/>
        </w:rPr>
        <w:t>f</w:t>
      </w:r>
      <w:r w:rsidR="00EE4971" w:rsidRPr="00BA5EC5">
        <w:rPr>
          <w:sz w:val="24"/>
          <w:szCs w:val="24"/>
          <w:lang w:eastAsia="en-AU"/>
        </w:rPr>
        <w:t xml:space="preserve">unding </w:t>
      </w:r>
      <w:r w:rsidR="00927FC1" w:rsidRPr="00BA5EC5">
        <w:rPr>
          <w:sz w:val="24"/>
          <w:szCs w:val="24"/>
          <w:lang w:eastAsia="en-AU"/>
        </w:rPr>
        <w:t>a</w:t>
      </w:r>
      <w:r w:rsidR="00EE4971" w:rsidRPr="00BA5EC5">
        <w:rPr>
          <w:sz w:val="24"/>
          <w:szCs w:val="24"/>
          <w:lang w:eastAsia="en-AU"/>
        </w:rPr>
        <w:t xml:space="preserve">greement </w:t>
      </w:r>
      <w:r w:rsidR="00BA5EC5" w:rsidRPr="00BA5EC5">
        <w:rPr>
          <w:sz w:val="24"/>
          <w:szCs w:val="24"/>
          <w:lang w:eastAsia="en-AU"/>
        </w:rPr>
        <w:t xml:space="preserve">shall </w:t>
      </w:r>
      <w:r w:rsidR="00DC4BFE" w:rsidRPr="00BA5EC5">
        <w:rPr>
          <w:sz w:val="24"/>
          <w:szCs w:val="24"/>
          <w:lang w:eastAsia="en-AU"/>
        </w:rPr>
        <w:t xml:space="preserve">be </w:t>
      </w:r>
      <w:r w:rsidR="008D1D2A" w:rsidRPr="00BA5EC5">
        <w:rPr>
          <w:sz w:val="24"/>
          <w:szCs w:val="24"/>
          <w:lang w:eastAsia="en-AU"/>
        </w:rPr>
        <w:t xml:space="preserve">required to be with </w:t>
      </w:r>
      <w:r w:rsidR="00BA5EC5" w:rsidRPr="00BA5EC5">
        <w:rPr>
          <w:sz w:val="24"/>
          <w:szCs w:val="24"/>
          <w:lang w:eastAsia="en-AU"/>
        </w:rPr>
        <w:t xml:space="preserve">the lead applicant. </w:t>
      </w:r>
      <w:r w:rsidR="00C61BC4" w:rsidRPr="00BA5EC5">
        <w:rPr>
          <w:sz w:val="24"/>
          <w:szCs w:val="24"/>
          <w:lang w:eastAsia="en-AU"/>
        </w:rPr>
        <w:t>Only one proposed project may be submitted by an applicant</w:t>
      </w:r>
      <w:r w:rsidR="00B37C9C" w:rsidRPr="00BA5EC5">
        <w:rPr>
          <w:sz w:val="24"/>
          <w:szCs w:val="24"/>
          <w:lang w:eastAsia="en-AU"/>
        </w:rPr>
        <w:t xml:space="preserve"> (including</w:t>
      </w:r>
      <w:r w:rsidR="00B37C9C">
        <w:rPr>
          <w:sz w:val="24"/>
          <w:szCs w:val="24"/>
          <w:lang w:eastAsia="en-AU"/>
        </w:rPr>
        <w:t xml:space="preserve"> where the applica</w:t>
      </w:r>
      <w:r w:rsidR="006A6F6D">
        <w:rPr>
          <w:sz w:val="24"/>
          <w:szCs w:val="24"/>
          <w:lang w:eastAsia="en-AU"/>
        </w:rPr>
        <w:t>tion</w:t>
      </w:r>
      <w:r w:rsidR="00B37C9C">
        <w:rPr>
          <w:sz w:val="24"/>
          <w:szCs w:val="24"/>
          <w:lang w:eastAsia="en-AU"/>
        </w:rPr>
        <w:t xml:space="preserve"> </w:t>
      </w:r>
      <w:r w:rsidR="00A91443">
        <w:rPr>
          <w:sz w:val="24"/>
          <w:szCs w:val="24"/>
          <w:lang w:eastAsia="en-AU"/>
        </w:rPr>
        <w:t>is made by</w:t>
      </w:r>
      <w:r w:rsidR="00B37C9C">
        <w:rPr>
          <w:sz w:val="24"/>
          <w:szCs w:val="24"/>
          <w:lang w:eastAsia="en-AU"/>
        </w:rPr>
        <w:t xml:space="preserve"> more than one organisation</w:t>
      </w:r>
      <w:r w:rsidR="00A91443">
        <w:rPr>
          <w:sz w:val="24"/>
          <w:szCs w:val="24"/>
          <w:lang w:eastAsia="en-AU"/>
        </w:rPr>
        <w:t xml:space="preserve"> as a consortium</w:t>
      </w:r>
      <w:r w:rsidR="00B37C9C">
        <w:rPr>
          <w:sz w:val="24"/>
          <w:szCs w:val="24"/>
          <w:lang w:eastAsia="en-AU"/>
        </w:rPr>
        <w:t xml:space="preserve">).  </w:t>
      </w:r>
    </w:p>
    <w:p w:rsidR="00FE537D" w:rsidRDefault="003D1969" w:rsidP="00FE537D">
      <w:pPr>
        <w:spacing w:after="120"/>
        <w:rPr>
          <w:sz w:val="24"/>
          <w:szCs w:val="24"/>
          <w:lang w:eastAsia="en-AU"/>
        </w:rPr>
      </w:pPr>
      <w:r>
        <w:rPr>
          <w:sz w:val="24"/>
          <w:szCs w:val="24"/>
          <w:lang w:eastAsia="en-AU"/>
        </w:rPr>
        <w:t>Organisations successful in receiving grant funding in Round 1 of NT RMF are eligible to apply for Round 2 provided</w:t>
      </w:r>
      <w:r w:rsidR="00875E09">
        <w:rPr>
          <w:sz w:val="24"/>
          <w:szCs w:val="24"/>
          <w:lang w:eastAsia="en-AU"/>
        </w:rPr>
        <w:t xml:space="preserve"> that</w:t>
      </w:r>
      <w:r>
        <w:rPr>
          <w:sz w:val="24"/>
          <w:szCs w:val="24"/>
          <w:lang w:eastAsia="en-AU"/>
        </w:rPr>
        <w:t>:</w:t>
      </w:r>
    </w:p>
    <w:p w:rsidR="00FE537D" w:rsidRPr="00FE537D" w:rsidRDefault="003D1969" w:rsidP="00FE537D">
      <w:pPr>
        <w:pStyle w:val="ListParagraph"/>
        <w:numPr>
          <w:ilvl w:val="0"/>
          <w:numId w:val="32"/>
        </w:numPr>
        <w:ind w:left="284" w:hanging="284"/>
        <w:rPr>
          <w:sz w:val="24"/>
          <w:szCs w:val="24"/>
          <w:lang w:eastAsia="en-AU"/>
        </w:rPr>
      </w:pPr>
      <w:r w:rsidRPr="00FE537D">
        <w:rPr>
          <w:sz w:val="24"/>
          <w:szCs w:val="24"/>
          <w:lang w:eastAsia="en-AU"/>
        </w:rPr>
        <w:t xml:space="preserve">Grant funding is not </w:t>
      </w:r>
      <w:r w:rsidR="00875E09">
        <w:rPr>
          <w:sz w:val="24"/>
          <w:szCs w:val="24"/>
          <w:lang w:eastAsia="en-AU"/>
        </w:rPr>
        <w:t>sought</w:t>
      </w:r>
      <w:r w:rsidRPr="00FE537D">
        <w:rPr>
          <w:sz w:val="24"/>
          <w:szCs w:val="24"/>
          <w:lang w:eastAsia="en-AU"/>
        </w:rPr>
        <w:t xml:space="preserve"> for </w:t>
      </w:r>
      <w:r w:rsidR="00FE537D" w:rsidRPr="00FE537D">
        <w:rPr>
          <w:sz w:val="24"/>
          <w:szCs w:val="24"/>
          <w:lang w:eastAsia="en-AU"/>
        </w:rPr>
        <w:t xml:space="preserve">the </w:t>
      </w:r>
      <w:r w:rsidRPr="00FE537D">
        <w:rPr>
          <w:sz w:val="24"/>
          <w:szCs w:val="24"/>
          <w:lang w:eastAsia="en-AU"/>
        </w:rPr>
        <w:t xml:space="preserve">same project or </w:t>
      </w:r>
      <w:r w:rsidR="00B06652">
        <w:rPr>
          <w:sz w:val="24"/>
          <w:szCs w:val="24"/>
          <w:lang w:eastAsia="en-AU"/>
        </w:rPr>
        <w:t xml:space="preserve">activities </w:t>
      </w:r>
      <w:r w:rsidR="00FE537D" w:rsidRPr="00FE537D">
        <w:rPr>
          <w:sz w:val="24"/>
          <w:szCs w:val="24"/>
          <w:lang w:eastAsia="en-AU"/>
        </w:rPr>
        <w:t>addressed in Round</w:t>
      </w:r>
      <w:r w:rsidR="00B06652">
        <w:rPr>
          <w:sz w:val="24"/>
          <w:szCs w:val="24"/>
          <w:lang w:eastAsia="en-AU"/>
        </w:rPr>
        <w:t xml:space="preserve"> </w:t>
      </w:r>
      <w:r w:rsidR="00A9293F">
        <w:rPr>
          <w:sz w:val="24"/>
          <w:szCs w:val="24"/>
          <w:lang w:eastAsia="en-AU"/>
        </w:rPr>
        <w:t>1</w:t>
      </w:r>
    </w:p>
    <w:p w:rsidR="00FE537D" w:rsidRPr="00AB7B69" w:rsidRDefault="00A9293F" w:rsidP="00AB7B69">
      <w:pPr>
        <w:rPr>
          <w:sz w:val="24"/>
          <w:szCs w:val="24"/>
          <w:lang w:eastAsia="en-AU"/>
        </w:rPr>
      </w:pPr>
      <w:r>
        <w:rPr>
          <w:sz w:val="24"/>
          <w:szCs w:val="24"/>
          <w:lang w:eastAsia="en-AU"/>
        </w:rPr>
        <w:t>and/</w:t>
      </w:r>
      <w:r w:rsidR="00B06652">
        <w:rPr>
          <w:sz w:val="24"/>
          <w:szCs w:val="24"/>
          <w:lang w:eastAsia="en-AU"/>
        </w:rPr>
        <w:t>or</w:t>
      </w:r>
    </w:p>
    <w:p w:rsidR="00FE537D" w:rsidRDefault="003D1969" w:rsidP="00AB7B69">
      <w:pPr>
        <w:pStyle w:val="ListParagraph"/>
        <w:numPr>
          <w:ilvl w:val="0"/>
          <w:numId w:val="32"/>
        </w:numPr>
        <w:ind w:left="284"/>
        <w:rPr>
          <w:sz w:val="24"/>
          <w:szCs w:val="24"/>
          <w:lang w:eastAsia="en-AU"/>
        </w:rPr>
      </w:pPr>
      <w:r w:rsidRPr="00AB7B69">
        <w:rPr>
          <w:sz w:val="24"/>
          <w:szCs w:val="24"/>
          <w:lang w:eastAsia="en-AU"/>
        </w:rPr>
        <w:t>Grant funding is requested for priority waste streams, waste plastic and/</w:t>
      </w:r>
      <w:r w:rsidR="00875E09">
        <w:rPr>
          <w:sz w:val="24"/>
          <w:szCs w:val="24"/>
          <w:lang w:eastAsia="en-AU"/>
        </w:rPr>
        <w:t xml:space="preserve"> </w:t>
      </w:r>
      <w:r w:rsidRPr="00AB7B69">
        <w:rPr>
          <w:sz w:val="24"/>
          <w:szCs w:val="24"/>
          <w:lang w:eastAsia="en-AU"/>
        </w:rPr>
        <w:t>or waste paper and cardboard</w:t>
      </w:r>
      <w:r w:rsidR="00A9293F">
        <w:rPr>
          <w:sz w:val="24"/>
          <w:szCs w:val="24"/>
          <w:lang w:eastAsia="en-AU"/>
        </w:rPr>
        <w:t>.</w:t>
      </w:r>
    </w:p>
    <w:p w:rsidR="00D31116" w:rsidRPr="0040698F" w:rsidRDefault="00A36536" w:rsidP="003C5FCE">
      <w:pPr>
        <w:pStyle w:val="Heading2"/>
        <w:tabs>
          <w:tab w:val="left" w:pos="567"/>
        </w:tabs>
        <w:rPr>
          <w:color w:val="1F1F5F"/>
          <w:kern w:val="32"/>
          <w:szCs w:val="32"/>
          <w:lang w:eastAsia="en-AU"/>
        </w:rPr>
      </w:pPr>
      <w:bookmarkStart w:id="10" w:name="_Toc118897471"/>
      <w:r>
        <w:rPr>
          <w:color w:val="1F1F5F"/>
          <w:kern w:val="32"/>
          <w:szCs w:val="32"/>
          <w:lang w:eastAsia="en-AU"/>
        </w:rPr>
        <w:t xml:space="preserve">4.2 </w:t>
      </w:r>
      <w:r>
        <w:rPr>
          <w:color w:val="1F1F5F"/>
          <w:kern w:val="32"/>
          <w:szCs w:val="32"/>
          <w:lang w:eastAsia="en-AU"/>
        </w:rPr>
        <w:tab/>
      </w:r>
      <w:r w:rsidR="009A7866" w:rsidRPr="0040698F">
        <w:rPr>
          <w:color w:val="1F1F5F"/>
          <w:kern w:val="32"/>
          <w:szCs w:val="32"/>
          <w:lang w:eastAsia="en-AU"/>
        </w:rPr>
        <w:t>Eligible Projects</w:t>
      </w:r>
      <w:bookmarkEnd w:id="10"/>
    </w:p>
    <w:p w:rsidR="00B9385A" w:rsidRPr="00CD4695" w:rsidRDefault="00B9385A" w:rsidP="00CD4695">
      <w:pPr>
        <w:spacing w:after="240"/>
        <w:rPr>
          <w:rFonts w:eastAsiaTheme="minorEastAsia"/>
          <w:color w:val="222222"/>
          <w:sz w:val="24"/>
          <w:szCs w:val="24"/>
        </w:rPr>
      </w:pPr>
      <w:r w:rsidRPr="00CD4695">
        <w:rPr>
          <w:rFonts w:eastAsia="Times New Roman"/>
          <w:color w:val="222222"/>
          <w:sz w:val="24"/>
          <w:szCs w:val="24"/>
          <w:lang w:eastAsia="en-AU"/>
        </w:rPr>
        <w:t xml:space="preserve">The fund is focused on attracting private sector investment in new infrastructure for </w:t>
      </w:r>
      <w:r w:rsidR="00E4319C" w:rsidRPr="00CD4695">
        <w:rPr>
          <w:rFonts w:eastAsia="Times New Roman"/>
          <w:color w:val="222222"/>
          <w:sz w:val="24"/>
          <w:szCs w:val="24"/>
          <w:lang w:eastAsia="en-AU"/>
        </w:rPr>
        <w:t xml:space="preserve">projects that will include </w:t>
      </w:r>
      <w:r w:rsidRPr="00CD4695">
        <w:rPr>
          <w:rFonts w:eastAsia="Times New Roman"/>
          <w:color w:val="222222"/>
          <w:sz w:val="24"/>
          <w:szCs w:val="24"/>
          <w:lang w:eastAsia="en-AU"/>
        </w:rPr>
        <w:t xml:space="preserve">the </w:t>
      </w:r>
      <w:r w:rsidR="00C37540" w:rsidRPr="00CD4695">
        <w:rPr>
          <w:rFonts w:eastAsia="Times New Roman"/>
          <w:color w:val="222222"/>
          <w:sz w:val="24"/>
          <w:szCs w:val="24"/>
          <w:lang w:eastAsia="en-AU"/>
        </w:rPr>
        <w:t xml:space="preserve">recovery, </w:t>
      </w:r>
      <w:r w:rsidRPr="00CD4695">
        <w:rPr>
          <w:rFonts w:eastAsia="Times New Roman"/>
          <w:color w:val="222222"/>
          <w:sz w:val="24"/>
          <w:szCs w:val="24"/>
          <w:lang w:eastAsia="en-AU"/>
        </w:rPr>
        <w:t>sorting, processing</w:t>
      </w:r>
      <w:r w:rsidR="00CC69C4" w:rsidRPr="00CD4695">
        <w:rPr>
          <w:rFonts w:eastAsia="Times New Roman"/>
          <w:color w:val="222222"/>
          <w:sz w:val="24"/>
          <w:szCs w:val="24"/>
          <w:lang w:eastAsia="en-AU"/>
        </w:rPr>
        <w:t>, reuse</w:t>
      </w:r>
      <w:r w:rsidRPr="00CD4695">
        <w:rPr>
          <w:rFonts w:eastAsia="Times New Roman"/>
          <w:color w:val="222222"/>
          <w:sz w:val="24"/>
          <w:szCs w:val="24"/>
          <w:lang w:eastAsia="en-AU"/>
        </w:rPr>
        <w:t xml:space="preserve"> and remanufacture of waste plastic, paper and cardboard, tyres and glass.</w:t>
      </w:r>
      <w:r w:rsidR="00CD4695" w:rsidRPr="00CD4695">
        <w:rPr>
          <w:rFonts w:eastAsia="Times New Roman"/>
          <w:color w:val="222222"/>
          <w:sz w:val="24"/>
          <w:szCs w:val="24"/>
          <w:lang w:eastAsia="en-AU"/>
        </w:rPr>
        <w:t xml:space="preserve"> </w:t>
      </w:r>
    </w:p>
    <w:p w:rsidR="003654E1" w:rsidRDefault="00E4319C" w:rsidP="009A110C">
      <w:pPr>
        <w:spacing w:after="0"/>
        <w:rPr>
          <w:color w:val="222222"/>
          <w:sz w:val="24"/>
          <w:szCs w:val="24"/>
        </w:rPr>
      </w:pPr>
      <w:r w:rsidRPr="00CF088B">
        <w:rPr>
          <w:rFonts w:eastAsia="Times New Roman"/>
          <w:color w:val="222222"/>
          <w:sz w:val="24"/>
          <w:szCs w:val="24"/>
          <w:lang w:eastAsia="en-AU"/>
        </w:rPr>
        <w:t>Projects likely to receive favo</w:t>
      </w:r>
      <w:r w:rsidR="00CF088B">
        <w:rPr>
          <w:rFonts w:eastAsia="Times New Roman"/>
          <w:color w:val="222222"/>
          <w:sz w:val="24"/>
          <w:szCs w:val="24"/>
          <w:lang w:eastAsia="en-AU"/>
        </w:rPr>
        <w:t>u</w:t>
      </w:r>
      <w:r w:rsidRPr="00CF088B">
        <w:rPr>
          <w:rFonts w:eastAsia="Times New Roman"/>
          <w:color w:val="222222"/>
          <w:sz w:val="24"/>
          <w:szCs w:val="24"/>
          <w:lang w:eastAsia="en-AU"/>
        </w:rPr>
        <w:t>rable consideration will</w:t>
      </w:r>
      <w:r w:rsidR="00B9385A" w:rsidRPr="00CF088B">
        <w:rPr>
          <w:rFonts w:eastAsia="Times New Roman"/>
          <w:color w:val="222222"/>
          <w:sz w:val="24"/>
          <w:szCs w:val="24"/>
          <w:lang w:eastAsia="en-AU"/>
        </w:rPr>
        <w:t xml:space="preserve"> facilitate waste avoidance, landfill diversion (including stockpile diversion/reduction) and recycling </w:t>
      </w:r>
      <w:r w:rsidR="00B9385A" w:rsidRPr="0052789E">
        <w:rPr>
          <w:rFonts w:eastAsia="Times New Roman"/>
          <w:color w:val="222222"/>
          <w:sz w:val="24"/>
          <w:szCs w:val="24"/>
          <w:lang w:eastAsia="en-AU"/>
        </w:rPr>
        <w:t xml:space="preserve">activities. </w:t>
      </w:r>
      <w:r w:rsidR="00CD4695" w:rsidRPr="00CD4695">
        <w:rPr>
          <w:rFonts w:eastAsia="Times New Roman"/>
          <w:color w:val="222222"/>
          <w:sz w:val="24"/>
          <w:szCs w:val="24"/>
          <w:lang w:eastAsia="en-AU"/>
        </w:rPr>
        <w:t>E-Waste and other recycling projects will be considered, where the project focus (more than 50%</w:t>
      </w:r>
      <w:r w:rsidR="00A91443">
        <w:rPr>
          <w:rFonts w:eastAsia="Times New Roman"/>
          <w:color w:val="222222"/>
          <w:sz w:val="24"/>
          <w:szCs w:val="24"/>
          <w:lang w:eastAsia="en-AU"/>
        </w:rPr>
        <w:t xml:space="preserve"> of ultimate funding usage</w:t>
      </w:r>
      <w:r w:rsidR="00CD4695" w:rsidRPr="00CD4695">
        <w:rPr>
          <w:rFonts w:eastAsia="Times New Roman"/>
          <w:color w:val="222222"/>
          <w:sz w:val="24"/>
          <w:szCs w:val="24"/>
          <w:lang w:eastAsia="en-AU"/>
        </w:rPr>
        <w:t xml:space="preserve">) is </w:t>
      </w:r>
      <w:r w:rsidR="00A91443">
        <w:rPr>
          <w:rFonts w:eastAsia="Times New Roman"/>
          <w:color w:val="222222"/>
          <w:sz w:val="24"/>
          <w:szCs w:val="24"/>
          <w:lang w:eastAsia="en-AU"/>
        </w:rPr>
        <w:t xml:space="preserve">directed to </w:t>
      </w:r>
      <w:r w:rsidR="00CD4695" w:rsidRPr="00CD4695">
        <w:rPr>
          <w:rFonts w:eastAsia="Times New Roman"/>
          <w:color w:val="222222"/>
          <w:sz w:val="24"/>
          <w:szCs w:val="24"/>
          <w:lang w:eastAsia="en-AU"/>
        </w:rPr>
        <w:t xml:space="preserve">the resource recovery of one or more of the </w:t>
      </w:r>
      <w:r w:rsidR="00CD4695" w:rsidRPr="00CD4695">
        <w:rPr>
          <w:color w:val="222222"/>
          <w:sz w:val="24"/>
          <w:szCs w:val="24"/>
        </w:rPr>
        <w:t>materials affected by the COAG waste export ban.</w:t>
      </w:r>
      <w:r w:rsidR="00CD4695">
        <w:rPr>
          <w:color w:val="222222"/>
          <w:sz w:val="24"/>
          <w:szCs w:val="24"/>
        </w:rPr>
        <w:t xml:space="preserve"> </w:t>
      </w:r>
    </w:p>
    <w:p w:rsidR="003654E1" w:rsidRDefault="003654E1" w:rsidP="009A110C">
      <w:pPr>
        <w:spacing w:after="0"/>
        <w:rPr>
          <w:color w:val="222222"/>
          <w:sz w:val="24"/>
          <w:szCs w:val="24"/>
        </w:rPr>
      </w:pPr>
    </w:p>
    <w:p w:rsidR="00B9385A" w:rsidRPr="00CF088B" w:rsidRDefault="00B9385A" w:rsidP="009A110C">
      <w:pPr>
        <w:spacing w:after="0"/>
        <w:rPr>
          <w:rFonts w:eastAsia="Times New Roman"/>
          <w:color w:val="222222"/>
          <w:sz w:val="24"/>
          <w:szCs w:val="24"/>
          <w:lang w:eastAsia="en-AU"/>
        </w:rPr>
      </w:pPr>
      <w:r w:rsidRPr="0052789E">
        <w:rPr>
          <w:rFonts w:eastAsia="Times New Roman"/>
          <w:color w:val="222222"/>
          <w:sz w:val="24"/>
          <w:szCs w:val="24"/>
          <w:lang w:eastAsia="en-AU"/>
        </w:rPr>
        <w:t xml:space="preserve">Projects should create economic development opportunities and build a stronger onshore recycling industry through developing </w:t>
      </w:r>
      <w:r w:rsidRPr="00CF088B">
        <w:rPr>
          <w:rFonts w:eastAsia="Times New Roman"/>
          <w:color w:val="222222"/>
          <w:sz w:val="24"/>
          <w:szCs w:val="24"/>
          <w:lang w:eastAsia="en-AU"/>
        </w:rPr>
        <w:t>new domestic markets for recycled materials</w:t>
      </w:r>
      <w:r w:rsidR="00880123">
        <w:rPr>
          <w:rFonts w:eastAsia="Times New Roman"/>
          <w:color w:val="222222"/>
          <w:sz w:val="24"/>
          <w:szCs w:val="24"/>
          <w:lang w:eastAsia="en-AU"/>
        </w:rPr>
        <w:t xml:space="preserve"> or new products</w:t>
      </w:r>
      <w:r w:rsidR="008106A8">
        <w:rPr>
          <w:rFonts w:eastAsia="Times New Roman"/>
          <w:color w:val="222222"/>
          <w:sz w:val="24"/>
          <w:szCs w:val="24"/>
          <w:lang w:eastAsia="en-AU"/>
        </w:rPr>
        <w:t xml:space="preserve"> made from recycled materials</w:t>
      </w:r>
      <w:r w:rsidR="006B446B">
        <w:rPr>
          <w:rFonts w:eastAsia="Times New Roman"/>
          <w:color w:val="222222"/>
          <w:sz w:val="24"/>
          <w:szCs w:val="24"/>
          <w:lang w:eastAsia="en-AU"/>
        </w:rPr>
        <w:t>.</w:t>
      </w:r>
      <w:r w:rsidRPr="00CF088B">
        <w:rPr>
          <w:rFonts w:eastAsia="Times New Roman"/>
          <w:color w:val="222222"/>
          <w:sz w:val="24"/>
          <w:szCs w:val="24"/>
          <w:lang w:eastAsia="en-AU"/>
        </w:rPr>
        <w:t xml:space="preserve"> </w:t>
      </w:r>
    </w:p>
    <w:p w:rsidR="005B73F8" w:rsidRPr="00CF088B" w:rsidRDefault="005B73F8" w:rsidP="00927FC1">
      <w:pPr>
        <w:spacing w:after="0"/>
        <w:rPr>
          <w:rFonts w:ascii="Calibri" w:hAnsi="Calibri" w:cs="Calibri"/>
          <w:color w:val="FF0000"/>
          <w:sz w:val="24"/>
          <w:szCs w:val="24"/>
        </w:rPr>
      </w:pPr>
    </w:p>
    <w:p w:rsidR="00A56749" w:rsidRPr="00CF088B" w:rsidRDefault="00A56749" w:rsidP="006814D7">
      <w:pPr>
        <w:spacing w:after="120"/>
        <w:rPr>
          <w:rFonts w:eastAsia="Times New Roman"/>
          <w:color w:val="222222"/>
          <w:sz w:val="24"/>
          <w:szCs w:val="24"/>
          <w:lang w:eastAsia="en-AU"/>
        </w:rPr>
      </w:pPr>
      <w:r w:rsidRPr="00CF088B">
        <w:rPr>
          <w:rFonts w:eastAsia="Times New Roman"/>
          <w:color w:val="222222"/>
          <w:sz w:val="24"/>
          <w:szCs w:val="24"/>
          <w:lang w:eastAsia="en-AU"/>
        </w:rPr>
        <w:lastRenderedPageBreak/>
        <w:t xml:space="preserve">A </w:t>
      </w:r>
      <w:r w:rsidR="00E4319C" w:rsidRPr="00CF088B">
        <w:rPr>
          <w:rFonts w:eastAsia="Times New Roman"/>
          <w:color w:val="222222"/>
          <w:sz w:val="24"/>
          <w:szCs w:val="24"/>
          <w:lang w:eastAsia="en-AU"/>
        </w:rPr>
        <w:t xml:space="preserve">proposed </w:t>
      </w:r>
      <w:r w:rsidRPr="00CF088B">
        <w:rPr>
          <w:rFonts w:eastAsia="Times New Roman"/>
          <w:color w:val="222222"/>
          <w:sz w:val="24"/>
          <w:szCs w:val="24"/>
          <w:lang w:eastAsia="en-AU"/>
        </w:rPr>
        <w:t xml:space="preserve">project </w:t>
      </w:r>
      <w:r w:rsidRPr="00B757E2">
        <w:rPr>
          <w:rFonts w:eastAsia="Times New Roman"/>
          <w:b/>
          <w:color w:val="222222"/>
          <w:sz w:val="24"/>
          <w:szCs w:val="24"/>
          <w:lang w:eastAsia="en-AU"/>
        </w:rPr>
        <w:t>must</w:t>
      </w:r>
      <w:r w:rsidRPr="00CF088B">
        <w:rPr>
          <w:rFonts w:eastAsia="Times New Roman"/>
          <w:color w:val="222222"/>
          <w:sz w:val="24"/>
          <w:szCs w:val="24"/>
          <w:lang w:eastAsia="en-AU"/>
        </w:rPr>
        <w:t xml:space="preserve"> meet </w:t>
      </w:r>
      <w:r w:rsidRPr="00EC53E0">
        <w:rPr>
          <w:rFonts w:eastAsia="Times New Roman"/>
          <w:b/>
          <w:bCs/>
          <w:color w:val="222222"/>
          <w:sz w:val="24"/>
          <w:szCs w:val="24"/>
          <w:lang w:eastAsia="en-AU"/>
        </w:rPr>
        <w:t>all</w:t>
      </w:r>
      <w:r w:rsidRPr="00CF088B">
        <w:rPr>
          <w:rFonts w:eastAsia="Times New Roman"/>
          <w:color w:val="222222"/>
          <w:sz w:val="24"/>
          <w:szCs w:val="24"/>
          <w:lang w:eastAsia="en-AU"/>
        </w:rPr>
        <w:t xml:space="preserve"> of the following criteria:</w:t>
      </w:r>
    </w:p>
    <w:p w:rsidR="00A56749" w:rsidRPr="00CF088B" w:rsidRDefault="00ED2A74" w:rsidP="00A80916">
      <w:pPr>
        <w:numPr>
          <w:ilvl w:val="0"/>
          <w:numId w:val="22"/>
        </w:numPr>
        <w:tabs>
          <w:tab w:val="clear" w:pos="720"/>
          <w:tab w:val="num" w:pos="709"/>
        </w:tabs>
        <w:spacing w:after="0"/>
        <w:ind w:hanging="436"/>
        <w:rPr>
          <w:rFonts w:eastAsia="Times New Roman"/>
          <w:color w:val="222222"/>
          <w:sz w:val="24"/>
          <w:szCs w:val="24"/>
          <w:lang w:eastAsia="en-AU"/>
        </w:rPr>
      </w:pPr>
      <w:r>
        <w:rPr>
          <w:rFonts w:eastAsia="Times New Roman"/>
          <w:color w:val="222222"/>
          <w:sz w:val="24"/>
          <w:szCs w:val="24"/>
          <w:lang w:eastAsia="en-AU"/>
        </w:rPr>
        <w:t>O</w:t>
      </w:r>
      <w:r w:rsidR="00E4319C" w:rsidRPr="00CF088B">
        <w:rPr>
          <w:rFonts w:eastAsia="Times New Roman"/>
          <w:color w:val="222222"/>
          <w:sz w:val="24"/>
          <w:szCs w:val="24"/>
          <w:lang w:eastAsia="en-AU"/>
        </w:rPr>
        <w:t>perations</w:t>
      </w:r>
      <w:r w:rsidR="00A91443">
        <w:rPr>
          <w:rFonts w:eastAsia="Times New Roman"/>
          <w:color w:val="222222"/>
          <w:sz w:val="24"/>
          <w:szCs w:val="24"/>
          <w:lang w:eastAsia="en-AU"/>
        </w:rPr>
        <w:t xml:space="preserve"> to</w:t>
      </w:r>
      <w:r w:rsidR="00E4319C" w:rsidRPr="00CF088B">
        <w:rPr>
          <w:rFonts w:eastAsia="Times New Roman"/>
          <w:color w:val="222222"/>
          <w:sz w:val="24"/>
          <w:szCs w:val="24"/>
          <w:lang w:eastAsia="en-AU"/>
        </w:rPr>
        <w:t xml:space="preserve"> </w:t>
      </w:r>
      <w:r w:rsidR="00A56749" w:rsidRPr="00CF088B">
        <w:rPr>
          <w:rFonts w:eastAsia="Times New Roman"/>
          <w:color w:val="222222"/>
          <w:sz w:val="24"/>
          <w:szCs w:val="24"/>
          <w:lang w:eastAsia="en-AU"/>
        </w:rPr>
        <w:t>be located</w:t>
      </w:r>
      <w:r w:rsidR="00E4319C" w:rsidRPr="00CF088B">
        <w:rPr>
          <w:rFonts w:eastAsia="Times New Roman"/>
          <w:color w:val="222222"/>
          <w:sz w:val="24"/>
          <w:szCs w:val="24"/>
          <w:lang w:eastAsia="en-AU"/>
        </w:rPr>
        <w:t xml:space="preserve"> wholly</w:t>
      </w:r>
      <w:r w:rsidR="00A56749" w:rsidRPr="00CF088B">
        <w:rPr>
          <w:rFonts w:eastAsia="Times New Roman"/>
          <w:color w:val="222222"/>
          <w:sz w:val="24"/>
          <w:szCs w:val="24"/>
          <w:lang w:eastAsia="en-AU"/>
        </w:rPr>
        <w:t xml:space="preserve"> in the Northern Territory</w:t>
      </w:r>
    </w:p>
    <w:p w:rsidR="000C6D20" w:rsidRPr="007909FA" w:rsidRDefault="00ED2A74" w:rsidP="00A80916">
      <w:pPr>
        <w:numPr>
          <w:ilvl w:val="0"/>
          <w:numId w:val="22"/>
        </w:numPr>
        <w:tabs>
          <w:tab w:val="clear" w:pos="720"/>
          <w:tab w:val="num" w:pos="709"/>
        </w:tabs>
        <w:spacing w:after="0"/>
        <w:ind w:hanging="436"/>
        <w:rPr>
          <w:rFonts w:eastAsia="Times New Roman"/>
          <w:sz w:val="24"/>
          <w:szCs w:val="24"/>
          <w:lang w:eastAsia="en-AU"/>
        </w:rPr>
      </w:pPr>
      <w:r>
        <w:rPr>
          <w:rFonts w:eastAsia="Times New Roman"/>
          <w:color w:val="222222"/>
          <w:sz w:val="24"/>
          <w:szCs w:val="24"/>
          <w:lang w:eastAsia="en-AU"/>
        </w:rPr>
        <w:t>I</w:t>
      </w:r>
      <w:r w:rsidR="00870776" w:rsidRPr="00CF088B">
        <w:rPr>
          <w:rFonts w:eastAsia="Times New Roman"/>
          <w:color w:val="222222"/>
          <w:sz w:val="24"/>
          <w:szCs w:val="24"/>
          <w:lang w:eastAsia="en-AU"/>
        </w:rPr>
        <w:t xml:space="preserve">ncrease the capacity for domestic sorting, </w:t>
      </w:r>
      <w:r w:rsidR="000C6D20" w:rsidRPr="00CF088B">
        <w:rPr>
          <w:rFonts w:eastAsia="Times New Roman"/>
          <w:color w:val="222222"/>
          <w:sz w:val="24"/>
          <w:szCs w:val="24"/>
          <w:lang w:eastAsia="en-AU"/>
        </w:rPr>
        <w:t xml:space="preserve">processing, </w:t>
      </w:r>
      <w:r w:rsidR="000C6D20" w:rsidRPr="007909FA">
        <w:rPr>
          <w:rFonts w:eastAsia="Times New Roman"/>
          <w:color w:val="222222"/>
          <w:sz w:val="24"/>
          <w:szCs w:val="24"/>
          <w:lang w:eastAsia="en-AU"/>
        </w:rPr>
        <w:t>recycling</w:t>
      </w:r>
      <w:r w:rsidR="00CC69C4" w:rsidRPr="007909FA">
        <w:rPr>
          <w:rFonts w:eastAsia="Times New Roman"/>
          <w:color w:val="222222"/>
          <w:sz w:val="24"/>
          <w:szCs w:val="24"/>
          <w:lang w:eastAsia="en-AU"/>
        </w:rPr>
        <w:t>, reuse</w:t>
      </w:r>
      <w:r w:rsidR="000C6D20" w:rsidRPr="007909FA">
        <w:rPr>
          <w:rFonts w:eastAsia="Times New Roman"/>
          <w:color w:val="222222"/>
          <w:sz w:val="24"/>
          <w:szCs w:val="24"/>
          <w:lang w:eastAsia="en-AU"/>
        </w:rPr>
        <w:t xml:space="preserve"> and</w:t>
      </w:r>
      <w:r w:rsidR="00CC69C4" w:rsidRPr="007909FA">
        <w:rPr>
          <w:rFonts w:eastAsia="Times New Roman"/>
          <w:color w:val="222222"/>
          <w:sz w:val="24"/>
          <w:szCs w:val="24"/>
          <w:lang w:eastAsia="en-AU"/>
        </w:rPr>
        <w:t>/or</w:t>
      </w:r>
      <w:r w:rsidR="000C6D20" w:rsidRPr="007909FA">
        <w:rPr>
          <w:rFonts w:eastAsia="Times New Roman"/>
          <w:color w:val="222222"/>
          <w:sz w:val="24"/>
          <w:szCs w:val="24"/>
          <w:lang w:eastAsia="en-AU"/>
        </w:rPr>
        <w:t xml:space="preserve"> remanufacturing of </w:t>
      </w:r>
      <w:r w:rsidR="009B1403">
        <w:rPr>
          <w:rFonts w:eastAsia="Times New Roman"/>
          <w:color w:val="222222"/>
          <w:sz w:val="24"/>
          <w:szCs w:val="24"/>
          <w:lang w:eastAsia="en-AU"/>
        </w:rPr>
        <w:t>waste plastics</w:t>
      </w:r>
      <w:r w:rsidR="008B49A6" w:rsidRPr="00AE6F91">
        <w:rPr>
          <w:rFonts w:eastAsia="Times New Roman"/>
          <w:color w:val="FF0000"/>
          <w:sz w:val="24"/>
          <w:szCs w:val="24"/>
          <w:lang w:eastAsia="en-AU"/>
        </w:rPr>
        <w:t>*</w:t>
      </w:r>
      <w:r w:rsidR="009B1403">
        <w:rPr>
          <w:rFonts w:eastAsia="Times New Roman"/>
          <w:color w:val="222222"/>
          <w:sz w:val="24"/>
          <w:szCs w:val="24"/>
          <w:lang w:eastAsia="en-AU"/>
        </w:rPr>
        <w:t>, mixed paper and cardboard</w:t>
      </w:r>
      <w:r w:rsidR="008B49A6" w:rsidRPr="00AE6F91">
        <w:rPr>
          <w:rFonts w:eastAsia="Times New Roman"/>
          <w:color w:val="FF0000"/>
          <w:sz w:val="24"/>
          <w:szCs w:val="24"/>
          <w:lang w:eastAsia="en-AU"/>
        </w:rPr>
        <w:t>*</w:t>
      </w:r>
      <w:r w:rsidR="009B1403">
        <w:rPr>
          <w:rFonts w:eastAsia="Times New Roman"/>
          <w:color w:val="222222"/>
          <w:sz w:val="24"/>
          <w:szCs w:val="24"/>
          <w:lang w:eastAsia="en-AU"/>
        </w:rPr>
        <w:t>, glass or whole used tyres</w:t>
      </w:r>
    </w:p>
    <w:p w:rsidR="000C6D20" w:rsidRPr="007909FA" w:rsidRDefault="00ED2A74" w:rsidP="00A80916">
      <w:pPr>
        <w:numPr>
          <w:ilvl w:val="0"/>
          <w:numId w:val="22"/>
        </w:numPr>
        <w:tabs>
          <w:tab w:val="clear" w:pos="720"/>
          <w:tab w:val="num" w:pos="709"/>
        </w:tabs>
        <w:spacing w:after="0"/>
        <w:ind w:hanging="436"/>
        <w:rPr>
          <w:rFonts w:eastAsia="Times New Roman"/>
          <w:sz w:val="24"/>
          <w:szCs w:val="24"/>
          <w:lang w:eastAsia="en-AU"/>
        </w:rPr>
      </w:pPr>
      <w:r>
        <w:rPr>
          <w:rFonts w:eastAsia="Times New Roman"/>
          <w:color w:val="222222"/>
          <w:sz w:val="24"/>
          <w:szCs w:val="24"/>
          <w:lang w:eastAsia="en-AU"/>
        </w:rPr>
        <w:t>D</w:t>
      </w:r>
      <w:r w:rsidR="00870776" w:rsidRPr="007909FA">
        <w:rPr>
          <w:rFonts w:eastAsia="Times New Roman"/>
          <w:color w:val="222222"/>
          <w:sz w:val="24"/>
          <w:szCs w:val="24"/>
          <w:lang w:eastAsia="en-AU"/>
        </w:rPr>
        <w:t>eliver new or improved resource recovery</w:t>
      </w:r>
      <w:r w:rsidR="00CC69C4" w:rsidRPr="007909FA">
        <w:rPr>
          <w:rFonts w:eastAsia="Times New Roman"/>
          <w:color w:val="222222"/>
          <w:sz w:val="24"/>
          <w:szCs w:val="24"/>
          <w:lang w:eastAsia="en-AU"/>
        </w:rPr>
        <w:t>, recycling and remanufacturing</w:t>
      </w:r>
      <w:r w:rsidR="00870776" w:rsidRPr="007909FA">
        <w:rPr>
          <w:rFonts w:eastAsia="Times New Roman"/>
          <w:color w:val="222222"/>
          <w:sz w:val="24"/>
          <w:szCs w:val="24"/>
          <w:lang w:eastAsia="en-AU"/>
        </w:rPr>
        <w:t xml:space="preserve"> infrastructure</w:t>
      </w:r>
      <w:r w:rsidR="000C6D20" w:rsidRPr="007909FA">
        <w:rPr>
          <w:rFonts w:ascii="Calibri" w:hAnsi="Calibri" w:cs="Calibri"/>
          <w:color w:val="FF0000"/>
          <w:sz w:val="24"/>
          <w:szCs w:val="24"/>
        </w:rPr>
        <w:t xml:space="preserve"> </w:t>
      </w:r>
    </w:p>
    <w:p w:rsidR="00CC69C4" w:rsidRPr="007909FA" w:rsidRDefault="00ED2A74" w:rsidP="00A80916">
      <w:pPr>
        <w:numPr>
          <w:ilvl w:val="0"/>
          <w:numId w:val="22"/>
        </w:numPr>
        <w:tabs>
          <w:tab w:val="clear" w:pos="720"/>
          <w:tab w:val="num" w:pos="709"/>
        </w:tabs>
        <w:spacing w:after="0"/>
        <w:ind w:hanging="436"/>
        <w:rPr>
          <w:rFonts w:eastAsia="Times New Roman"/>
          <w:color w:val="222222"/>
          <w:sz w:val="24"/>
          <w:szCs w:val="24"/>
          <w:lang w:eastAsia="en-AU"/>
        </w:rPr>
      </w:pPr>
      <w:r>
        <w:rPr>
          <w:rFonts w:eastAsia="Times New Roman"/>
          <w:color w:val="222222"/>
          <w:sz w:val="24"/>
          <w:szCs w:val="24"/>
          <w:lang w:eastAsia="en-AU"/>
        </w:rPr>
        <w:t>D</w:t>
      </w:r>
      <w:r w:rsidR="00CC69C4" w:rsidRPr="007909FA">
        <w:rPr>
          <w:rFonts w:eastAsia="Times New Roman"/>
          <w:color w:val="222222"/>
          <w:sz w:val="24"/>
          <w:szCs w:val="24"/>
          <w:lang w:eastAsia="en-AU"/>
        </w:rPr>
        <w:t>emonstrate a long term return (minimum 5 years) on investment to the Northern Territory in improving recycling, reproces</w:t>
      </w:r>
      <w:r w:rsidR="00927FC1" w:rsidRPr="007909FA">
        <w:rPr>
          <w:rFonts w:eastAsia="Times New Roman"/>
          <w:color w:val="222222"/>
          <w:sz w:val="24"/>
          <w:szCs w:val="24"/>
          <w:lang w:eastAsia="en-AU"/>
        </w:rPr>
        <w:t xml:space="preserve">sing and/or remanufacturing </w:t>
      </w:r>
    </w:p>
    <w:p w:rsidR="00927FC1" w:rsidRDefault="00ED2A74" w:rsidP="00A80916">
      <w:pPr>
        <w:numPr>
          <w:ilvl w:val="0"/>
          <w:numId w:val="22"/>
        </w:numPr>
        <w:tabs>
          <w:tab w:val="clear" w:pos="720"/>
          <w:tab w:val="num" w:pos="709"/>
        </w:tabs>
        <w:spacing w:after="0"/>
        <w:ind w:hanging="436"/>
        <w:rPr>
          <w:rFonts w:eastAsia="Times New Roman"/>
          <w:color w:val="222222"/>
          <w:sz w:val="24"/>
          <w:szCs w:val="24"/>
          <w:lang w:eastAsia="en-AU"/>
        </w:rPr>
      </w:pPr>
      <w:r>
        <w:rPr>
          <w:rFonts w:eastAsia="Times New Roman"/>
          <w:color w:val="222222"/>
          <w:sz w:val="24"/>
          <w:szCs w:val="24"/>
          <w:lang w:eastAsia="en-AU"/>
        </w:rPr>
        <w:t>B</w:t>
      </w:r>
      <w:r w:rsidR="00927FC1" w:rsidRPr="00CF088B">
        <w:rPr>
          <w:rFonts w:eastAsia="Times New Roman"/>
          <w:color w:val="222222"/>
          <w:sz w:val="24"/>
          <w:szCs w:val="24"/>
          <w:lang w:eastAsia="en-AU"/>
        </w:rPr>
        <w:t>e completed and operational by 30 June 2024.</w:t>
      </w:r>
    </w:p>
    <w:p w:rsidR="008B49A6" w:rsidRPr="00927FC1" w:rsidRDefault="008B49A6" w:rsidP="008B49A6">
      <w:pPr>
        <w:spacing w:after="0"/>
        <w:rPr>
          <w:rFonts w:eastAsia="Times New Roman"/>
          <w:color w:val="222222"/>
          <w:sz w:val="24"/>
          <w:szCs w:val="24"/>
          <w:lang w:eastAsia="en-AU"/>
        </w:rPr>
      </w:pPr>
      <w:r w:rsidRPr="00AE6F91">
        <w:rPr>
          <w:rFonts w:eastAsia="Times New Roman"/>
          <w:color w:val="FF0000"/>
          <w:sz w:val="24"/>
          <w:szCs w:val="24"/>
          <w:lang w:eastAsia="en-AU"/>
        </w:rPr>
        <w:t>*</w:t>
      </w:r>
      <w:r>
        <w:rPr>
          <w:rFonts w:eastAsia="Times New Roman"/>
          <w:color w:val="222222"/>
          <w:sz w:val="24"/>
          <w:szCs w:val="24"/>
          <w:lang w:eastAsia="en-AU"/>
        </w:rPr>
        <w:t>NT RMF Round 2 priority waste stream</w:t>
      </w:r>
    </w:p>
    <w:p w:rsidR="00A56749" w:rsidRPr="00CF088B" w:rsidRDefault="00A56749" w:rsidP="00A56749">
      <w:pPr>
        <w:spacing w:after="0"/>
        <w:rPr>
          <w:rFonts w:eastAsia="Times New Roman"/>
          <w:color w:val="222222"/>
          <w:sz w:val="24"/>
          <w:szCs w:val="24"/>
          <w:lang w:eastAsia="en-AU"/>
        </w:rPr>
      </w:pPr>
    </w:p>
    <w:p w:rsidR="005B73F8" w:rsidRPr="00CF088B" w:rsidRDefault="005B73F8" w:rsidP="00CC71E8">
      <w:pPr>
        <w:autoSpaceDE w:val="0"/>
        <w:autoSpaceDN w:val="0"/>
        <w:adjustRightInd w:val="0"/>
        <w:spacing w:after="120"/>
        <w:rPr>
          <w:rFonts w:cs="Calibri"/>
          <w:sz w:val="24"/>
          <w:szCs w:val="24"/>
        </w:rPr>
      </w:pPr>
      <w:r w:rsidRPr="00CF088B">
        <w:rPr>
          <w:rFonts w:cs="Calibri"/>
          <w:sz w:val="24"/>
          <w:szCs w:val="24"/>
        </w:rPr>
        <w:t xml:space="preserve">The following </w:t>
      </w:r>
      <w:r w:rsidR="00E4319C" w:rsidRPr="00CF088B">
        <w:rPr>
          <w:rFonts w:cs="Calibri"/>
          <w:sz w:val="24"/>
          <w:szCs w:val="24"/>
        </w:rPr>
        <w:t xml:space="preserve">proposed </w:t>
      </w:r>
      <w:r w:rsidRPr="00CF088B">
        <w:rPr>
          <w:rFonts w:cs="Calibri"/>
          <w:sz w:val="24"/>
          <w:szCs w:val="24"/>
        </w:rPr>
        <w:t xml:space="preserve">projects </w:t>
      </w:r>
      <w:r w:rsidRPr="00CF088B">
        <w:rPr>
          <w:rFonts w:cs="Calibri-Bold"/>
          <w:b/>
          <w:bCs/>
          <w:sz w:val="24"/>
          <w:szCs w:val="24"/>
        </w:rPr>
        <w:t xml:space="preserve">will not </w:t>
      </w:r>
      <w:r w:rsidRPr="00CF088B">
        <w:rPr>
          <w:rFonts w:cs="Calibri"/>
          <w:sz w:val="24"/>
          <w:szCs w:val="24"/>
        </w:rPr>
        <w:t>be considered:</w:t>
      </w:r>
    </w:p>
    <w:p w:rsidR="00331548" w:rsidRPr="00CF088B" w:rsidRDefault="00ED2A74" w:rsidP="00A80916">
      <w:pPr>
        <w:pStyle w:val="ListParagraph"/>
        <w:numPr>
          <w:ilvl w:val="0"/>
          <w:numId w:val="23"/>
        </w:numPr>
        <w:autoSpaceDE w:val="0"/>
        <w:autoSpaceDN w:val="0"/>
        <w:adjustRightInd w:val="0"/>
        <w:ind w:hanging="436"/>
        <w:rPr>
          <w:rFonts w:cs="Calibri"/>
          <w:sz w:val="24"/>
          <w:szCs w:val="24"/>
        </w:rPr>
      </w:pPr>
      <w:r>
        <w:rPr>
          <w:color w:val="222222"/>
          <w:sz w:val="24"/>
          <w:szCs w:val="24"/>
        </w:rPr>
        <w:t>E</w:t>
      </w:r>
      <w:r w:rsidR="00EE2DED" w:rsidRPr="00CF088B">
        <w:rPr>
          <w:color w:val="222222"/>
          <w:sz w:val="24"/>
          <w:szCs w:val="24"/>
        </w:rPr>
        <w:t xml:space="preserve">nergy-from-waste projects </w:t>
      </w:r>
    </w:p>
    <w:p w:rsidR="00331548" w:rsidRDefault="00ED2A74" w:rsidP="00A80916">
      <w:pPr>
        <w:pStyle w:val="ListParagraph"/>
        <w:numPr>
          <w:ilvl w:val="0"/>
          <w:numId w:val="23"/>
        </w:numPr>
        <w:autoSpaceDE w:val="0"/>
        <w:autoSpaceDN w:val="0"/>
        <w:adjustRightInd w:val="0"/>
        <w:ind w:hanging="436"/>
        <w:rPr>
          <w:rFonts w:cs="Calibri"/>
          <w:sz w:val="24"/>
          <w:szCs w:val="24"/>
        </w:rPr>
      </w:pPr>
      <w:r>
        <w:rPr>
          <w:rFonts w:cs="Calibri"/>
          <w:sz w:val="24"/>
          <w:szCs w:val="24"/>
        </w:rPr>
        <w:t>L</w:t>
      </w:r>
      <w:r w:rsidR="00331548" w:rsidRPr="00CF088B">
        <w:rPr>
          <w:rFonts w:cs="Calibri"/>
          <w:sz w:val="24"/>
          <w:szCs w:val="24"/>
        </w:rPr>
        <w:t>andfill projects - construction of new landfills or landfill cells, improvement of existing landfills (excluding source separation equipment), new landfill equipment, capping of landfills or rehabilitation of legacy landfills</w:t>
      </w:r>
    </w:p>
    <w:p w:rsidR="00CC69C4" w:rsidRPr="00927FC1" w:rsidRDefault="00ED2A74" w:rsidP="00A80916">
      <w:pPr>
        <w:pStyle w:val="ListParagraph"/>
        <w:numPr>
          <w:ilvl w:val="0"/>
          <w:numId w:val="23"/>
        </w:numPr>
        <w:autoSpaceDE w:val="0"/>
        <w:autoSpaceDN w:val="0"/>
        <w:adjustRightInd w:val="0"/>
        <w:ind w:hanging="436"/>
        <w:rPr>
          <w:rFonts w:cs="Calibri"/>
          <w:sz w:val="24"/>
          <w:szCs w:val="24"/>
        </w:rPr>
      </w:pPr>
      <w:r>
        <w:rPr>
          <w:rFonts w:cs="Calibri"/>
          <w:sz w:val="24"/>
          <w:szCs w:val="24"/>
        </w:rPr>
        <w:t>P</w:t>
      </w:r>
      <w:r w:rsidR="00CC69C4">
        <w:rPr>
          <w:rFonts w:cs="Calibri"/>
          <w:sz w:val="24"/>
          <w:szCs w:val="24"/>
        </w:rPr>
        <w:t xml:space="preserve">rojects which result in wastes stored for </w:t>
      </w:r>
      <w:r w:rsidR="0078358E">
        <w:rPr>
          <w:rFonts w:cs="Calibri"/>
          <w:sz w:val="24"/>
          <w:szCs w:val="24"/>
        </w:rPr>
        <w:t xml:space="preserve">greater than 2 years </w:t>
      </w:r>
      <w:r w:rsidR="00CC69C4">
        <w:rPr>
          <w:rFonts w:cs="Calibri"/>
          <w:sz w:val="24"/>
          <w:szCs w:val="24"/>
        </w:rPr>
        <w:t xml:space="preserve">without an end-use </w:t>
      </w:r>
    </w:p>
    <w:p w:rsidR="004A5B06" w:rsidRPr="00CF088B" w:rsidRDefault="00ED2A74" w:rsidP="00A80916">
      <w:pPr>
        <w:pStyle w:val="ListParagraph"/>
        <w:numPr>
          <w:ilvl w:val="0"/>
          <w:numId w:val="23"/>
        </w:numPr>
        <w:autoSpaceDE w:val="0"/>
        <w:autoSpaceDN w:val="0"/>
        <w:adjustRightInd w:val="0"/>
        <w:ind w:hanging="436"/>
        <w:rPr>
          <w:rFonts w:cs="Calibri"/>
          <w:sz w:val="24"/>
          <w:szCs w:val="24"/>
        </w:rPr>
      </w:pPr>
      <w:r>
        <w:rPr>
          <w:rFonts w:cs="Calibri"/>
          <w:sz w:val="24"/>
          <w:szCs w:val="24"/>
        </w:rPr>
        <w:t>P</w:t>
      </w:r>
      <w:r w:rsidR="004A5B06" w:rsidRPr="00CF088B">
        <w:rPr>
          <w:rFonts w:cs="Calibri"/>
          <w:sz w:val="24"/>
          <w:szCs w:val="24"/>
        </w:rPr>
        <w:t>rojects that have already commenced or are planned to commence regardless of financial support from government, for example:</w:t>
      </w:r>
    </w:p>
    <w:p w:rsidR="004A5B06" w:rsidRPr="00CF088B" w:rsidRDefault="004A5B06" w:rsidP="00A80916">
      <w:pPr>
        <w:pStyle w:val="ListParagraph"/>
        <w:numPr>
          <w:ilvl w:val="0"/>
          <w:numId w:val="9"/>
        </w:numPr>
        <w:autoSpaceDE w:val="0"/>
        <w:autoSpaceDN w:val="0"/>
        <w:adjustRightInd w:val="0"/>
        <w:ind w:left="993" w:hanging="284"/>
        <w:rPr>
          <w:rFonts w:cs="Calibri"/>
          <w:sz w:val="24"/>
          <w:szCs w:val="24"/>
        </w:rPr>
      </w:pPr>
      <w:r w:rsidRPr="00CF088B">
        <w:rPr>
          <w:rFonts w:cs="Calibri"/>
          <w:sz w:val="24"/>
          <w:szCs w:val="24"/>
        </w:rPr>
        <w:t>your organisation is already contracted to provide the resource recovery infrastructure or service that is proposed, or to supply the recovered resources that are proposed to be produced by the project</w:t>
      </w:r>
    </w:p>
    <w:p w:rsidR="004A5B06" w:rsidRPr="00CF088B" w:rsidRDefault="004A5B06" w:rsidP="00A80916">
      <w:pPr>
        <w:pStyle w:val="ListParagraph"/>
        <w:numPr>
          <w:ilvl w:val="0"/>
          <w:numId w:val="9"/>
        </w:numPr>
        <w:autoSpaceDE w:val="0"/>
        <w:autoSpaceDN w:val="0"/>
        <w:adjustRightInd w:val="0"/>
        <w:ind w:left="993" w:hanging="284"/>
        <w:rPr>
          <w:rFonts w:cs="Calibri"/>
          <w:sz w:val="24"/>
          <w:szCs w:val="24"/>
        </w:rPr>
      </w:pPr>
      <w:r w:rsidRPr="00CF088B">
        <w:rPr>
          <w:rFonts w:cs="Calibri"/>
          <w:sz w:val="24"/>
          <w:szCs w:val="24"/>
        </w:rPr>
        <w:t>funding has been approved and committed to the project regardless of the financial incentive</w:t>
      </w:r>
      <w:r w:rsidR="00D1192B">
        <w:rPr>
          <w:rFonts w:cs="Calibri"/>
          <w:sz w:val="24"/>
          <w:szCs w:val="24"/>
        </w:rPr>
        <w:t xml:space="preserve"> offered under the NT RMF</w:t>
      </w:r>
    </w:p>
    <w:p w:rsidR="004A5B06" w:rsidRPr="00CF088B" w:rsidRDefault="004A5B06" w:rsidP="00A80916">
      <w:pPr>
        <w:pStyle w:val="ListParagraph"/>
        <w:numPr>
          <w:ilvl w:val="0"/>
          <w:numId w:val="9"/>
        </w:numPr>
        <w:autoSpaceDE w:val="0"/>
        <w:autoSpaceDN w:val="0"/>
        <w:adjustRightInd w:val="0"/>
        <w:ind w:left="993" w:hanging="284"/>
        <w:rPr>
          <w:rFonts w:cs="Calibri"/>
          <w:sz w:val="24"/>
          <w:szCs w:val="24"/>
        </w:rPr>
      </w:pPr>
      <w:r w:rsidRPr="00CF088B">
        <w:rPr>
          <w:rFonts w:cs="Calibri"/>
          <w:sz w:val="24"/>
          <w:szCs w:val="24"/>
        </w:rPr>
        <w:t>construction has commenced or contracts have been executed for supply / construction of the facility</w:t>
      </w:r>
    </w:p>
    <w:p w:rsidR="004A5B06" w:rsidRPr="00CF088B" w:rsidRDefault="00ED2A74" w:rsidP="00A80916">
      <w:pPr>
        <w:pStyle w:val="ListParagraph"/>
        <w:numPr>
          <w:ilvl w:val="0"/>
          <w:numId w:val="24"/>
        </w:numPr>
        <w:autoSpaceDE w:val="0"/>
        <w:autoSpaceDN w:val="0"/>
        <w:adjustRightInd w:val="0"/>
        <w:ind w:hanging="436"/>
        <w:rPr>
          <w:rFonts w:cs="Calibri"/>
          <w:sz w:val="24"/>
          <w:szCs w:val="24"/>
        </w:rPr>
      </w:pPr>
      <w:r>
        <w:rPr>
          <w:rFonts w:cs="Calibri"/>
          <w:sz w:val="24"/>
          <w:szCs w:val="24"/>
        </w:rPr>
        <w:t>P</w:t>
      </w:r>
      <w:r w:rsidR="004A5B06" w:rsidRPr="00CF088B">
        <w:rPr>
          <w:rFonts w:cs="Calibri"/>
          <w:sz w:val="24"/>
          <w:szCs w:val="24"/>
        </w:rPr>
        <w:t>rojects not directly resulting in new infrastructure investment, for example education and behaviour change programs, market development, strategy development, and feasibility studies</w:t>
      </w:r>
    </w:p>
    <w:p w:rsidR="0000475D" w:rsidRPr="00CF088B" w:rsidRDefault="00ED2A74" w:rsidP="00A80916">
      <w:pPr>
        <w:numPr>
          <w:ilvl w:val="0"/>
          <w:numId w:val="24"/>
        </w:numPr>
        <w:spacing w:after="120"/>
        <w:ind w:hanging="436"/>
        <w:rPr>
          <w:color w:val="222222"/>
          <w:sz w:val="24"/>
          <w:szCs w:val="24"/>
        </w:rPr>
      </w:pPr>
      <w:r>
        <w:rPr>
          <w:color w:val="222222"/>
          <w:sz w:val="24"/>
          <w:szCs w:val="24"/>
        </w:rPr>
        <w:t>P</w:t>
      </w:r>
      <w:r w:rsidR="00EE2DED" w:rsidRPr="00CF088B">
        <w:rPr>
          <w:color w:val="222222"/>
          <w:sz w:val="24"/>
          <w:szCs w:val="24"/>
        </w:rPr>
        <w:t xml:space="preserve">rojects that have received </w:t>
      </w:r>
      <w:r w:rsidR="0063000E" w:rsidRPr="00567E1C">
        <w:rPr>
          <w:color w:val="222222"/>
          <w:sz w:val="24"/>
          <w:szCs w:val="24"/>
        </w:rPr>
        <w:t xml:space="preserve">Australian Government or </w:t>
      </w:r>
      <w:r w:rsidR="00F9629A" w:rsidRPr="00567E1C">
        <w:rPr>
          <w:color w:val="222222"/>
          <w:sz w:val="24"/>
          <w:szCs w:val="24"/>
        </w:rPr>
        <w:t>N</w:t>
      </w:r>
      <w:r w:rsidR="008E3799" w:rsidRPr="00567E1C">
        <w:rPr>
          <w:color w:val="222222"/>
          <w:sz w:val="24"/>
          <w:szCs w:val="24"/>
        </w:rPr>
        <w:t>orthern</w:t>
      </w:r>
      <w:r w:rsidR="008E3799">
        <w:rPr>
          <w:color w:val="222222"/>
          <w:sz w:val="24"/>
          <w:szCs w:val="24"/>
        </w:rPr>
        <w:t xml:space="preserve"> </w:t>
      </w:r>
      <w:r w:rsidR="00F9629A">
        <w:rPr>
          <w:color w:val="222222"/>
          <w:sz w:val="24"/>
          <w:szCs w:val="24"/>
        </w:rPr>
        <w:t>T</w:t>
      </w:r>
      <w:r w:rsidR="008E3799">
        <w:rPr>
          <w:color w:val="222222"/>
          <w:sz w:val="24"/>
          <w:szCs w:val="24"/>
        </w:rPr>
        <w:t xml:space="preserve">erritory </w:t>
      </w:r>
      <w:r w:rsidR="00F9629A">
        <w:rPr>
          <w:color w:val="222222"/>
          <w:sz w:val="24"/>
          <w:szCs w:val="24"/>
        </w:rPr>
        <w:t>G</w:t>
      </w:r>
      <w:r w:rsidR="008E3799">
        <w:rPr>
          <w:color w:val="222222"/>
          <w:sz w:val="24"/>
          <w:szCs w:val="24"/>
        </w:rPr>
        <w:t xml:space="preserve">overnment </w:t>
      </w:r>
      <w:r w:rsidR="00EE2DED" w:rsidRPr="00CF088B">
        <w:rPr>
          <w:color w:val="222222"/>
          <w:sz w:val="24"/>
          <w:szCs w:val="24"/>
        </w:rPr>
        <w:t>funding or support for the same activities from other sources</w:t>
      </w:r>
      <w:r w:rsidR="005B4F36">
        <w:rPr>
          <w:color w:val="222222"/>
          <w:sz w:val="24"/>
          <w:szCs w:val="24"/>
        </w:rPr>
        <w:t xml:space="preserve"> </w:t>
      </w:r>
    </w:p>
    <w:p w:rsidR="0000475D" w:rsidRPr="00CF088B" w:rsidRDefault="00ED2A74" w:rsidP="00A80916">
      <w:pPr>
        <w:numPr>
          <w:ilvl w:val="0"/>
          <w:numId w:val="24"/>
        </w:numPr>
        <w:spacing w:after="120"/>
        <w:ind w:hanging="436"/>
        <w:rPr>
          <w:color w:val="222222"/>
          <w:sz w:val="24"/>
          <w:szCs w:val="24"/>
        </w:rPr>
      </w:pPr>
      <w:r>
        <w:rPr>
          <w:color w:val="222222"/>
          <w:sz w:val="24"/>
          <w:szCs w:val="24"/>
        </w:rPr>
        <w:t>R</w:t>
      </w:r>
      <w:r w:rsidR="00EE2DED" w:rsidRPr="00CF088B">
        <w:rPr>
          <w:color w:val="222222"/>
          <w:sz w:val="24"/>
          <w:szCs w:val="24"/>
        </w:rPr>
        <w:t>equests for retrospective funding, where the project has commenced</w:t>
      </w:r>
      <w:r w:rsidR="008E3799">
        <w:rPr>
          <w:color w:val="222222"/>
          <w:sz w:val="24"/>
          <w:szCs w:val="24"/>
        </w:rPr>
        <w:t xml:space="preserve"> / committed to</w:t>
      </w:r>
      <w:r w:rsidR="00EE2DED" w:rsidRPr="00CF088B">
        <w:rPr>
          <w:color w:val="222222"/>
          <w:sz w:val="24"/>
          <w:szCs w:val="24"/>
        </w:rPr>
        <w:t xml:space="preserve"> or </w:t>
      </w:r>
      <w:r w:rsidR="001322B1">
        <w:rPr>
          <w:color w:val="222222"/>
          <w:sz w:val="24"/>
          <w:szCs w:val="24"/>
        </w:rPr>
        <w:t xml:space="preserve">been </w:t>
      </w:r>
      <w:r w:rsidR="00EE2DED" w:rsidRPr="00CF088B">
        <w:rPr>
          <w:color w:val="222222"/>
          <w:sz w:val="24"/>
          <w:szCs w:val="24"/>
        </w:rPr>
        <w:t>completed before signing a funding agreement</w:t>
      </w:r>
    </w:p>
    <w:p w:rsidR="0000475D" w:rsidRPr="00CF088B" w:rsidRDefault="00ED2A74" w:rsidP="00A80916">
      <w:pPr>
        <w:numPr>
          <w:ilvl w:val="0"/>
          <w:numId w:val="24"/>
        </w:numPr>
        <w:spacing w:after="120"/>
        <w:ind w:hanging="436"/>
        <w:rPr>
          <w:color w:val="222222"/>
          <w:sz w:val="24"/>
          <w:szCs w:val="24"/>
        </w:rPr>
      </w:pPr>
      <w:r>
        <w:rPr>
          <w:color w:val="222222"/>
          <w:sz w:val="24"/>
          <w:szCs w:val="24"/>
        </w:rPr>
        <w:t>O</w:t>
      </w:r>
      <w:r w:rsidR="00EE2DED" w:rsidRPr="00CF088B">
        <w:rPr>
          <w:color w:val="222222"/>
          <w:sz w:val="24"/>
          <w:szCs w:val="24"/>
        </w:rPr>
        <w:t>perating costs – existing staff costs (unless these are demonstrated to be directly related to the project), rent, electricity, water and other utilities or maintenance works</w:t>
      </w:r>
    </w:p>
    <w:p w:rsidR="0000475D" w:rsidRPr="00CF088B" w:rsidRDefault="00ED2A74" w:rsidP="00A80916">
      <w:pPr>
        <w:numPr>
          <w:ilvl w:val="0"/>
          <w:numId w:val="24"/>
        </w:numPr>
        <w:spacing w:after="120"/>
        <w:ind w:hanging="436"/>
        <w:rPr>
          <w:color w:val="222222"/>
          <w:sz w:val="24"/>
          <w:szCs w:val="24"/>
        </w:rPr>
      </w:pPr>
      <w:r>
        <w:rPr>
          <w:color w:val="222222"/>
          <w:sz w:val="24"/>
          <w:szCs w:val="24"/>
        </w:rPr>
        <w:t>L</w:t>
      </w:r>
      <w:r w:rsidR="00EE2DED" w:rsidRPr="00CF088B">
        <w:rPr>
          <w:color w:val="222222"/>
          <w:sz w:val="24"/>
          <w:szCs w:val="24"/>
        </w:rPr>
        <w:t>ease or purchase of land or travel, conferences and other educational activities</w:t>
      </w:r>
    </w:p>
    <w:p w:rsidR="0000475D" w:rsidRPr="00CF088B" w:rsidRDefault="00ED2A74" w:rsidP="00A80916">
      <w:pPr>
        <w:numPr>
          <w:ilvl w:val="0"/>
          <w:numId w:val="24"/>
        </w:numPr>
        <w:spacing w:after="120"/>
        <w:ind w:hanging="436"/>
        <w:rPr>
          <w:color w:val="222222"/>
          <w:sz w:val="24"/>
          <w:szCs w:val="24"/>
        </w:rPr>
      </w:pPr>
      <w:r>
        <w:rPr>
          <w:color w:val="222222"/>
          <w:sz w:val="24"/>
          <w:szCs w:val="24"/>
        </w:rPr>
        <w:t>P</w:t>
      </w:r>
      <w:r w:rsidR="00EE2DED" w:rsidRPr="00CF088B">
        <w:rPr>
          <w:color w:val="222222"/>
          <w:sz w:val="24"/>
          <w:szCs w:val="24"/>
        </w:rPr>
        <w:t xml:space="preserve">urchase of </w:t>
      </w:r>
      <w:r w:rsidR="00D1192B">
        <w:rPr>
          <w:color w:val="222222"/>
          <w:sz w:val="24"/>
          <w:szCs w:val="24"/>
        </w:rPr>
        <w:t xml:space="preserve">motorised </w:t>
      </w:r>
      <w:r w:rsidR="00EE2DED" w:rsidRPr="00CF088B">
        <w:rPr>
          <w:color w:val="222222"/>
          <w:sz w:val="24"/>
          <w:szCs w:val="24"/>
        </w:rPr>
        <w:t>vehicles (for example, front-end loaders, forklifts)</w:t>
      </w:r>
    </w:p>
    <w:p w:rsidR="0000475D" w:rsidRPr="00CF088B" w:rsidRDefault="00ED2A74" w:rsidP="00A80916">
      <w:pPr>
        <w:numPr>
          <w:ilvl w:val="0"/>
          <w:numId w:val="24"/>
        </w:numPr>
        <w:spacing w:after="240"/>
        <w:ind w:hanging="436"/>
        <w:rPr>
          <w:color w:val="222222"/>
          <w:sz w:val="24"/>
          <w:szCs w:val="24"/>
        </w:rPr>
      </w:pPr>
      <w:r>
        <w:rPr>
          <w:color w:val="222222"/>
          <w:sz w:val="24"/>
          <w:szCs w:val="24"/>
        </w:rPr>
        <w:t>P</w:t>
      </w:r>
      <w:r w:rsidR="00EE2DED" w:rsidRPr="00CF088B">
        <w:rPr>
          <w:color w:val="222222"/>
          <w:sz w:val="24"/>
          <w:szCs w:val="24"/>
        </w:rPr>
        <w:t xml:space="preserve">rojects focused on existing waste that is not included in COAG waste ban </w:t>
      </w:r>
    </w:p>
    <w:p w:rsidR="00B9385A" w:rsidRPr="00A36536" w:rsidRDefault="00A36536" w:rsidP="003C5FCE">
      <w:pPr>
        <w:pStyle w:val="Heading2"/>
        <w:tabs>
          <w:tab w:val="left" w:pos="567"/>
        </w:tabs>
        <w:rPr>
          <w:color w:val="1F1F5F"/>
          <w:kern w:val="32"/>
          <w:szCs w:val="32"/>
          <w:lang w:eastAsia="en-AU"/>
        </w:rPr>
      </w:pPr>
      <w:bookmarkStart w:id="11" w:name="_Toc118897472"/>
      <w:r>
        <w:rPr>
          <w:color w:val="1F1F5F"/>
          <w:kern w:val="32"/>
          <w:szCs w:val="32"/>
          <w:lang w:eastAsia="en-AU"/>
        </w:rPr>
        <w:lastRenderedPageBreak/>
        <w:t xml:space="preserve">4.3 </w:t>
      </w:r>
      <w:r>
        <w:rPr>
          <w:color w:val="1F1F5F"/>
          <w:kern w:val="32"/>
          <w:szCs w:val="32"/>
          <w:lang w:eastAsia="en-AU"/>
        </w:rPr>
        <w:tab/>
      </w:r>
      <w:r w:rsidR="00A17E91" w:rsidRPr="00A36536">
        <w:rPr>
          <w:color w:val="1F1F5F"/>
          <w:kern w:val="32"/>
          <w:szCs w:val="32"/>
          <w:lang w:eastAsia="en-AU"/>
        </w:rPr>
        <w:t>Eligible project costs</w:t>
      </w:r>
      <w:bookmarkEnd w:id="11"/>
      <w:r w:rsidR="001B7017" w:rsidRPr="00A36536">
        <w:rPr>
          <w:color w:val="1F1F5F"/>
          <w:kern w:val="32"/>
          <w:szCs w:val="32"/>
          <w:lang w:eastAsia="en-AU"/>
        </w:rPr>
        <w:t xml:space="preserve"> </w:t>
      </w:r>
    </w:p>
    <w:p w:rsidR="00A31103" w:rsidRPr="00CF088B" w:rsidRDefault="00A31103" w:rsidP="00432E86">
      <w:pPr>
        <w:autoSpaceDE w:val="0"/>
        <w:autoSpaceDN w:val="0"/>
        <w:adjustRightInd w:val="0"/>
        <w:spacing w:after="120"/>
        <w:rPr>
          <w:rFonts w:asciiTheme="minorHAnsi" w:hAnsiTheme="minorHAnsi" w:cs="Calibri"/>
          <w:color w:val="FF0000"/>
          <w:sz w:val="24"/>
          <w:szCs w:val="24"/>
        </w:rPr>
      </w:pPr>
      <w:r w:rsidRPr="00CF088B">
        <w:rPr>
          <w:rFonts w:asciiTheme="minorHAnsi" w:hAnsiTheme="minorHAnsi" w:cs="Calibri"/>
          <w:sz w:val="24"/>
          <w:szCs w:val="24"/>
        </w:rPr>
        <w:t xml:space="preserve">The applicant is encouraged to demonstrate that local suppliers and contractors will be engaged in accordance with the </w:t>
      </w:r>
      <w:hyperlink r:id="rId11" w:history="1">
        <w:r w:rsidR="005C7A51" w:rsidRPr="00CF088B">
          <w:rPr>
            <w:rStyle w:val="Hyperlink"/>
            <w:rFonts w:asciiTheme="minorHAnsi" w:hAnsiTheme="minorHAnsi" w:cs="Calibri"/>
            <w:b/>
            <w:color w:val="auto"/>
            <w:sz w:val="24"/>
            <w:szCs w:val="24"/>
          </w:rPr>
          <w:t>Buy Local Plan</w:t>
        </w:r>
      </w:hyperlink>
      <w:r w:rsidR="007A6DE3" w:rsidRPr="00CF088B">
        <w:rPr>
          <w:rFonts w:asciiTheme="minorHAnsi" w:hAnsiTheme="minorHAnsi" w:cs="Calibri"/>
          <w:sz w:val="24"/>
          <w:szCs w:val="24"/>
        </w:rPr>
        <w:t xml:space="preserve"> of the Northern Territory</w:t>
      </w:r>
      <w:r w:rsidR="005C7A51" w:rsidRPr="00CF088B">
        <w:rPr>
          <w:rFonts w:asciiTheme="minorHAnsi" w:hAnsiTheme="minorHAnsi" w:cs="Calibri"/>
          <w:sz w:val="24"/>
          <w:szCs w:val="24"/>
        </w:rPr>
        <w:t xml:space="preserve"> Government</w:t>
      </w:r>
      <w:r w:rsidRPr="00CF088B">
        <w:rPr>
          <w:rFonts w:asciiTheme="minorHAnsi" w:hAnsiTheme="minorHAnsi" w:cs="Calibri"/>
          <w:sz w:val="24"/>
          <w:szCs w:val="24"/>
        </w:rPr>
        <w:t xml:space="preserve">. Where significant expenditure outside of </w:t>
      </w:r>
      <w:r w:rsidR="005C7A51" w:rsidRPr="00CF088B">
        <w:rPr>
          <w:rFonts w:asciiTheme="minorHAnsi" w:hAnsiTheme="minorHAnsi" w:cs="Calibri"/>
          <w:sz w:val="24"/>
          <w:szCs w:val="24"/>
        </w:rPr>
        <w:t>the Northern Territory</w:t>
      </w:r>
      <w:r w:rsidRPr="00CF088B">
        <w:rPr>
          <w:rFonts w:asciiTheme="minorHAnsi" w:hAnsiTheme="minorHAnsi" w:cs="Calibri"/>
          <w:sz w:val="24"/>
          <w:szCs w:val="24"/>
        </w:rPr>
        <w:t xml:space="preserve"> is required and unavoidable (e.g. purchase of specialised equipment not available in </w:t>
      </w:r>
      <w:r w:rsidR="005C7A51" w:rsidRPr="00CF088B">
        <w:rPr>
          <w:rFonts w:asciiTheme="minorHAnsi" w:hAnsiTheme="minorHAnsi" w:cs="Calibri"/>
          <w:sz w:val="24"/>
          <w:szCs w:val="24"/>
        </w:rPr>
        <w:t>the Northern Territory</w:t>
      </w:r>
      <w:r w:rsidRPr="00CF088B">
        <w:rPr>
          <w:rFonts w:asciiTheme="minorHAnsi" w:hAnsiTheme="minorHAnsi" w:cs="Calibri"/>
          <w:sz w:val="24"/>
          <w:szCs w:val="24"/>
        </w:rPr>
        <w:t xml:space="preserve">), this should be identified and explained in the application. </w:t>
      </w:r>
      <w:r w:rsidR="00844B43" w:rsidRPr="00CF088B">
        <w:rPr>
          <w:rFonts w:asciiTheme="minorHAnsi" w:hAnsiTheme="minorHAnsi" w:cs="Calibri"/>
          <w:sz w:val="24"/>
          <w:szCs w:val="24"/>
        </w:rPr>
        <w:t xml:space="preserve">It is mandatory to seek </w:t>
      </w:r>
      <w:r w:rsidR="006B6897">
        <w:rPr>
          <w:rFonts w:asciiTheme="minorHAnsi" w:hAnsiTheme="minorHAnsi" w:cs="Calibri"/>
          <w:sz w:val="24"/>
          <w:szCs w:val="24"/>
        </w:rPr>
        <w:t>confirmation</w:t>
      </w:r>
      <w:r w:rsidR="006B6897" w:rsidRPr="00CF088B">
        <w:rPr>
          <w:rFonts w:asciiTheme="minorHAnsi" w:hAnsiTheme="minorHAnsi" w:cs="Calibri"/>
          <w:sz w:val="24"/>
          <w:szCs w:val="24"/>
        </w:rPr>
        <w:t xml:space="preserve"> </w:t>
      </w:r>
      <w:r w:rsidR="00844B43" w:rsidRPr="00CF088B">
        <w:rPr>
          <w:rFonts w:asciiTheme="minorHAnsi" w:hAnsiTheme="minorHAnsi" w:cs="Calibri"/>
          <w:sz w:val="24"/>
          <w:szCs w:val="24"/>
        </w:rPr>
        <w:t xml:space="preserve">from </w:t>
      </w:r>
      <w:r w:rsidR="00F75D7E">
        <w:rPr>
          <w:rFonts w:asciiTheme="minorHAnsi" w:hAnsiTheme="minorHAnsi" w:cs="Calibri"/>
          <w:sz w:val="24"/>
          <w:szCs w:val="24"/>
        </w:rPr>
        <w:t xml:space="preserve">Industry Capability </w:t>
      </w:r>
      <w:r w:rsidR="00F9629A">
        <w:rPr>
          <w:rFonts w:asciiTheme="minorHAnsi" w:hAnsiTheme="minorHAnsi" w:cs="Calibri"/>
          <w:sz w:val="24"/>
          <w:szCs w:val="24"/>
        </w:rPr>
        <w:t>Network</w:t>
      </w:r>
      <w:r w:rsidR="00F75D7E">
        <w:rPr>
          <w:rFonts w:asciiTheme="minorHAnsi" w:hAnsiTheme="minorHAnsi" w:cs="Calibri"/>
          <w:sz w:val="24"/>
          <w:szCs w:val="24"/>
        </w:rPr>
        <w:t>, Northern Territory (</w:t>
      </w:r>
      <w:r w:rsidR="00844B43" w:rsidRPr="00CF088B">
        <w:rPr>
          <w:rFonts w:asciiTheme="minorHAnsi" w:hAnsiTheme="minorHAnsi" w:cs="Calibri"/>
          <w:sz w:val="24"/>
          <w:szCs w:val="24"/>
        </w:rPr>
        <w:t>ICN–NT</w:t>
      </w:r>
      <w:r w:rsidR="00F75D7E">
        <w:rPr>
          <w:rFonts w:asciiTheme="minorHAnsi" w:hAnsiTheme="minorHAnsi" w:cs="Calibri"/>
          <w:sz w:val="24"/>
          <w:szCs w:val="24"/>
        </w:rPr>
        <w:t>)</w:t>
      </w:r>
      <w:r w:rsidR="00844B43" w:rsidRPr="00CF088B">
        <w:rPr>
          <w:rFonts w:asciiTheme="minorHAnsi" w:hAnsiTheme="minorHAnsi" w:cs="Calibri"/>
          <w:sz w:val="24"/>
          <w:szCs w:val="24"/>
        </w:rPr>
        <w:t xml:space="preserve"> for interstate or international procurement and </w:t>
      </w:r>
      <w:r w:rsidR="000E5517" w:rsidRPr="00CF088B">
        <w:rPr>
          <w:rFonts w:asciiTheme="minorHAnsi" w:hAnsiTheme="minorHAnsi" w:cs="Calibri"/>
          <w:sz w:val="24"/>
          <w:szCs w:val="24"/>
        </w:rPr>
        <w:t xml:space="preserve">the </w:t>
      </w:r>
      <w:r w:rsidR="006B6897">
        <w:rPr>
          <w:rFonts w:asciiTheme="minorHAnsi" w:hAnsiTheme="minorHAnsi" w:cs="Calibri"/>
          <w:sz w:val="24"/>
          <w:szCs w:val="24"/>
        </w:rPr>
        <w:t xml:space="preserve">confirmation </w:t>
      </w:r>
      <w:r w:rsidR="00D1192B">
        <w:rPr>
          <w:rFonts w:asciiTheme="minorHAnsi" w:hAnsiTheme="minorHAnsi" w:cs="Calibri"/>
          <w:sz w:val="24"/>
          <w:szCs w:val="24"/>
        </w:rPr>
        <w:t>must be uploaded as part of</w:t>
      </w:r>
      <w:r w:rsidR="00844B43" w:rsidRPr="00CF088B">
        <w:rPr>
          <w:rFonts w:asciiTheme="minorHAnsi" w:hAnsiTheme="minorHAnsi" w:cs="Calibri"/>
          <w:sz w:val="24"/>
          <w:szCs w:val="24"/>
        </w:rPr>
        <w:t xml:space="preserve"> the application.</w:t>
      </w:r>
    </w:p>
    <w:p w:rsidR="00A31103" w:rsidRPr="007B77E4" w:rsidRDefault="00A31103" w:rsidP="00432E86">
      <w:pPr>
        <w:autoSpaceDE w:val="0"/>
        <w:autoSpaceDN w:val="0"/>
        <w:adjustRightInd w:val="0"/>
        <w:spacing w:after="120"/>
        <w:rPr>
          <w:rFonts w:asciiTheme="minorHAnsi" w:hAnsiTheme="minorHAnsi" w:cs="Calibri"/>
          <w:sz w:val="24"/>
          <w:szCs w:val="24"/>
        </w:rPr>
      </w:pPr>
      <w:r w:rsidRPr="00CF088B">
        <w:rPr>
          <w:rFonts w:asciiTheme="minorHAnsi" w:hAnsiTheme="minorHAnsi" w:cs="Calibri"/>
          <w:sz w:val="24"/>
          <w:szCs w:val="24"/>
        </w:rPr>
        <w:t xml:space="preserve">Eligible project costs must be </w:t>
      </w:r>
      <w:r w:rsidR="00D1192B">
        <w:rPr>
          <w:rFonts w:asciiTheme="minorHAnsi" w:hAnsiTheme="minorHAnsi" w:cs="Calibri"/>
          <w:sz w:val="24"/>
          <w:szCs w:val="24"/>
        </w:rPr>
        <w:t xml:space="preserve">in </w:t>
      </w:r>
      <w:r w:rsidRPr="00CF088B">
        <w:rPr>
          <w:rFonts w:asciiTheme="minorHAnsi" w:hAnsiTheme="minorHAnsi" w:cs="Calibri"/>
          <w:sz w:val="24"/>
          <w:szCs w:val="24"/>
        </w:rPr>
        <w:t>auditable</w:t>
      </w:r>
      <w:r w:rsidR="00D1192B">
        <w:rPr>
          <w:rFonts w:asciiTheme="minorHAnsi" w:hAnsiTheme="minorHAnsi" w:cs="Calibri"/>
          <w:sz w:val="24"/>
          <w:szCs w:val="24"/>
        </w:rPr>
        <w:t xml:space="preserve"> form</w:t>
      </w:r>
      <w:r w:rsidRPr="00CF088B">
        <w:rPr>
          <w:rFonts w:asciiTheme="minorHAnsi" w:hAnsiTheme="minorHAnsi" w:cs="Calibri"/>
          <w:sz w:val="24"/>
          <w:szCs w:val="24"/>
        </w:rPr>
        <w:t xml:space="preserve"> and must be capital costs for project specific investments such as for new, upgraded or expanded resource recovery facilities, large-scale technologies or for the purchase and installation of fixed plant and equipment required to fully commission new infrastructure</w:t>
      </w:r>
      <w:r w:rsidRPr="007B77E4">
        <w:rPr>
          <w:rFonts w:asciiTheme="minorHAnsi" w:hAnsiTheme="minorHAnsi" w:cs="Calibri"/>
          <w:sz w:val="24"/>
          <w:szCs w:val="24"/>
        </w:rPr>
        <w:t xml:space="preserve">. </w:t>
      </w:r>
    </w:p>
    <w:p w:rsidR="00A31103" w:rsidRPr="007B77E4" w:rsidRDefault="00A31103" w:rsidP="001B7017">
      <w:pPr>
        <w:autoSpaceDE w:val="0"/>
        <w:autoSpaceDN w:val="0"/>
        <w:adjustRightInd w:val="0"/>
        <w:spacing w:after="120"/>
        <w:rPr>
          <w:rFonts w:asciiTheme="minorHAnsi" w:hAnsiTheme="minorHAnsi" w:cs="Calibri"/>
          <w:sz w:val="24"/>
          <w:szCs w:val="24"/>
        </w:rPr>
      </w:pPr>
      <w:r w:rsidRPr="007B77E4">
        <w:rPr>
          <w:rFonts w:asciiTheme="minorHAnsi" w:hAnsiTheme="minorHAnsi" w:cs="Calibri"/>
          <w:sz w:val="24"/>
          <w:szCs w:val="24"/>
        </w:rPr>
        <w:t xml:space="preserve">The following items </w:t>
      </w:r>
      <w:r w:rsidRPr="007B77E4">
        <w:rPr>
          <w:rFonts w:asciiTheme="minorHAnsi" w:hAnsiTheme="minorHAnsi" w:cs="Calibri"/>
          <w:b/>
          <w:bCs/>
          <w:sz w:val="24"/>
          <w:szCs w:val="24"/>
        </w:rPr>
        <w:t xml:space="preserve">will not be funded </w:t>
      </w:r>
      <w:r w:rsidRPr="007B77E4">
        <w:rPr>
          <w:rFonts w:asciiTheme="minorHAnsi" w:hAnsiTheme="minorHAnsi" w:cs="Calibri"/>
          <w:sz w:val="24"/>
          <w:szCs w:val="24"/>
        </w:rPr>
        <w:t xml:space="preserve">and should be excluded from the estimate of eligible project costs for co-funding: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P</w:t>
      </w:r>
      <w:r w:rsidR="00A31103" w:rsidRPr="007B77E4">
        <w:rPr>
          <w:rFonts w:asciiTheme="minorHAnsi" w:hAnsiTheme="minorHAnsi" w:cs="Calibri"/>
          <w:sz w:val="24"/>
          <w:szCs w:val="24"/>
        </w:rPr>
        <w:t>roject development costs such as options analys</w:t>
      </w:r>
      <w:r w:rsidR="009A4CAD" w:rsidRPr="007B77E4">
        <w:rPr>
          <w:rFonts w:asciiTheme="minorHAnsi" w:hAnsiTheme="minorHAnsi" w:cs="Calibri"/>
          <w:sz w:val="24"/>
          <w:szCs w:val="24"/>
        </w:rPr>
        <w:t>e</w:t>
      </w:r>
      <w:r w:rsidR="00A31103" w:rsidRPr="007B77E4">
        <w:rPr>
          <w:rFonts w:asciiTheme="minorHAnsi" w:hAnsiTheme="minorHAnsi" w:cs="Calibri"/>
          <w:sz w:val="24"/>
          <w:szCs w:val="24"/>
        </w:rPr>
        <w:t xml:space="preserve">s, feasibility studies, application development and due diligence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L</w:t>
      </w:r>
      <w:r w:rsidR="00A31103" w:rsidRPr="007B77E4">
        <w:rPr>
          <w:rFonts w:asciiTheme="minorHAnsi" w:hAnsiTheme="minorHAnsi" w:cs="Calibri"/>
          <w:sz w:val="24"/>
          <w:szCs w:val="24"/>
        </w:rPr>
        <w:t xml:space="preserve">egal costs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A</w:t>
      </w:r>
      <w:r w:rsidR="00A31103" w:rsidRPr="007B77E4">
        <w:rPr>
          <w:rFonts w:asciiTheme="minorHAnsi" w:hAnsiTheme="minorHAnsi" w:cs="Calibri"/>
          <w:sz w:val="24"/>
          <w:szCs w:val="24"/>
        </w:rPr>
        <w:t xml:space="preserve">ny expenditure incurred prior to the project commencement date included in a funding agreement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D</w:t>
      </w:r>
      <w:r w:rsidR="00A31103" w:rsidRPr="007B77E4">
        <w:rPr>
          <w:rFonts w:asciiTheme="minorHAnsi" w:hAnsiTheme="minorHAnsi" w:cs="Calibri"/>
          <w:sz w:val="24"/>
          <w:szCs w:val="24"/>
        </w:rPr>
        <w:t xml:space="preserve">evelopment approvals and environmental licence application costs, including any impact assessment studies that may be required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C</w:t>
      </w:r>
      <w:r w:rsidR="00A31103" w:rsidRPr="007B77E4">
        <w:rPr>
          <w:rFonts w:asciiTheme="minorHAnsi" w:hAnsiTheme="minorHAnsi" w:cs="Calibri"/>
          <w:sz w:val="24"/>
          <w:szCs w:val="24"/>
        </w:rPr>
        <w:t xml:space="preserve">ompliance with regulation and licence conditions costs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C</w:t>
      </w:r>
      <w:r w:rsidR="00A31103" w:rsidRPr="007B77E4">
        <w:rPr>
          <w:rFonts w:asciiTheme="minorHAnsi" w:hAnsiTheme="minorHAnsi" w:cs="Calibri"/>
          <w:sz w:val="24"/>
          <w:szCs w:val="24"/>
        </w:rPr>
        <w:t xml:space="preserve">ivil works outside the direct project site such as road and drainage upgrades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S</w:t>
      </w:r>
      <w:r w:rsidR="00A31103" w:rsidRPr="007B77E4">
        <w:rPr>
          <w:rFonts w:asciiTheme="minorHAnsi" w:hAnsiTheme="minorHAnsi" w:cs="Calibri"/>
          <w:sz w:val="24"/>
          <w:szCs w:val="24"/>
        </w:rPr>
        <w:t xml:space="preserve">ite acquisition costs such as purchase or lease costs and any site rehabilitation costs </w:t>
      </w:r>
    </w:p>
    <w:p w:rsidR="00A31103" w:rsidRPr="007B77E4" w:rsidRDefault="0078358E" w:rsidP="00A80916">
      <w:pPr>
        <w:pStyle w:val="ListParagraph"/>
        <w:numPr>
          <w:ilvl w:val="0"/>
          <w:numId w:val="25"/>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F</w:t>
      </w:r>
      <w:r w:rsidR="00A31103" w:rsidRPr="007B77E4">
        <w:rPr>
          <w:rFonts w:asciiTheme="minorHAnsi" w:hAnsiTheme="minorHAnsi" w:cs="Calibri"/>
          <w:sz w:val="24"/>
          <w:szCs w:val="24"/>
        </w:rPr>
        <w:t xml:space="preserve">oregone profits or revenues due to the need to undertake modifications or upgrades to existing facilities for the project </w:t>
      </w:r>
    </w:p>
    <w:p w:rsidR="00A31103" w:rsidRPr="007B77E4" w:rsidRDefault="0078358E" w:rsidP="00A80916">
      <w:pPr>
        <w:pStyle w:val="ListParagraph"/>
        <w:numPr>
          <w:ilvl w:val="0"/>
          <w:numId w:val="26"/>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L</w:t>
      </w:r>
      <w:r w:rsidR="00A31103" w:rsidRPr="007B77E4">
        <w:rPr>
          <w:rFonts w:asciiTheme="minorHAnsi" w:hAnsiTheme="minorHAnsi" w:cs="Calibri"/>
          <w:sz w:val="24"/>
          <w:szCs w:val="24"/>
        </w:rPr>
        <w:t xml:space="preserve">eased equipment </w:t>
      </w:r>
    </w:p>
    <w:p w:rsidR="00A31103" w:rsidRPr="007B77E4" w:rsidRDefault="0078358E" w:rsidP="00A80916">
      <w:pPr>
        <w:pStyle w:val="ListParagraph"/>
        <w:numPr>
          <w:ilvl w:val="0"/>
          <w:numId w:val="26"/>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O</w:t>
      </w:r>
      <w:r w:rsidR="00A31103" w:rsidRPr="007B77E4">
        <w:rPr>
          <w:rFonts w:asciiTheme="minorHAnsi" w:hAnsiTheme="minorHAnsi" w:cs="Calibri"/>
          <w:sz w:val="24"/>
          <w:szCs w:val="24"/>
        </w:rPr>
        <w:t xml:space="preserve">perations and maintenance costs, including working capital </w:t>
      </w:r>
    </w:p>
    <w:p w:rsidR="00A31103" w:rsidRPr="007B77E4" w:rsidRDefault="0078358E" w:rsidP="00A80916">
      <w:pPr>
        <w:pStyle w:val="ListParagraph"/>
        <w:numPr>
          <w:ilvl w:val="0"/>
          <w:numId w:val="26"/>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L</w:t>
      </w:r>
      <w:r w:rsidR="00A31103" w:rsidRPr="007B77E4">
        <w:rPr>
          <w:rFonts w:asciiTheme="minorHAnsi" w:hAnsiTheme="minorHAnsi" w:cs="Calibri"/>
          <w:sz w:val="24"/>
          <w:szCs w:val="24"/>
        </w:rPr>
        <w:t xml:space="preserve">egal and financing costs and costs related to making, monitoring and administering the grant application (including for consultants) </w:t>
      </w:r>
    </w:p>
    <w:p w:rsidR="00A31103" w:rsidRPr="007B77E4" w:rsidRDefault="0078358E" w:rsidP="00A80916">
      <w:pPr>
        <w:pStyle w:val="ListParagraph"/>
        <w:numPr>
          <w:ilvl w:val="0"/>
          <w:numId w:val="26"/>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E</w:t>
      </w:r>
      <w:r w:rsidR="00A31103" w:rsidRPr="007B77E4">
        <w:rPr>
          <w:rFonts w:asciiTheme="minorHAnsi" w:hAnsiTheme="minorHAnsi" w:cs="Calibri"/>
          <w:sz w:val="24"/>
          <w:szCs w:val="24"/>
        </w:rPr>
        <w:t xml:space="preserve">xisting plant and equipment which may be utilised in the new project </w:t>
      </w:r>
    </w:p>
    <w:p w:rsidR="00A31103" w:rsidRPr="007B77E4" w:rsidRDefault="0078358E" w:rsidP="00A80916">
      <w:pPr>
        <w:pStyle w:val="ListParagraph"/>
        <w:numPr>
          <w:ilvl w:val="0"/>
          <w:numId w:val="26"/>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C</w:t>
      </w:r>
      <w:r w:rsidR="00A31103" w:rsidRPr="007B77E4">
        <w:rPr>
          <w:rFonts w:asciiTheme="minorHAnsi" w:hAnsiTheme="minorHAnsi" w:cs="Calibri"/>
          <w:sz w:val="24"/>
          <w:szCs w:val="24"/>
        </w:rPr>
        <w:t xml:space="preserve">osts associated with general business operations such as rent, salaries and wages, leases and overheads </w:t>
      </w:r>
    </w:p>
    <w:p w:rsidR="00A31103" w:rsidRPr="007B77E4" w:rsidRDefault="0078358E" w:rsidP="00A80916">
      <w:pPr>
        <w:pStyle w:val="ListParagraph"/>
        <w:numPr>
          <w:ilvl w:val="0"/>
          <w:numId w:val="26"/>
        </w:numPr>
        <w:autoSpaceDE w:val="0"/>
        <w:autoSpaceDN w:val="0"/>
        <w:adjustRightInd w:val="0"/>
        <w:ind w:hanging="436"/>
        <w:rPr>
          <w:rFonts w:asciiTheme="minorHAnsi" w:hAnsiTheme="minorHAnsi" w:cs="Calibri"/>
          <w:sz w:val="24"/>
          <w:szCs w:val="24"/>
        </w:rPr>
      </w:pPr>
      <w:r>
        <w:rPr>
          <w:rFonts w:asciiTheme="minorHAnsi" w:hAnsiTheme="minorHAnsi" w:cs="Calibri"/>
          <w:sz w:val="24"/>
          <w:szCs w:val="24"/>
        </w:rPr>
        <w:t>O</w:t>
      </w:r>
      <w:r w:rsidR="00A31103" w:rsidRPr="007B77E4">
        <w:rPr>
          <w:rFonts w:asciiTheme="minorHAnsi" w:hAnsiTheme="minorHAnsi" w:cs="Calibri"/>
          <w:sz w:val="24"/>
          <w:szCs w:val="24"/>
        </w:rPr>
        <w:t xml:space="preserve">perational project costs such as travel (including for professional consultants), marketing, promotion and advertising, education and information campaigns and internal staff costs </w:t>
      </w:r>
    </w:p>
    <w:p w:rsidR="00A31103" w:rsidRPr="007B77E4" w:rsidRDefault="0078358E" w:rsidP="00A80916">
      <w:pPr>
        <w:pStyle w:val="ListParagraph"/>
        <w:numPr>
          <w:ilvl w:val="0"/>
          <w:numId w:val="26"/>
        </w:numPr>
        <w:autoSpaceDE w:val="0"/>
        <w:autoSpaceDN w:val="0"/>
        <w:adjustRightInd w:val="0"/>
        <w:spacing w:after="240"/>
        <w:ind w:hanging="436"/>
        <w:rPr>
          <w:rFonts w:asciiTheme="minorHAnsi" w:hAnsiTheme="minorHAnsi" w:cs="Calibri"/>
          <w:sz w:val="24"/>
          <w:szCs w:val="24"/>
        </w:rPr>
      </w:pPr>
      <w:r>
        <w:rPr>
          <w:rFonts w:asciiTheme="minorHAnsi" w:hAnsiTheme="minorHAnsi" w:cs="Calibri"/>
          <w:sz w:val="24"/>
          <w:szCs w:val="24"/>
        </w:rPr>
        <w:t>C</w:t>
      </w:r>
      <w:r w:rsidR="00A31103" w:rsidRPr="007B77E4">
        <w:rPr>
          <w:rFonts w:asciiTheme="minorHAnsi" w:hAnsiTheme="minorHAnsi" w:cs="Calibri"/>
          <w:sz w:val="24"/>
          <w:szCs w:val="24"/>
        </w:rPr>
        <w:t>ontingency allowances (it is considered prudent for these to be inc</w:t>
      </w:r>
      <w:r w:rsidR="001B7017" w:rsidRPr="007B77E4">
        <w:rPr>
          <w:rFonts w:asciiTheme="minorHAnsi" w:hAnsiTheme="minorHAnsi" w:cs="Calibri"/>
          <w:sz w:val="24"/>
          <w:szCs w:val="24"/>
        </w:rPr>
        <w:t>luded in the total project budget</w:t>
      </w:r>
      <w:r w:rsidR="00B81904" w:rsidRPr="007B77E4">
        <w:rPr>
          <w:rFonts w:asciiTheme="minorHAnsi" w:hAnsiTheme="minorHAnsi" w:cs="Calibri"/>
          <w:sz w:val="24"/>
          <w:szCs w:val="24"/>
        </w:rPr>
        <w:t>)</w:t>
      </w:r>
    </w:p>
    <w:p w:rsidR="00B81904" w:rsidRPr="007B77E4" w:rsidRDefault="0078358E" w:rsidP="00A80916">
      <w:pPr>
        <w:pStyle w:val="ListParagraph"/>
        <w:numPr>
          <w:ilvl w:val="0"/>
          <w:numId w:val="10"/>
        </w:numPr>
        <w:autoSpaceDE w:val="0"/>
        <w:autoSpaceDN w:val="0"/>
        <w:adjustRightInd w:val="0"/>
        <w:spacing w:after="240"/>
        <w:ind w:left="714" w:hanging="430"/>
        <w:rPr>
          <w:rFonts w:asciiTheme="minorHAnsi" w:hAnsiTheme="minorHAnsi" w:cs="Calibri"/>
          <w:sz w:val="24"/>
          <w:szCs w:val="24"/>
        </w:rPr>
      </w:pPr>
      <w:r>
        <w:rPr>
          <w:rFonts w:asciiTheme="minorHAnsi" w:hAnsiTheme="minorHAnsi" w:cs="Calibri"/>
          <w:sz w:val="24"/>
          <w:szCs w:val="24"/>
        </w:rPr>
        <w:t>A</w:t>
      </w:r>
      <w:r w:rsidR="00B81904" w:rsidRPr="007B77E4">
        <w:rPr>
          <w:rFonts w:asciiTheme="minorHAnsi" w:hAnsiTheme="minorHAnsi" w:cs="Calibri"/>
          <w:sz w:val="24"/>
          <w:szCs w:val="24"/>
        </w:rPr>
        <w:t xml:space="preserve">cquisition of property </w:t>
      </w:r>
      <w:r w:rsidR="00266F99">
        <w:rPr>
          <w:rFonts w:asciiTheme="minorHAnsi" w:hAnsiTheme="minorHAnsi" w:cs="Calibri"/>
          <w:sz w:val="24"/>
          <w:szCs w:val="24"/>
        </w:rPr>
        <w:t>or assets from related entities</w:t>
      </w:r>
    </w:p>
    <w:p w:rsidR="00C0051E" w:rsidRPr="00C0051E" w:rsidRDefault="00A36536" w:rsidP="003C5FCE">
      <w:pPr>
        <w:pStyle w:val="Heading1"/>
        <w:spacing w:before="360"/>
        <w:rPr>
          <w:lang w:eastAsia="en-AU"/>
        </w:rPr>
      </w:pPr>
      <w:bookmarkStart w:id="12" w:name="_Toc118897473"/>
      <w:r>
        <w:rPr>
          <w:lang w:eastAsia="en-AU"/>
        </w:rPr>
        <w:lastRenderedPageBreak/>
        <w:t xml:space="preserve">5. </w:t>
      </w:r>
      <w:r>
        <w:rPr>
          <w:lang w:eastAsia="en-AU"/>
        </w:rPr>
        <w:tab/>
      </w:r>
      <w:r w:rsidR="00C0051E" w:rsidRPr="00C0051E">
        <w:rPr>
          <w:lang w:eastAsia="en-AU"/>
        </w:rPr>
        <w:t>Funding arrangements</w:t>
      </w:r>
      <w:r w:rsidR="00F45E37">
        <w:rPr>
          <w:lang w:eastAsia="en-AU"/>
        </w:rPr>
        <w:t xml:space="preserve"> for successful </w:t>
      </w:r>
      <w:r w:rsidR="00774351">
        <w:rPr>
          <w:lang w:eastAsia="en-AU"/>
        </w:rPr>
        <w:t>p</w:t>
      </w:r>
      <w:r w:rsidR="00F45E37">
        <w:rPr>
          <w:lang w:eastAsia="en-AU"/>
        </w:rPr>
        <w:t>rojects</w:t>
      </w:r>
      <w:bookmarkEnd w:id="12"/>
    </w:p>
    <w:p w:rsidR="00C0051E" w:rsidRPr="00CF088B" w:rsidRDefault="00A01A50" w:rsidP="00C0051E">
      <w:pPr>
        <w:spacing w:after="240"/>
        <w:rPr>
          <w:sz w:val="24"/>
          <w:szCs w:val="24"/>
        </w:rPr>
      </w:pPr>
      <w:r>
        <w:rPr>
          <w:sz w:val="24"/>
          <w:szCs w:val="24"/>
        </w:rPr>
        <w:t>T</w:t>
      </w:r>
      <w:r w:rsidR="00C0051E" w:rsidRPr="00CF088B">
        <w:rPr>
          <w:sz w:val="24"/>
          <w:szCs w:val="24"/>
        </w:rPr>
        <w:t>he minimum funding request</w:t>
      </w:r>
      <w:r>
        <w:rPr>
          <w:sz w:val="24"/>
          <w:szCs w:val="24"/>
        </w:rPr>
        <w:t xml:space="preserve"> under the NT </w:t>
      </w:r>
      <w:r w:rsidR="00776C45">
        <w:rPr>
          <w:sz w:val="24"/>
          <w:szCs w:val="24"/>
        </w:rPr>
        <w:t>RMF</w:t>
      </w:r>
      <w:r w:rsidR="005C5638">
        <w:rPr>
          <w:sz w:val="24"/>
          <w:szCs w:val="24"/>
        </w:rPr>
        <w:t xml:space="preserve"> Round 2</w:t>
      </w:r>
      <w:r w:rsidR="00C0051E" w:rsidRPr="00CF088B">
        <w:rPr>
          <w:sz w:val="24"/>
          <w:szCs w:val="24"/>
        </w:rPr>
        <w:t xml:space="preserve"> is $</w:t>
      </w:r>
      <w:r w:rsidR="00A4525D">
        <w:rPr>
          <w:sz w:val="24"/>
          <w:szCs w:val="24"/>
        </w:rPr>
        <w:t>20,000</w:t>
      </w:r>
      <w:r w:rsidR="00580772">
        <w:rPr>
          <w:sz w:val="24"/>
          <w:szCs w:val="24"/>
        </w:rPr>
        <w:t xml:space="preserve"> (</w:t>
      </w:r>
      <w:r w:rsidR="00C0051E" w:rsidRPr="00CF088B">
        <w:rPr>
          <w:sz w:val="24"/>
          <w:szCs w:val="24"/>
        </w:rPr>
        <w:t xml:space="preserve">excluding GST).   </w:t>
      </w:r>
    </w:p>
    <w:p w:rsidR="00C0051E" w:rsidRDefault="00C0051E" w:rsidP="00C0051E">
      <w:pPr>
        <w:spacing w:after="240"/>
        <w:rPr>
          <w:sz w:val="24"/>
          <w:szCs w:val="24"/>
        </w:rPr>
      </w:pPr>
      <w:r w:rsidRPr="00CF088B">
        <w:rPr>
          <w:sz w:val="24"/>
          <w:szCs w:val="24"/>
        </w:rPr>
        <w:t xml:space="preserve">The </w:t>
      </w:r>
      <w:r w:rsidR="00C73A9D" w:rsidRPr="00CF088B">
        <w:rPr>
          <w:sz w:val="24"/>
          <w:szCs w:val="24"/>
        </w:rPr>
        <w:t xml:space="preserve">NT </w:t>
      </w:r>
      <w:r w:rsidR="00776C45">
        <w:rPr>
          <w:sz w:val="24"/>
          <w:szCs w:val="24"/>
        </w:rPr>
        <w:t>RMF</w:t>
      </w:r>
      <w:r w:rsidRPr="00CF088B">
        <w:rPr>
          <w:sz w:val="24"/>
          <w:szCs w:val="24"/>
        </w:rPr>
        <w:t xml:space="preserve"> will reimburse up to a maximum of 50 per cent of actual expendit</w:t>
      </w:r>
      <w:r w:rsidR="00B81904" w:rsidRPr="00CF088B">
        <w:rPr>
          <w:sz w:val="24"/>
          <w:szCs w:val="24"/>
        </w:rPr>
        <w:t>ure on eligible project costs.</w:t>
      </w:r>
      <w:r w:rsidR="006B6897">
        <w:rPr>
          <w:sz w:val="24"/>
          <w:szCs w:val="24"/>
        </w:rPr>
        <w:t xml:space="preserve"> </w:t>
      </w:r>
    </w:p>
    <w:p w:rsidR="00C0051E" w:rsidRPr="00CF088B" w:rsidRDefault="00C0051E" w:rsidP="00C0051E">
      <w:pPr>
        <w:spacing w:after="240"/>
        <w:rPr>
          <w:sz w:val="24"/>
          <w:szCs w:val="24"/>
        </w:rPr>
      </w:pPr>
      <w:r w:rsidRPr="00CF088B">
        <w:rPr>
          <w:sz w:val="24"/>
          <w:szCs w:val="24"/>
        </w:rPr>
        <w:t>Applicants must be able to provide the balance of eligible project costs not funded by the</w:t>
      </w:r>
      <w:r w:rsidR="00C73A9D" w:rsidRPr="00CF088B">
        <w:rPr>
          <w:sz w:val="24"/>
          <w:szCs w:val="24"/>
        </w:rPr>
        <w:t xml:space="preserve"> NT</w:t>
      </w:r>
      <w:r w:rsidR="009F360A">
        <w:rPr>
          <w:sz w:val="24"/>
          <w:szCs w:val="24"/>
        </w:rPr>
        <w:t> </w:t>
      </w:r>
      <w:r w:rsidR="00776C45">
        <w:rPr>
          <w:sz w:val="24"/>
          <w:szCs w:val="24"/>
        </w:rPr>
        <w:t>RMF</w:t>
      </w:r>
      <w:r w:rsidRPr="00CF088B">
        <w:rPr>
          <w:sz w:val="24"/>
          <w:szCs w:val="24"/>
        </w:rPr>
        <w:t xml:space="preserve"> </w:t>
      </w:r>
      <w:r w:rsidR="00BB025A">
        <w:rPr>
          <w:sz w:val="24"/>
          <w:szCs w:val="24"/>
        </w:rPr>
        <w:t xml:space="preserve">Round 2 </w:t>
      </w:r>
      <w:r w:rsidRPr="00CF088B">
        <w:rPr>
          <w:sz w:val="24"/>
          <w:szCs w:val="24"/>
        </w:rPr>
        <w:t xml:space="preserve">and all ineligible project costs required to complete the project in its entirety. </w:t>
      </w:r>
    </w:p>
    <w:p w:rsidR="00C0051E" w:rsidRPr="00CF088B" w:rsidRDefault="00C0051E" w:rsidP="00C0051E">
      <w:pPr>
        <w:spacing w:after="240"/>
        <w:rPr>
          <w:sz w:val="24"/>
          <w:szCs w:val="24"/>
        </w:rPr>
      </w:pPr>
      <w:r w:rsidRPr="00CF088B">
        <w:rPr>
          <w:sz w:val="24"/>
          <w:szCs w:val="24"/>
        </w:rPr>
        <w:t xml:space="preserve">The applicant co-contribution may be obtained from internal funds as well as any funding sources including other participants in the project, other Northern Territory Government agencies and/or local government. </w:t>
      </w:r>
    </w:p>
    <w:p w:rsidR="0064093D" w:rsidRPr="00CF088B" w:rsidRDefault="00C0051E" w:rsidP="008E2ACD">
      <w:pPr>
        <w:spacing w:after="120"/>
        <w:rPr>
          <w:sz w:val="24"/>
          <w:szCs w:val="24"/>
        </w:rPr>
      </w:pPr>
      <w:r w:rsidRPr="00CF088B">
        <w:rPr>
          <w:sz w:val="24"/>
          <w:szCs w:val="24"/>
        </w:rPr>
        <w:t xml:space="preserve">Applicants are required to provide a project budget identifying all project costs by line item. </w:t>
      </w:r>
      <w:r w:rsidRPr="00CF088B">
        <w:rPr>
          <w:b/>
          <w:sz w:val="24"/>
          <w:szCs w:val="24"/>
        </w:rPr>
        <w:t>All eligible and ineligible project costs should be included</w:t>
      </w:r>
      <w:r w:rsidRPr="00CF088B">
        <w:rPr>
          <w:sz w:val="24"/>
          <w:szCs w:val="24"/>
        </w:rPr>
        <w:t xml:space="preserve">.  The project budget must </w:t>
      </w:r>
      <w:r w:rsidR="0038035D" w:rsidRPr="00CF088B">
        <w:rPr>
          <w:sz w:val="24"/>
          <w:szCs w:val="24"/>
        </w:rPr>
        <w:t>include sufficient detail to show:</w:t>
      </w:r>
      <w:r w:rsidRPr="00CF088B">
        <w:rPr>
          <w:sz w:val="24"/>
          <w:szCs w:val="24"/>
        </w:rPr>
        <w:t xml:space="preserve"> </w:t>
      </w:r>
    </w:p>
    <w:p w:rsidR="0064093D" w:rsidRPr="0032323B" w:rsidRDefault="00C0051E" w:rsidP="00A80916">
      <w:pPr>
        <w:pStyle w:val="ListParagraph"/>
        <w:numPr>
          <w:ilvl w:val="0"/>
          <w:numId w:val="27"/>
        </w:numPr>
        <w:ind w:hanging="436"/>
        <w:rPr>
          <w:sz w:val="24"/>
          <w:szCs w:val="24"/>
        </w:rPr>
      </w:pPr>
      <w:r w:rsidRPr="0032323B">
        <w:rPr>
          <w:sz w:val="24"/>
          <w:szCs w:val="24"/>
        </w:rPr>
        <w:t xml:space="preserve">that each item included as an eligible project cost meets the </w:t>
      </w:r>
      <w:r w:rsidR="00C73A9D" w:rsidRPr="0032323B">
        <w:rPr>
          <w:sz w:val="24"/>
          <w:szCs w:val="24"/>
        </w:rPr>
        <w:t xml:space="preserve">NT </w:t>
      </w:r>
      <w:r w:rsidR="00776C45">
        <w:rPr>
          <w:sz w:val="24"/>
          <w:szCs w:val="24"/>
        </w:rPr>
        <w:t>RMF</w:t>
      </w:r>
      <w:r w:rsidR="00906B5A">
        <w:rPr>
          <w:sz w:val="24"/>
          <w:szCs w:val="24"/>
        </w:rPr>
        <w:t xml:space="preserve"> Round 2</w:t>
      </w:r>
      <w:r w:rsidR="0064093D" w:rsidRPr="0032323B">
        <w:rPr>
          <w:sz w:val="24"/>
          <w:szCs w:val="24"/>
        </w:rPr>
        <w:t xml:space="preserve"> criteria as eligible </w:t>
      </w:r>
    </w:p>
    <w:p w:rsidR="0064093D" w:rsidRPr="0032323B" w:rsidRDefault="00C0051E" w:rsidP="00A80916">
      <w:pPr>
        <w:pStyle w:val="ListParagraph"/>
        <w:numPr>
          <w:ilvl w:val="0"/>
          <w:numId w:val="27"/>
        </w:numPr>
        <w:ind w:hanging="436"/>
        <w:rPr>
          <w:sz w:val="24"/>
          <w:szCs w:val="24"/>
        </w:rPr>
      </w:pPr>
      <w:r w:rsidRPr="0032323B">
        <w:rPr>
          <w:sz w:val="24"/>
          <w:szCs w:val="24"/>
        </w:rPr>
        <w:t xml:space="preserve">the eligible and ineligible costs incurred for each deliverable  </w:t>
      </w:r>
    </w:p>
    <w:p w:rsidR="00C0051E" w:rsidRPr="0032323B" w:rsidRDefault="00C0051E" w:rsidP="00A80916">
      <w:pPr>
        <w:pStyle w:val="ListParagraph"/>
        <w:numPr>
          <w:ilvl w:val="0"/>
          <w:numId w:val="27"/>
        </w:numPr>
        <w:ind w:hanging="436"/>
        <w:rPr>
          <w:sz w:val="24"/>
          <w:szCs w:val="24"/>
        </w:rPr>
      </w:pPr>
      <w:r w:rsidRPr="0032323B">
        <w:rPr>
          <w:sz w:val="24"/>
          <w:szCs w:val="24"/>
        </w:rPr>
        <w:t xml:space="preserve">the total costs for the overall project  </w:t>
      </w:r>
    </w:p>
    <w:p w:rsidR="00C0051E" w:rsidRPr="00CF088B" w:rsidRDefault="00C81914" w:rsidP="00C0051E">
      <w:pPr>
        <w:spacing w:after="240"/>
        <w:rPr>
          <w:sz w:val="24"/>
          <w:szCs w:val="24"/>
        </w:rPr>
      </w:pPr>
      <w:r>
        <w:rPr>
          <w:sz w:val="24"/>
          <w:szCs w:val="24"/>
        </w:rPr>
        <w:t xml:space="preserve">Applications must be supported by written </w:t>
      </w:r>
      <w:r w:rsidR="00C0051E" w:rsidRPr="00CF088B">
        <w:rPr>
          <w:sz w:val="24"/>
          <w:szCs w:val="24"/>
        </w:rPr>
        <w:t>evidence, such as supplier quotations,</w:t>
      </w:r>
      <w:r w:rsidR="00301ED6">
        <w:rPr>
          <w:sz w:val="24"/>
          <w:szCs w:val="24"/>
        </w:rPr>
        <w:t xml:space="preserve"> (no older than </w:t>
      </w:r>
      <w:r w:rsidR="00D05474">
        <w:rPr>
          <w:sz w:val="24"/>
          <w:szCs w:val="24"/>
        </w:rPr>
        <w:t>three</w:t>
      </w:r>
      <w:r w:rsidR="00301ED6">
        <w:rPr>
          <w:sz w:val="24"/>
          <w:szCs w:val="24"/>
        </w:rPr>
        <w:t xml:space="preserve"> months)</w:t>
      </w:r>
      <w:r w:rsidR="00C0051E" w:rsidRPr="00CF088B">
        <w:rPr>
          <w:sz w:val="24"/>
          <w:szCs w:val="24"/>
        </w:rPr>
        <w:t xml:space="preserve"> to verify and c</w:t>
      </w:r>
      <w:r w:rsidR="00B81904" w:rsidRPr="00CF088B">
        <w:rPr>
          <w:sz w:val="24"/>
          <w:szCs w:val="24"/>
        </w:rPr>
        <w:t>onfirm projected project costs.</w:t>
      </w:r>
    </w:p>
    <w:p w:rsidR="00C0051E" w:rsidRPr="00CF088B" w:rsidRDefault="00D1192B" w:rsidP="00C0051E">
      <w:pPr>
        <w:spacing w:after="240"/>
        <w:rPr>
          <w:sz w:val="24"/>
          <w:szCs w:val="24"/>
        </w:rPr>
      </w:pPr>
      <w:r>
        <w:rPr>
          <w:sz w:val="24"/>
          <w:szCs w:val="24"/>
        </w:rPr>
        <w:t xml:space="preserve">Applications will be assessed by the Panel </w:t>
      </w:r>
      <w:r w:rsidR="00F96724">
        <w:rPr>
          <w:sz w:val="24"/>
          <w:szCs w:val="24"/>
        </w:rPr>
        <w:t xml:space="preserve">against the criteria set out in Section 7 of these terms and conditions.  </w:t>
      </w:r>
      <w:r w:rsidR="00C0051E" w:rsidRPr="00CF088B">
        <w:rPr>
          <w:sz w:val="24"/>
          <w:szCs w:val="24"/>
        </w:rPr>
        <w:t xml:space="preserve">If </w:t>
      </w:r>
      <w:r w:rsidR="00C81914">
        <w:rPr>
          <w:sz w:val="24"/>
          <w:szCs w:val="24"/>
        </w:rPr>
        <w:t>an application</w:t>
      </w:r>
      <w:r w:rsidR="006A6F6D">
        <w:rPr>
          <w:sz w:val="24"/>
          <w:szCs w:val="24"/>
        </w:rPr>
        <w:t xml:space="preserve"> is</w:t>
      </w:r>
      <w:r w:rsidR="00C0051E" w:rsidRPr="00CF088B">
        <w:rPr>
          <w:sz w:val="24"/>
          <w:szCs w:val="24"/>
        </w:rPr>
        <w:t xml:space="preserve"> successful, </w:t>
      </w:r>
      <w:r w:rsidR="00F45E37">
        <w:rPr>
          <w:sz w:val="24"/>
          <w:szCs w:val="24"/>
        </w:rPr>
        <w:t>the applicant</w:t>
      </w:r>
      <w:r w:rsidR="00C0051E" w:rsidRPr="00CF088B">
        <w:rPr>
          <w:sz w:val="24"/>
          <w:szCs w:val="24"/>
        </w:rPr>
        <w:t xml:space="preserve"> will</w:t>
      </w:r>
      <w:r w:rsidR="00610E79" w:rsidRPr="00CF088B">
        <w:rPr>
          <w:sz w:val="24"/>
          <w:szCs w:val="24"/>
        </w:rPr>
        <w:t xml:space="preserve"> receive a written offer from the </w:t>
      </w:r>
      <w:r w:rsidR="005F53A8">
        <w:rPr>
          <w:sz w:val="24"/>
          <w:szCs w:val="24"/>
        </w:rPr>
        <w:t xml:space="preserve">Department </w:t>
      </w:r>
      <w:r w:rsidR="00610E79" w:rsidRPr="00CF088B">
        <w:rPr>
          <w:sz w:val="24"/>
          <w:szCs w:val="24"/>
        </w:rPr>
        <w:t xml:space="preserve">with a Funding Agreement annexed, which will be required to be fully executed before </w:t>
      </w:r>
      <w:r w:rsidR="00DC603D" w:rsidRPr="00CF088B">
        <w:rPr>
          <w:sz w:val="24"/>
          <w:szCs w:val="24"/>
        </w:rPr>
        <w:t xml:space="preserve">any funding is advanced. </w:t>
      </w:r>
      <w:r w:rsidR="00C0051E" w:rsidRPr="00CF088B">
        <w:rPr>
          <w:sz w:val="24"/>
          <w:szCs w:val="24"/>
        </w:rPr>
        <w:t xml:space="preserve"> All </w:t>
      </w:r>
      <w:r w:rsidR="006C462C">
        <w:rPr>
          <w:sz w:val="24"/>
          <w:szCs w:val="24"/>
        </w:rPr>
        <w:t>funding payments</w:t>
      </w:r>
      <w:r w:rsidR="00C0051E" w:rsidRPr="00CF088B">
        <w:rPr>
          <w:sz w:val="24"/>
          <w:szCs w:val="24"/>
        </w:rPr>
        <w:t xml:space="preserve"> will link to </w:t>
      </w:r>
      <w:r w:rsidR="006C462C">
        <w:rPr>
          <w:sz w:val="24"/>
          <w:szCs w:val="24"/>
        </w:rPr>
        <w:t xml:space="preserve">completion of milestones set out in the </w:t>
      </w:r>
      <w:r w:rsidR="00F9629A">
        <w:rPr>
          <w:sz w:val="24"/>
          <w:szCs w:val="24"/>
        </w:rPr>
        <w:t>f</w:t>
      </w:r>
      <w:r w:rsidR="006C462C">
        <w:rPr>
          <w:sz w:val="24"/>
          <w:szCs w:val="24"/>
        </w:rPr>
        <w:t xml:space="preserve">unding </w:t>
      </w:r>
      <w:r w:rsidR="00F9629A">
        <w:rPr>
          <w:sz w:val="24"/>
          <w:szCs w:val="24"/>
        </w:rPr>
        <w:t>a</w:t>
      </w:r>
      <w:r w:rsidR="006C462C">
        <w:rPr>
          <w:sz w:val="24"/>
          <w:szCs w:val="24"/>
        </w:rPr>
        <w:t>greement</w:t>
      </w:r>
      <w:r w:rsidR="00C0051E" w:rsidRPr="00CF088B">
        <w:rPr>
          <w:sz w:val="24"/>
          <w:szCs w:val="24"/>
        </w:rPr>
        <w:t xml:space="preserve">.  </w:t>
      </w:r>
    </w:p>
    <w:p w:rsidR="005B7DE2" w:rsidRDefault="00BA44C4" w:rsidP="00C0051E">
      <w:pPr>
        <w:spacing w:after="240"/>
        <w:rPr>
          <w:sz w:val="24"/>
          <w:szCs w:val="24"/>
        </w:rPr>
      </w:pPr>
      <w:r>
        <w:rPr>
          <w:sz w:val="24"/>
          <w:szCs w:val="24"/>
        </w:rPr>
        <w:t xml:space="preserve">Applicants should note that </w:t>
      </w:r>
      <w:r w:rsidR="00F9629A">
        <w:rPr>
          <w:sz w:val="24"/>
          <w:szCs w:val="24"/>
        </w:rPr>
        <w:t>f</w:t>
      </w:r>
      <w:r>
        <w:rPr>
          <w:sz w:val="24"/>
          <w:szCs w:val="24"/>
        </w:rPr>
        <w:t xml:space="preserve">unding </w:t>
      </w:r>
      <w:r w:rsidR="00F9629A">
        <w:rPr>
          <w:sz w:val="24"/>
          <w:szCs w:val="24"/>
        </w:rPr>
        <w:t>a</w:t>
      </w:r>
      <w:r>
        <w:rPr>
          <w:sz w:val="24"/>
          <w:szCs w:val="24"/>
        </w:rPr>
        <w:t>greements will contain a requirement that the funded project remain operational</w:t>
      </w:r>
      <w:r w:rsidR="00483932">
        <w:rPr>
          <w:sz w:val="24"/>
          <w:szCs w:val="24"/>
        </w:rPr>
        <w:t xml:space="preserve"> in the Northern Territory for a period of at least </w:t>
      </w:r>
      <w:r w:rsidR="00D05474">
        <w:rPr>
          <w:sz w:val="24"/>
          <w:szCs w:val="24"/>
        </w:rPr>
        <w:t>five</w:t>
      </w:r>
      <w:r w:rsidR="00483932">
        <w:rPr>
          <w:sz w:val="24"/>
          <w:szCs w:val="24"/>
        </w:rPr>
        <w:t xml:space="preserve"> years following completion of construction, including a requirement that all funded fixtures</w:t>
      </w:r>
      <w:r w:rsidR="006A6F6D">
        <w:rPr>
          <w:sz w:val="24"/>
          <w:szCs w:val="24"/>
        </w:rPr>
        <w:t>,</w:t>
      </w:r>
      <w:r w:rsidR="00483932">
        <w:rPr>
          <w:sz w:val="24"/>
          <w:szCs w:val="24"/>
        </w:rPr>
        <w:t xml:space="preserve"> fittings</w:t>
      </w:r>
      <w:r w:rsidR="006A6F6D">
        <w:rPr>
          <w:sz w:val="24"/>
          <w:szCs w:val="24"/>
        </w:rPr>
        <w:t>,</w:t>
      </w:r>
      <w:r w:rsidR="00483932">
        <w:rPr>
          <w:sz w:val="24"/>
          <w:szCs w:val="24"/>
        </w:rPr>
        <w:t xml:space="preserve"> equipment and vehicles (if relevant) remain located in the Northern Territory.</w:t>
      </w:r>
    </w:p>
    <w:p w:rsidR="00F20FFE" w:rsidRPr="00CF088B" w:rsidRDefault="00207E1D" w:rsidP="00C0051E">
      <w:pPr>
        <w:spacing w:after="240"/>
        <w:rPr>
          <w:sz w:val="24"/>
          <w:szCs w:val="24"/>
        </w:rPr>
      </w:pPr>
      <w:r w:rsidRPr="00CF088B">
        <w:rPr>
          <w:sz w:val="24"/>
          <w:szCs w:val="24"/>
        </w:rPr>
        <w:t>A</w:t>
      </w:r>
      <w:r w:rsidR="00F20FFE" w:rsidRPr="00CF088B">
        <w:rPr>
          <w:sz w:val="24"/>
          <w:szCs w:val="24"/>
        </w:rPr>
        <w:t xml:space="preserve">pplicants </w:t>
      </w:r>
      <w:r w:rsidRPr="00CF088B">
        <w:rPr>
          <w:sz w:val="24"/>
          <w:szCs w:val="24"/>
        </w:rPr>
        <w:t>must</w:t>
      </w:r>
      <w:r w:rsidR="00F20FFE" w:rsidRPr="00CF088B">
        <w:rPr>
          <w:sz w:val="24"/>
          <w:szCs w:val="24"/>
        </w:rPr>
        <w:t xml:space="preserve"> nominate </w:t>
      </w:r>
      <w:r w:rsidR="00393736" w:rsidRPr="00CF088B">
        <w:rPr>
          <w:sz w:val="24"/>
          <w:szCs w:val="24"/>
        </w:rPr>
        <w:t>their required payment milestones and timeline</w:t>
      </w:r>
      <w:r w:rsidR="00755B5A" w:rsidRPr="00CF088B">
        <w:rPr>
          <w:sz w:val="24"/>
          <w:szCs w:val="24"/>
        </w:rPr>
        <w:t xml:space="preserve"> </w:t>
      </w:r>
      <w:r w:rsidR="00F20FFE" w:rsidRPr="00CF088B">
        <w:rPr>
          <w:sz w:val="24"/>
          <w:szCs w:val="24"/>
        </w:rPr>
        <w:t>noting the following:</w:t>
      </w:r>
    </w:p>
    <w:p w:rsidR="00F20FFE" w:rsidRPr="00CF088B" w:rsidRDefault="00F20FFE" w:rsidP="00A80916">
      <w:pPr>
        <w:pStyle w:val="ListParagraph"/>
        <w:numPr>
          <w:ilvl w:val="0"/>
          <w:numId w:val="29"/>
        </w:numPr>
        <w:spacing w:after="240"/>
        <w:ind w:hanging="436"/>
        <w:rPr>
          <w:sz w:val="24"/>
          <w:szCs w:val="24"/>
        </w:rPr>
      </w:pPr>
      <w:r w:rsidRPr="00CF088B">
        <w:rPr>
          <w:sz w:val="24"/>
          <w:szCs w:val="24"/>
        </w:rPr>
        <w:t>Project payment milestones</w:t>
      </w:r>
      <w:r w:rsidR="00393736" w:rsidRPr="00CF088B">
        <w:rPr>
          <w:sz w:val="24"/>
          <w:szCs w:val="24"/>
        </w:rPr>
        <w:t xml:space="preserve"> and </w:t>
      </w:r>
      <w:r w:rsidR="00DF184E" w:rsidRPr="00CF088B">
        <w:rPr>
          <w:sz w:val="24"/>
          <w:szCs w:val="24"/>
        </w:rPr>
        <w:t>timing</w:t>
      </w:r>
      <w:r w:rsidRPr="00CF088B">
        <w:rPr>
          <w:sz w:val="24"/>
          <w:szCs w:val="24"/>
        </w:rPr>
        <w:t xml:space="preserve"> will be ultimately determined by the</w:t>
      </w:r>
      <w:r w:rsidR="003462A0">
        <w:rPr>
          <w:sz w:val="24"/>
          <w:szCs w:val="24"/>
        </w:rPr>
        <w:t xml:space="preserve"> </w:t>
      </w:r>
      <w:r w:rsidR="005F53A8">
        <w:rPr>
          <w:sz w:val="24"/>
          <w:szCs w:val="24"/>
        </w:rPr>
        <w:t xml:space="preserve">Department </w:t>
      </w:r>
      <w:r w:rsidR="00F46029">
        <w:rPr>
          <w:sz w:val="24"/>
          <w:szCs w:val="24"/>
        </w:rPr>
        <w:t xml:space="preserve">under the </w:t>
      </w:r>
      <w:r w:rsidR="00F9629A">
        <w:rPr>
          <w:sz w:val="24"/>
          <w:szCs w:val="24"/>
        </w:rPr>
        <w:t>f</w:t>
      </w:r>
      <w:r w:rsidR="00F46029">
        <w:rPr>
          <w:sz w:val="24"/>
          <w:szCs w:val="24"/>
        </w:rPr>
        <w:t xml:space="preserve">unding </w:t>
      </w:r>
      <w:r w:rsidR="00F9629A">
        <w:rPr>
          <w:sz w:val="24"/>
          <w:szCs w:val="24"/>
        </w:rPr>
        <w:t>a</w:t>
      </w:r>
      <w:r w:rsidR="00F46029">
        <w:rPr>
          <w:sz w:val="24"/>
          <w:szCs w:val="24"/>
        </w:rPr>
        <w:t>greement.</w:t>
      </w:r>
    </w:p>
    <w:p w:rsidR="00F20FFE" w:rsidRPr="00CF088B" w:rsidRDefault="00F20FFE" w:rsidP="00A80916">
      <w:pPr>
        <w:pStyle w:val="ListParagraph"/>
        <w:numPr>
          <w:ilvl w:val="0"/>
          <w:numId w:val="29"/>
        </w:numPr>
        <w:spacing w:after="240"/>
        <w:ind w:hanging="436"/>
        <w:rPr>
          <w:sz w:val="24"/>
          <w:szCs w:val="24"/>
        </w:rPr>
      </w:pPr>
      <w:r w:rsidRPr="00CF088B">
        <w:rPr>
          <w:sz w:val="24"/>
          <w:szCs w:val="24"/>
        </w:rPr>
        <w:t xml:space="preserve">An initial milestone payment </w:t>
      </w:r>
      <w:r w:rsidR="00411519">
        <w:rPr>
          <w:sz w:val="24"/>
          <w:szCs w:val="24"/>
        </w:rPr>
        <w:t xml:space="preserve">of </w:t>
      </w:r>
      <w:r w:rsidRPr="00CF088B">
        <w:rPr>
          <w:sz w:val="24"/>
          <w:szCs w:val="24"/>
        </w:rPr>
        <w:t xml:space="preserve">up to </w:t>
      </w:r>
      <w:r w:rsidR="00C36C0E" w:rsidRPr="00CF088B">
        <w:rPr>
          <w:sz w:val="24"/>
          <w:szCs w:val="24"/>
        </w:rPr>
        <w:t>10</w:t>
      </w:r>
      <w:r w:rsidR="00C0051E" w:rsidRPr="00CF088B">
        <w:rPr>
          <w:sz w:val="24"/>
          <w:szCs w:val="24"/>
        </w:rPr>
        <w:t xml:space="preserve"> per cent payment </w:t>
      </w:r>
      <w:r w:rsidRPr="00CF088B">
        <w:rPr>
          <w:sz w:val="24"/>
          <w:szCs w:val="24"/>
        </w:rPr>
        <w:t xml:space="preserve">of the total approved grant amount </w:t>
      </w:r>
      <w:r w:rsidR="00411519" w:rsidRPr="00CF088B">
        <w:rPr>
          <w:sz w:val="24"/>
          <w:szCs w:val="24"/>
        </w:rPr>
        <w:t xml:space="preserve">may be approved </w:t>
      </w:r>
      <w:r w:rsidRPr="00CF088B">
        <w:rPr>
          <w:sz w:val="24"/>
          <w:szCs w:val="24"/>
        </w:rPr>
        <w:t xml:space="preserve">and </w:t>
      </w:r>
      <w:r w:rsidR="00C0051E" w:rsidRPr="00CF088B">
        <w:rPr>
          <w:sz w:val="24"/>
          <w:szCs w:val="24"/>
        </w:rPr>
        <w:t xml:space="preserve">will be made following execution of the funding agreement and </w:t>
      </w:r>
      <w:r w:rsidR="00F9629A">
        <w:rPr>
          <w:sz w:val="24"/>
          <w:szCs w:val="24"/>
        </w:rPr>
        <w:t xml:space="preserve">upon </w:t>
      </w:r>
      <w:r w:rsidR="00C0051E" w:rsidRPr="00CF088B">
        <w:rPr>
          <w:sz w:val="24"/>
          <w:szCs w:val="24"/>
        </w:rPr>
        <w:t xml:space="preserve">satisfaction of any preconditions. </w:t>
      </w:r>
    </w:p>
    <w:p w:rsidR="00C0051E" w:rsidRPr="00CF088B" w:rsidRDefault="00C0051E" w:rsidP="00A80916">
      <w:pPr>
        <w:pStyle w:val="ListParagraph"/>
        <w:numPr>
          <w:ilvl w:val="0"/>
          <w:numId w:val="29"/>
        </w:numPr>
        <w:spacing w:after="240"/>
        <w:ind w:hanging="436"/>
        <w:rPr>
          <w:sz w:val="24"/>
          <w:szCs w:val="24"/>
        </w:rPr>
      </w:pPr>
      <w:r w:rsidRPr="00CF088B">
        <w:rPr>
          <w:sz w:val="24"/>
          <w:szCs w:val="24"/>
        </w:rPr>
        <w:t xml:space="preserve">Funding will then be provided in instalments and paid in arrears upon verified, successful and timely completion of agreed project deliverables and evidence of expenditure.   </w:t>
      </w:r>
    </w:p>
    <w:p w:rsidR="00C0051E" w:rsidRPr="00CF088B" w:rsidRDefault="00881B1F" w:rsidP="00C0051E">
      <w:pPr>
        <w:spacing w:after="240"/>
        <w:rPr>
          <w:sz w:val="24"/>
          <w:szCs w:val="24"/>
        </w:rPr>
      </w:pPr>
      <w:r w:rsidRPr="00CF088B">
        <w:rPr>
          <w:sz w:val="24"/>
          <w:szCs w:val="24"/>
        </w:rPr>
        <w:lastRenderedPageBreak/>
        <w:t>Eligible organisations that are funded</w:t>
      </w:r>
      <w:r w:rsidR="00C0051E" w:rsidRPr="00CF088B">
        <w:rPr>
          <w:sz w:val="24"/>
          <w:szCs w:val="24"/>
        </w:rPr>
        <w:t xml:space="preserve"> will be required to provide progress reports to </w:t>
      </w:r>
      <w:r w:rsidR="00F9629A">
        <w:rPr>
          <w:sz w:val="24"/>
          <w:szCs w:val="24"/>
        </w:rPr>
        <w:t xml:space="preserve">the Department </w:t>
      </w:r>
      <w:r w:rsidR="00C0051E" w:rsidRPr="00CF088B">
        <w:rPr>
          <w:sz w:val="24"/>
          <w:szCs w:val="24"/>
        </w:rPr>
        <w:t>to demonstrate that the project is being delivered on schedule. A completion report</w:t>
      </w:r>
      <w:r w:rsidR="00301ED6">
        <w:rPr>
          <w:sz w:val="24"/>
          <w:szCs w:val="24"/>
        </w:rPr>
        <w:t xml:space="preserve"> including financial acquittal</w:t>
      </w:r>
      <w:r w:rsidR="00C0051E" w:rsidRPr="00CF088B">
        <w:rPr>
          <w:sz w:val="24"/>
          <w:szCs w:val="24"/>
        </w:rPr>
        <w:t xml:space="preserve"> will be </w:t>
      </w:r>
      <w:r w:rsidR="00F9629A" w:rsidRPr="00CF088B">
        <w:rPr>
          <w:sz w:val="24"/>
          <w:szCs w:val="24"/>
        </w:rPr>
        <w:t xml:space="preserve">required </w:t>
      </w:r>
      <w:r w:rsidR="00F9629A">
        <w:rPr>
          <w:sz w:val="24"/>
          <w:szCs w:val="24"/>
        </w:rPr>
        <w:t>within</w:t>
      </w:r>
      <w:r w:rsidR="00C80292">
        <w:rPr>
          <w:sz w:val="24"/>
          <w:szCs w:val="24"/>
        </w:rPr>
        <w:t xml:space="preserve"> 60 days of project completion.</w:t>
      </w:r>
      <w:r w:rsidR="00C0051E" w:rsidRPr="00CF088B">
        <w:rPr>
          <w:sz w:val="24"/>
          <w:szCs w:val="24"/>
        </w:rPr>
        <w:t xml:space="preserve"> Templates for these reports will be provided</w:t>
      </w:r>
      <w:r w:rsidRPr="00CF088B">
        <w:rPr>
          <w:sz w:val="24"/>
          <w:szCs w:val="24"/>
        </w:rPr>
        <w:t xml:space="preserve"> on the </w:t>
      </w:r>
      <w:r w:rsidR="00F9629A">
        <w:rPr>
          <w:sz w:val="24"/>
          <w:szCs w:val="24"/>
        </w:rPr>
        <w:t>w</w:t>
      </w:r>
      <w:r w:rsidRPr="00CF088B">
        <w:rPr>
          <w:sz w:val="24"/>
          <w:szCs w:val="24"/>
        </w:rPr>
        <w:t>ebsite</w:t>
      </w:r>
      <w:r w:rsidR="006C462C">
        <w:rPr>
          <w:sz w:val="24"/>
          <w:szCs w:val="24"/>
        </w:rPr>
        <w:t xml:space="preserve"> before the completion of any funding agreement/s entered into</w:t>
      </w:r>
      <w:r w:rsidR="00F62A12">
        <w:rPr>
          <w:sz w:val="24"/>
          <w:szCs w:val="24"/>
        </w:rPr>
        <w:t xml:space="preserve">, and for the </w:t>
      </w:r>
      <w:r w:rsidR="00D05474">
        <w:rPr>
          <w:sz w:val="24"/>
          <w:szCs w:val="24"/>
        </w:rPr>
        <w:t>five</w:t>
      </w:r>
      <w:r w:rsidR="00F62A12">
        <w:rPr>
          <w:sz w:val="24"/>
          <w:szCs w:val="24"/>
        </w:rPr>
        <w:t xml:space="preserve"> years following the conclusion of the Funding Agreement to ensure compliance with the requirement to remain operational for a period of at least </w:t>
      </w:r>
      <w:r w:rsidR="00D05474">
        <w:rPr>
          <w:sz w:val="24"/>
          <w:szCs w:val="24"/>
        </w:rPr>
        <w:t>five</w:t>
      </w:r>
      <w:r w:rsidR="00F62A12">
        <w:rPr>
          <w:sz w:val="24"/>
          <w:szCs w:val="24"/>
        </w:rPr>
        <w:t xml:space="preserve"> years following completion of the project.</w:t>
      </w:r>
    </w:p>
    <w:p w:rsidR="00C0051E" w:rsidRPr="00CF088B" w:rsidRDefault="00881B1F" w:rsidP="00C0051E">
      <w:pPr>
        <w:spacing w:after="240"/>
        <w:rPr>
          <w:sz w:val="24"/>
          <w:szCs w:val="24"/>
        </w:rPr>
      </w:pPr>
      <w:r w:rsidRPr="00CF088B">
        <w:rPr>
          <w:sz w:val="24"/>
          <w:szCs w:val="24"/>
        </w:rPr>
        <w:t xml:space="preserve">The </w:t>
      </w:r>
      <w:r w:rsidR="00C80292">
        <w:rPr>
          <w:sz w:val="24"/>
          <w:szCs w:val="24"/>
        </w:rPr>
        <w:t xml:space="preserve">Department </w:t>
      </w:r>
      <w:r w:rsidR="00C0051E" w:rsidRPr="00CF088B">
        <w:rPr>
          <w:sz w:val="24"/>
          <w:szCs w:val="24"/>
        </w:rPr>
        <w:t xml:space="preserve">reserves the right to undertake an audit of the project to monitor progress and / or appoint an independent advisor to undertake an </w:t>
      </w:r>
      <w:r w:rsidR="006659F1" w:rsidRPr="00CF088B">
        <w:rPr>
          <w:sz w:val="24"/>
          <w:szCs w:val="24"/>
        </w:rPr>
        <w:t xml:space="preserve">audit </w:t>
      </w:r>
      <w:r w:rsidR="00C0051E" w:rsidRPr="00CF088B">
        <w:rPr>
          <w:sz w:val="24"/>
          <w:szCs w:val="24"/>
        </w:rPr>
        <w:t xml:space="preserve">of </w:t>
      </w:r>
      <w:r w:rsidR="006659F1" w:rsidRPr="00CF088B">
        <w:rPr>
          <w:sz w:val="24"/>
          <w:szCs w:val="24"/>
        </w:rPr>
        <w:t xml:space="preserve">approved </w:t>
      </w:r>
      <w:r w:rsidR="00C0051E" w:rsidRPr="00CF088B">
        <w:rPr>
          <w:sz w:val="24"/>
          <w:szCs w:val="24"/>
        </w:rPr>
        <w:t>projects</w:t>
      </w:r>
      <w:r w:rsidR="006659F1" w:rsidRPr="00CF088B">
        <w:rPr>
          <w:sz w:val="24"/>
          <w:szCs w:val="24"/>
        </w:rPr>
        <w:t xml:space="preserve"> at any time during the term of the </w:t>
      </w:r>
      <w:r w:rsidR="00E311FE">
        <w:rPr>
          <w:sz w:val="24"/>
          <w:szCs w:val="24"/>
        </w:rPr>
        <w:t>f</w:t>
      </w:r>
      <w:r w:rsidR="006659F1" w:rsidRPr="00CF088B">
        <w:rPr>
          <w:sz w:val="24"/>
          <w:szCs w:val="24"/>
        </w:rPr>
        <w:t xml:space="preserve">unding </w:t>
      </w:r>
      <w:r w:rsidR="00E311FE">
        <w:rPr>
          <w:sz w:val="24"/>
          <w:szCs w:val="24"/>
        </w:rPr>
        <w:t>a</w:t>
      </w:r>
      <w:r w:rsidR="006659F1" w:rsidRPr="00CF088B">
        <w:rPr>
          <w:sz w:val="24"/>
          <w:szCs w:val="24"/>
        </w:rPr>
        <w:t>greement</w:t>
      </w:r>
      <w:r w:rsidR="00301ED6">
        <w:rPr>
          <w:sz w:val="24"/>
          <w:szCs w:val="24"/>
        </w:rPr>
        <w:t>.</w:t>
      </w:r>
    </w:p>
    <w:p w:rsidR="00C0051E" w:rsidRPr="0040698F" w:rsidRDefault="006B3920" w:rsidP="00AE0E6B">
      <w:pPr>
        <w:pStyle w:val="Heading1"/>
        <w:rPr>
          <w:lang w:eastAsia="en-AU"/>
        </w:rPr>
      </w:pPr>
      <w:bookmarkStart w:id="13" w:name="_Toc118897474"/>
      <w:r>
        <w:rPr>
          <w:lang w:eastAsia="en-AU"/>
        </w:rPr>
        <w:t xml:space="preserve">6. </w:t>
      </w:r>
      <w:r>
        <w:rPr>
          <w:lang w:eastAsia="en-AU"/>
        </w:rPr>
        <w:tab/>
      </w:r>
      <w:r w:rsidR="00C0051E" w:rsidRPr="005F480E">
        <w:rPr>
          <w:lang w:eastAsia="en-AU"/>
        </w:rPr>
        <w:t xml:space="preserve">Application and </w:t>
      </w:r>
      <w:r w:rsidR="00AC6C9E">
        <w:rPr>
          <w:lang w:eastAsia="en-AU"/>
        </w:rPr>
        <w:t xml:space="preserve">panel </w:t>
      </w:r>
      <w:r w:rsidR="00C0051E" w:rsidRPr="005F480E">
        <w:rPr>
          <w:lang w:eastAsia="en-AU"/>
        </w:rPr>
        <w:t>assessment process</w:t>
      </w:r>
      <w:bookmarkEnd w:id="13"/>
    </w:p>
    <w:p w:rsidR="003077A4" w:rsidRDefault="008A231B" w:rsidP="003077A4">
      <w:pPr>
        <w:spacing w:after="240"/>
        <w:rPr>
          <w:sz w:val="24"/>
          <w:szCs w:val="24"/>
        </w:rPr>
      </w:pPr>
      <w:r w:rsidRPr="000366C0">
        <w:rPr>
          <w:sz w:val="24"/>
          <w:szCs w:val="24"/>
        </w:rPr>
        <w:t>Applications m</w:t>
      </w:r>
      <w:r>
        <w:rPr>
          <w:sz w:val="24"/>
          <w:szCs w:val="24"/>
        </w:rPr>
        <w:t>ust</w:t>
      </w:r>
      <w:r w:rsidRPr="000366C0">
        <w:rPr>
          <w:sz w:val="24"/>
          <w:szCs w:val="24"/>
        </w:rPr>
        <w:t xml:space="preserve"> be made by completing the application process set out on the</w:t>
      </w:r>
      <w:r w:rsidR="00626AC3">
        <w:rPr>
          <w:sz w:val="24"/>
          <w:szCs w:val="24"/>
        </w:rPr>
        <w:t xml:space="preserve"> website.</w:t>
      </w:r>
      <w:r w:rsidR="00C80292">
        <w:rPr>
          <w:sz w:val="24"/>
          <w:szCs w:val="24"/>
        </w:rPr>
        <w:t xml:space="preserve"> </w:t>
      </w:r>
      <w:r w:rsidR="0038035D" w:rsidRPr="007B77E4">
        <w:rPr>
          <w:sz w:val="24"/>
          <w:szCs w:val="24"/>
        </w:rPr>
        <w:t>Applications will open</w:t>
      </w:r>
      <w:r w:rsidR="00A01A50">
        <w:rPr>
          <w:sz w:val="24"/>
          <w:szCs w:val="24"/>
        </w:rPr>
        <w:t xml:space="preserve"> </w:t>
      </w:r>
      <w:r w:rsidR="00A01A50" w:rsidRPr="00014C45">
        <w:rPr>
          <w:sz w:val="24"/>
          <w:szCs w:val="24"/>
        </w:rPr>
        <w:t xml:space="preserve">on </w:t>
      </w:r>
      <w:r w:rsidR="007C63D7">
        <w:rPr>
          <w:b/>
          <w:sz w:val="24"/>
          <w:szCs w:val="24"/>
        </w:rPr>
        <w:t>6 December</w:t>
      </w:r>
      <w:r w:rsidR="00014C45" w:rsidRPr="00B94DFC">
        <w:rPr>
          <w:b/>
          <w:sz w:val="24"/>
          <w:szCs w:val="24"/>
        </w:rPr>
        <w:t xml:space="preserve"> 2022</w:t>
      </w:r>
      <w:r w:rsidR="00C96B3C" w:rsidRPr="00B94DFC">
        <w:rPr>
          <w:b/>
          <w:sz w:val="24"/>
          <w:szCs w:val="24"/>
        </w:rPr>
        <w:t xml:space="preserve"> at </w:t>
      </w:r>
      <w:r w:rsidR="00123C07" w:rsidRPr="00B94DFC">
        <w:rPr>
          <w:b/>
          <w:sz w:val="24"/>
          <w:szCs w:val="24"/>
        </w:rPr>
        <w:t>10</w:t>
      </w:r>
      <w:r w:rsidR="00C96B3C" w:rsidRPr="00B94DFC">
        <w:rPr>
          <w:b/>
          <w:sz w:val="24"/>
          <w:szCs w:val="24"/>
        </w:rPr>
        <w:t>:00am</w:t>
      </w:r>
      <w:r w:rsidR="00C96B3C" w:rsidRPr="00DA717F">
        <w:rPr>
          <w:sz w:val="24"/>
          <w:szCs w:val="24"/>
        </w:rPr>
        <w:t xml:space="preserve"> (ACST)</w:t>
      </w:r>
      <w:r w:rsidR="00014C45" w:rsidRPr="00DA717F">
        <w:rPr>
          <w:sz w:val="24"/>
          <w:szCs w:val="24"/>
        </w:rPr>
        <w:t xml:space="preserve"> and close on</w:t>
      </w:r>
      <w:r w:rsidR="009B1403">
        <w:rPr>
          <w:sz w:val="24"/>
          <w:szCs w:val="24"/>
        </w:rPr>
        <w:t xml:space="preserve"> </w:t>
      </w:r>
      <w:r w:rsidR="007C63D7" w:rsidRPr="007C63D7">
        <w:rPr>
          <w:b/>
          <w:sz w:val="24"/>
          <w:szCs w:val="24"/>
        </w:rPr>
        <w:t>28</w:t>
      </w:r>
      <w:r w:rsidR="009B1403" w:rsidRPr="007C63D7">
        <w:rPr>
          <w:b/>
          <w:sz w:val="24"/>
          <w:szCs w:val="24"/>
        </w:rPr>
        <w:t xml:space="preserve"> February</w:t>
      </w:r>
      <w:r w:rsidR="009B1403" w:rsidRPr="00B94DFC">
        <w:rPr>
          <w:b/>
          <w:sz w:val="24"/>
          <w:szCs w:val="24"/>
        </w:rPr>
        <w:t xml:space="preserve"> 2023</w:t>
      </w:r>
      <w:r w:rsidR="00C96B3C" w:rsidRPr="00DA717F">
        <w:rPr>
          <w:sz w:val="24"/>
          <w:szCs w:val="24"/>
        </w:rPr>
        <w:t xml:space="preserve"> at 4:00pm</w:t>
      </w:r>
      <w:r w:rsidR="00C96B3C">
        <w:rPr>
          <w:sz w:val="24"/>
          <w:szCs w:val="24"/>
        </w:rPr>
        <w:t xml:space="preserve"> </w:t>
      </w:r>
      <w:r w:rsidR="00C96B3C" w:rsidRPr="00014C45">
        <w:rPr>
          <w:sz w:val="24"/>
          <w:szCs w:val="24"/>
        </w:rPr>
        <w:t>(AC</w:t>
      </w:r>
      <w:r w:rsidR="00C96B3C">
        <w:rPr>
          <w:sz w:val="24"/>
          <w:szCs w:val="24"/>
        </w:rPr>
        <w:t>S</w:t>
      </w:r>
      <w:r w:rsidR="00C96B3C" w:rsidRPr="00014C45">
        <w:rPr>
          <w:sz w:val="24"/>
          <w:szCs w:val="24"/>
        </w:rPr>
        <w:t>T)</w:t>
      </w:r>
      <w:r w:rsidR="00A01A50">
        <w:rPr>
          <w:sz w:val="24"/>
          <w:szCs w:val="24"/>
        </w:rPr>
        <w:t xml:space="preserve">. </w:t>
      </w:r>
      <w:r w:rsidR="0038035D" w:rsidRPr="0032323B">
        <w:rPr>
          <w:sz w:val="24"/>
          <w:szCs w:val="24"/>
        </w:rPr>
        <w:t>Late submissions will be excluded from the first round of assessments, however additional assessment</w:t>
      </w:r>
      <w:r w:rsidR="0038035D" w:rsidRPr="00CF088B">
        <w:rPr>
          <w:sz w:val="24"/>
          <w:szCs w:val="24"/>
        </w:rPr>
        <w:t xml:space="preserve"> round/s may be </w:t>
      </w:r>
      <w:r w:rsidR="0038035D" w:rsidRPr="0032323B">
        <w:rPr>
          <w:sz w:val="24"/>
          <w:szCs w:val="24"/>
        </w:rPr>
        <w:t>offered if the grant funding pool is not completely committed from assessmen</w:t>
      </w:r>
      <w:r w:rsidR="0056061A">
        <w:rPr>
          <w:sz w:val="24"/>
          <w:szCs w:val="24"/>
        </w:rPr>
        <w:t xml:space="preserve">t of first round applications. </w:t>
      </w:r>
      <w:r w:rsidR="00AE0073" w:rsidRPr="000366C0">
        <w:rPr>
          <w:sz w:val="24"/>
          <w:szCs w:val="24"/>
        </w:rPr>
        <w:t>Any information in that regard will be published on the</w:t>
      </w:r>
      <w:r w:rsidR="00870A45">
        <w:rPr>
          <w:sz w:val="24"/>
          <w:szCs w:val="24"/>
        </w:rPr>
        <w:t xml:space="preserve"> website. </w:t>
      </w:r>
    </w:p>
    <w:p w:rsidR="00CF208D" w:rsidRDefault="006B6897" w:rsidP="006B6897">
      <w:pPr>
        <w:spacing w:after="240"/>
        <w:rPr>
          <w:sz w:val="24"/>
          <w:szCs w:val="24"/>
        </w:rPr>
      </w:pPr>
      <w:r>
        <w:rPr>
          <w:sz w:val="24"/>
          <w:szCs w:val="24"/>
        </w:rPr>
        <w:t xml:space="preserve">There is a two stage assessment </w:t>
      </w:r>
      <w:r w:rsidR="00CF208D">
        <w:rPr>
          <w:sz w:val="24"/>
          <w:szCs w:val="24"/>
        </w:rPr>
        <w:t>process:</w:t>
      </w:r>
      <w:r>
        <w:rPr>
          <w:sz w:val="24"/>
          <w:szCs w:val="24"/>
        </w:rPr>
        <w:t xml:space="preserve"> </w:t>
      </w:r>
    </w:p>
    <w:p w:rsidR="00CF208D" w:rsidRDefault="00CF208D" w:rsidP="006B6897">
      <w:pPr>
        <w:spacing w:after="240"/>
        <w:rPr>
          <w:sz w:val="24"/>
          <w:szCs w:val="24"/>
        </w:rPr>
      </w:pPr>
      <w:r w:rsidRPr="001B5E4A">
        <w:rPr>
          <w:b/>
          <w:sz w:val="24"/>
          <w:szCs w:val="24"/>
        </w:rPr>
        <w:t>Stage 1</w:t>
      </w:r>
      <w:r>
        <w:rPr>
          <w:b/>
          <w:sz w:val="24"/>
          <w:szCs w:val="24"/>
        </w:rPr>
        <w:t xml:space="preserve"> </w:t>
      </w:r>
      <w:r w:rsidR="006B6897">
        <w:rPr>
          <w:sz w:val="24"/>
          <w:szCs w:val="24"/>
        </w:rPr>
        <w:t xml:space="preserve">Applications </w:t>
      </w:r>
      <w:r>
        <w:rPr>
          <w:sz w:val="24"/>
          <w:szCs w:val="24"/>
        </w:rPr>
        <w:t xml:space="preserve">undergo an </w:t>
      </w:r>
      <w:r w:rsidR="006B6897">
        <w:rPr>
          <w:sz w:val="24"/>
          <w:szCs w:val="24"/>
        </w:rPr>
        <w:t>initial due diligence process (determination of eligibility of both organisation and project – Stage 1)</w:t>
      </w:r>
    </w:p>
    <w:p w:rsidR="006B6897" w:rsidRPr="000366C0" w:rsidRDefault="00CF208D" w:rsidP="006B6897">
      <w:pPr>
        <w:spacing w:after="240"/>
        <w:rPr>
          <w:sz w:val="24"/>
          <w:szCs w:val="24"/>
        </w:rPr>
      </w:pPr>
      <w:r w:rsidRPr="001B5E4A">
        <w:rPr>
          <w:b/>
          <w:sz w:val="24"/>
          <w:szCs w:val="24"/>
        </w:rPr>
        <w:t>Stage 2</w:t>
      </w:r>
      <w:r w:rsidR="006B6897">
        <w:rPr>
          <w:sz w:val="24"/>
          <w:szCs w:val="24"/>
        </w:rPr>
        <w:t xml:space="preserve"> </w:t>
      </w:r>
      <w:r>
        <w:rPr>
          <w:sz w:val="24"/>
          <w:szCs w:val="24"/>
        </w:rPr>
        <w:t xml:space="preserve">Applications deemed eligible in Stage 1 </w:t>
      </w:r>
      <w:r w:rsidR="006B6897">
        <w:rPr>
          <w:sz w:val="24"/>
          <w:szCs w:val="24"/>
        </w:rPr>
        <w:t xml:space="preserve">will be referred to the Panel for </w:t>
      </w:r>
      <w:r>
        <w:rPr>
          <w:sz w:val="24"/>
          <w:szCs w:val="24"/>
        </w:rPr>
        <w:t xml:space="preserve">competitive </w:t>
      </w:r>
      <w:r w:rsidR="006B6897">
        <w:rPr>
          <w:sz w:val="24"/>
          <w:szCs w:val="24"/>
        </w:rPr>
        <w:t xml:space="preserve">assessment using the criteria set out </w:t>
      </w:r>
      <w:r>
        <w:rPr>
          <w:sz w:val="24"/>
          <w:szCs w:val="24"/>
        </w:rPr>
        <w:t>in Section 7 (see below)</w:t>
      </w:r>
      <w:r w:rsidR="006B6897">
        <w:rPr>
          <w:sz w:val="24"/>
          <w:szCs w:val="24"/>
        </w:rPr>
        <w:t>.  Applicants will be notified if the</w:t>
      </w:r>
      <w:r>
        <w:rPr>
          <w:sz w:val="24"/>
          <w:szCs w:val="24"/>
        </w:rPr>
        <w:t>ir</w:t>
      </w:r>
      <w:r w:rsidR="006B6897">
        <w:rPr>
          <w:sz w:val="24"/>
          <w:szCs w:val="24"/>
        </w:rPr>
        <w:t xml:space="preserve"> application will proceed to Stage 2.</w:t>
      </w:r>
    </w:p>
    <w:p w:rsidR="00D3025F" w:rsidRPr="00CF088B" w:rsidRDefault="00D3025F" w:rsidP="00CF088B">
      <w:pPr>
        <w:spacing w:after="240"/>
        <w:rPr>
          <w:color w:val="222222"/>
          <w:sz w:val="24"/>
          <w:szCs w:val="24"/>
        </w:rPr>
      </w:pPr>
      <w:r w:rsidRPr="007B77E4">
        <w:rPr>
          <w:sz w:val="24"/>
          <w:szCs w:val="24"/>
        </w:rPr>
        <w:t xml:space="preserve">Once applications have been assessed by the Panel </w:t>
      </w:r>
      <w:r w:rsidR="00CF208D">
        <w:rPr>
          <w:sz w:val="24"/>
          <w:szCs w:val="24"/>
        </w:rPr>
        <w:t>(</w:t>
      </w:r>
      <w:r w:rsidRPr="007B77E4">
        <w:rPr>
          <w:sz w:val="24"/>
          <w:szCs w:val="24"/>
        </w:rPr>
        <w:t>Stage 2</w:t>
      </w:r>
      <w:r w:rsidR="00CF208D">
        <w:rPr>
          <w:sz w:val="24"/>
          <w:szCs w:val="24"/>
        </w:rPr>
        <w:t>)</w:t>
      </w:r>
      <w:r w:rsidRPr="007B77E4">
        <w:rPr>
          <w:sz w:val="24"/>
          <w:szCs w:val="24"/>
        </w:rPr>
        <w:t xml:space="preserve">, recommendation/s will be made by the Panel to the Department and </w:t>
      </w:r>
      <w:r w:rsidR="00CF208D">
        <w:rPr>
          <w:sz w:val="24"/>
          <w:szCs w:val="24"/>
        </w:rPr>
        <w:t xml:space="preserve">reviewed by </w:t>
      </w:r>
      <w:r w:rsidRPr="007B77E4">
        <w:rPr>
          <w:sz w:val="24"/>
          <w:szCs w:val="24"/>
        </w:rPr>
        <w:t xml:space="preserve">a nominated representative of the </w:t>
      </w:r>
      <w:r w:rsidR="00CC714E">
        <w:rPr>
          <w:sz w:val="24"/>
          <w:szCs w:val="24"/>
        </w:rPr>
        <w:t>Australian</w:t>
      </w:r>
      <w:r w:rsidR="00CC714E" w:rsidRPr="007B77E4">
        <w:rPr>
          <w:sz w:val="24"/>
          <w:szCs w:val="24"/>
        </w:rPr>
        <w:t xml:space="preserve"> </w:t>
      </w:r>
      <w:r w:rsidRPr="007B77E4">
        <w:rPr>
          <w:sz w:val="24"/>
          <w:szCs w:val="24"/>
        </w:rPr>
        <w:t xml:space="preserve">Government (“Commonwealth”), after which a decision will be made by the </w:t>
      </w:r>
      <w:r w:rsidR="00C80292">
        <w:rPr>
          <w:sz w:val="24"/>
          <w:szCs w:val="24"/>
        </w:rPr>
        <w:t>Department</w:t>
      </w:r>
      <w:r w:rsidR="00CF208D">
        <w:rPr>
          <w:sz w:val="24"/>
          <w:szCs w:val="24"/>
        </w:rPr>
        <w:t>.</w:t>
      </w:r>
      <w:r w:rsidR="00C80292">
        <w:rPr>
          <w:sz w:val="24"/>
          <w:szCs w:val="24"/>
        </w:rPr>
        <w:t xml:space="preserve"> </w:t>
      </w:r>
      <w:r w:rsidR="00CF208D">
        <w:rPr>
          <w:sz w:val="24"/>
          <w:szCs w:val="24"/>
        </w:rPr>
        <w:t>P</w:t>
      </w:r>
      <w:r w:rsidRPr="007B77E4">
        <w:rPr>
          <w:sz w:val="24"/>
          <w:szCs w:val="24"/>
        </w:rPr>
        <w:t xml:space="preserve">rojects may be made public by the </w:t>
      </w:r>
      <w:r w:rsidR="00C80292">
        <w:rPr>
          <w:sz w:val="24"/>
          <w:szCs w:val="24"/>
        </w:rPr>
        <w:t>Department</w:t>
      </w:r>
      <w:r w:rsidR="009B42E4" w:rsidRPr="007B77E4">
        <w:rPr>
          <w:sz w:val="24"/>
          <w:szCs w:val="24"/>
        </w:rPr>
        <w:t xml:space="preserve"> and the </w:t>
      </w:r>
      <w:r w:rsidR="00CC714E">
        <w:rPr>
          <w:sz w:val="24"/>
          <w:szCs w:val="24"/>
        </w:rPr>
        <w:t>Australian Government</w:t>
      </w:r>
      <w:r w:rsidRPr="007B77E4">
        <w:rPr>
          <w:sz w:val="24"/>
          <w:szCs w:val="24"/>
        </w:rPr>
        <w:t>.</w:t>
      </w:r>
      <w:r w:rsidRPr="00CF088B">
        <w:rPr>
          <w:color w:val="222222"/>
          <w:sz w:val="24"/>
          <w:szCs w:val="24"/>
        </w:rPr>
        <w:t xml:space="preserve">  </w:t>
      </w:r>
      <w:r w:rsidRPr="00CF088B">
        <w:rPr>
          <w:color w:val="222222"/>
          <w:sz w:val="24"/>
          <w:szCs w:val="24"/>
        </w:rPr>
        <w:br/>
      </w:r>
      <w:r w:rsidRPr="00CF088B">
        <w:rPr>
          <w:color w:val="222222"/>
          <w:sz w:val="24"/>
          <w:szCs w:val="24"/>
        </w:rPr>
        <w:br/>
        <w:t xml:space="preserve">The decision </w:t>
      </w:r>
      <w:r w:rsidR="00CF208D">
        <w:rPr>
          <w:color w:val="222222"/>
          <w:sz w:val="24"/>
          <w:szCs w:val="24"/>
        </w:rPr>
        <w:t xml:space="preserve">conveyed to the applicant </w:t>
      </w:r>
      <w:r w:rsidRPr="00CF088B">
        <w:rPr>
          <w:color w:val="222222"/>
          <w:sz w:val="24"/>
          <w:szCs w:val="24"/>
        </w:rPr>
        <w:t xml:space="preserve">is final and binding at every Stage and no </w:t>
      </w:r>
      <w:r w:rsidR="00CF208D">
        <w:rPr>
          <w:color w:val="222222"/>
          <w:sz w:val="24"/>
          <w:szCs w:val="24"/>
        </w:rPr>
        <w:t xml:space="preserve">further </w:t>
      </w:r>
      <w:r w:rsidRPr="00CF088B">
        <w:rPr>
          <w:color w:val="222222"/>
          <w:sz w:val="24"/>
          <w:szCs w:val="24"/>
        </w:rPr>
        <w:t>discussions will be entered into.</w:t>
      </w:r>
    </w:p>
    <w:p w:rsidR="00EF2978" w:rsidRPr="000366C0" w:rsidRDefault="00EF2978" w:rsidP="00EF2978">
      <w:pPr>
        <w:spacing w:after="240"/>
        <w:rPr>
          <w:b/>
          <w:sz w:val="24"/>
          <w:szCs w:val="24"/>
        </w:rPr>
      </w:pPr>
      <w:r w:rsidRPr="000366C0">
        <w:rPr>
          <w:b/>
          <w:sz w:val="24"/>
          <w:szCs w:val="24"/>
        </w:rPr>
        <w:t>All projects must be completed and operational by 30 June 2024</w:t>
      </w:r>
      <w:r w:rsidR="00301ED6">
        <w:rPr>
          <w:b/>
          <w:sz w:val="24"/>
          <w:szCs w:val="24"/>
        </w:rPr>
        <w:t xml:space="preserve"> </w:t>
      </w:r>
      <w:r w:rsidR="00301ED6" w:rsidRPr="00397D2A">
        <w:rPr>
          <w:b/>
          <w:sz w:val="24"/>
          <w:szCs w:val="24"/>
        </w:rPr>
        <w:t xml:space="preserve">and </w:t>
      </w:r>
      <w:r w:rsidR="00301ED6" w:rsidRPr="00355CBF">
        <w:rPr>
          <w:b/>
          <w:sz w:val="24"/>
          <w:szCs w:val="24"/>
        </w:rPr>
        <w:t xml:space="preserve">remain operational for a period of at least </w:t>
      </w:r>
      <w:r w:rsidR="00D05474">
        <w:rPr>
          <w:b/>
          <w:sz w:val="24"/>
          <w:szCs w:val="24"/>
        </w:rPr>
        <w:t>five</w:t>
      </w:r>
      <w:r w:rsidR="00301ED6" w:rsidRPr="00355CBF">
        <w:rPr>
          <w:b/>
          <w:sz w:val="24"/>
          <w:szCs w:val="24"/>
        </w:rPr>
        <w:t xml:space="preserve"> years following completion of the project.</w:t>
      </w:r>
    </w:p>
    <w:p w:rsidR="00FA5019" w:rsidRPr="00CF088B" w:rsidRDefault="00FA5019" w:rsidP="000304E8">
      <w:pPr>
        <w:autoSpaceDE w:val="0"/>
        <w:autoSpaceDN w:val="0"/>
        <w:adjustRightInd w:val="0"/>
        <w:spacing w:after="240"/>
        <w:rPr>
          <w:bCs/>
          <w:sz w:val="24"/>
          <w:szCs w:val="24"/>
        </w:rPr>
      </w:pPr>
      <w:r w:rsidRPr="00CF088B">
        <w:rPr>
          <w:bCs/>
          <w:sz w:val="24"/>
          <w:szCs w:val="24"/>
        </w:rPr>
        <w:t xml:space="preserve">The </w:t>
      </w:r>
      <w:r w:rsidR="00EF2978" w:rsidRPr="002B2440">
        <w:rPr>
          <w:bCs/>
          <w:sz w:val="24"/>
          <w:szCs w:val="24"/>
        </w:rPr>
        <w:t>Department</w:t>
      </w:r>
      <w:r w:rsidR="00C80292">
        <w:rPr>
          <w:bCs/>
          <w:sz w:val="24"/>
          <w:szCs w:val="24"/>
        </w:rPr>
        <w:t xml:space="preserve"> </w:t>
      </w:r>
      <w:r w:rsidR="003F3148" w:rsidRPr="00CF088B">
        <w:rPr>
          <w:bCs/>
          <w:sz w:val="24"/>
          <w:szCs w:val="24"/>
        </w:rPr>
        <w:t>reserves the right to</w:t>
      </w:r>
      <w:r w:rsidR="00F96724">
        <w:rPr>
          <w:bCs/>
          <w:sz w:val="24"/>
          <w:szCs w:val="24"/>
        </w:rPr>
        <w:t xml:space="preserve"> offer</w:t>
      </w:r>
      <w:r w:rsidR="003F3148" w:rsidRPr="00CF088B">
        <w:rPr>
          <w:bCs/>
          <w:sz w:val="24"/>
          <w:szCs w:val="24"/>
        </w:rPr>
        <w:t xml:space="preserve"> grant funding in a different amount</w:t>
      </w:r>
      <w:r w:rsidRPr="00CF088B">
        <w:rPr>
          <w:bCs/>
          <w:sz w:val="24"/>
          <w:szCs w:val="24"/>
        </w:rPr>
        <w:t xml:space="preserve"> to that requested and upon such</w:t>
      </w:r>
      <w:r w:rsidR="00EF2978">
        <w:rPr>
          <w:bCs/>
          <w:sz w:val="24"/>
          <w:szCs w:val="24"/>
        </w:rPr>
        <w:t xml:space="preserve"> term</w:t>
      </w:r>
      <w:r w:rsidRPr="00CF088B">
        <w:rPr>
          <w:bCs/>
          <w:sz w:val="24"/>
          <w:szCs w:val="24"/>
        </w:rPr>
        <w:t xml:space="preserve">s and conditions of the </w:t>
      </w:r>
      <w:r w:rsidR="00CC714E">
        <w:rPr>
          <w:bCs/>
          <w:sz w:val="24"/>
          <w:szCs w:val="24"/>
        </w:rPr>
        <w:t>f</w:t>
      </w:r>
      <w:r w:rsidRPr="00CF088B">
        <w:rPr>
          <w:bCs/>
          <w:sz w:val="24"/>
          <w:szCs w:val="24"/>
        </w:rPr>
        <w:t xml:space="preserve">unding </w:t>
      </w:r>
      <w:r w:rsidR="00CC714E">
        <w:rPr>
          <w:bCs/>
          <w:sz w:val="24"/>
          <w:szCs w:val="24"/>
        </w:rPr>
        <w:t>a</w:t>
      </w:r>
      <w:r w:rsidRPr="00CF088B">
        <w:rPr>
          <w:bCs/>
          <w:sz w:val="24"/>
          <w:szCs w:val="24"/>
        </w:rPr>
        <w:t>greement that it determines in its absolute discretion.</w:t>
      </w:r>
      <w:r w:rsidR="003F3148" w:rsidRPr="00CF088B">
        <w:rPr>
          <w:bCs/>
          <w:sz w:val="24"/>
          <w:szCs w:val="24"/>
        </w:rPr>
        <w:t xml:space="preserve"> </w:t>
      </w:r>
    </w:p>
    <w:p w:rsidR="008F3410" w:rsidRPr="005675E3" w:rsidRDefault="005675E3" w:rsidP="003C5FCE">
      <w:pPr>
        <w:pStyle w:val="Heading1"/>
        <w:spacing w:before="360"/>
        <w:rPr>
          <w:lang w:eastAsia="en-AU"/>
        </w:rPr>
      </w:pPr>
      <w:bookmarkStart w:id="14" w:name="_Toc118897475"/>
      <w:r>
        <w:rPr>
          <w:lang w:eastAsia="en-AU"/>
        </w:rPr>
        <w:lastRenderedPageBreak/>
        <w:t xml:space="preserve">7. </w:t>
      </w:r>
      <w:r>
        <w:rPr>
          <w:lang w:eastAsia="en-AU"/>
        </w:rPr>
        <w:tab/>
      </w:r>
      <w:r w:rsidR="008F3410" w:rsidRPr="005675E3">
        <w:rPr>
          <w:lang w:eastAsia="en-AU"/>
        </w:rPr>
        <w:t>Assessment Criteria</w:t>
      </w:r>
      <w:bookmarkEnd w:id="14"/>
      <w:r w:rsidR="008F3410" w:rsidRPr="005675E3">
        <w:rPr>
          <w:lang w:eastAsia="en-AU"/>
        </w:rPr>
        <w:t xml:space="preserve"> </w:t>
      </w:r>
    </w:p>
    <w:p w:rsidR="007D3C83" w:rsidRPr="0040698F" w:rsidRDefault="007D3C83" w:rsidP="00E34E97">
      <w:pPr>
        <w:spacing w:after="240"/>
        <w:rPr>
          <w:sz w:val="24"/>
          <w:szCs w:val="24"/>
        </w:rPr>
      </w:pPr>
      <w:r w:rsidRPr="0040698F">
        <w:rPr>
          <w:sz w:val="24"/>
          <w:szCs w:val="24"/>
        </w:rPr>
        <w:t xml:space="preserve">Proposals will be assessed </w:t>
      </w:r>
      <w:r w:rsidR="004129A0">
        <w:rPr>
          <w:sz w:val="24"/>
          <w:szCs w:val="24"/>
        </w:rPr>
        <w:t xml:space="preserve">by the Panel </w:t>
      </w:r>
      <w:r w:rsidRPr="0040698F">
        <w:rPr>
          <w:sz w:val="24"/>
          <w:szCs w:val="24"/>
        </w:rPr>
        <w:t xml:space="preserve">against the following criteria at the assessment stage. The information required to respond to each criteria will be included in the application form. </w:t>
      </w:r>
    </w:p>
    <w:tbl>
      <w:tblPr>
        <w:tblStyle w:val="TableGrid"/>
        <w:tblW w:w="0" w:type="auto"/>
        <w:tblLook w:val="04A0" w:firstRow="1" w:lastRow="0" w:firstColumn="1" w:lastColumn="0" w:noHBand="0" w:noVBand="1"/>
      </w:tblPr>
      <w:tblGrid>
        <w:gridCol w:w="1696"/>
        <w:gridCol w:w="6946"/>
        <w:gridCol w:w="1666"/>
      </w:tblGrid>
      <w:tr w:rsidR="008F3410" w:rsidRPr="005207F9" w:rsidTr="00173EE9">
        <w:tc>
          <w:tcPr>
            <w:tcW w:w="1696" w:type="dxa"/>
            <w:vAlign w:val="center"/>
          </w:tcPr>
          <w:p w:rsidR="008F3410" w:rsidRPr="0040698F" w:rsidRDefault="008F3410" w:rsidP="005675E3">
            <w:pPr>
              <w:spacing w:before="120" w:after="120"/>
              <w:rPr>
                <w:b/>
                <w:sz w:val="24"/>
                <w:szCs w:val="24"/>
              </w:rPr>
            </w:pPr>
            <w:r w:rsidRPr="0040698F">
              <w:rPr>
                <w:b/>
                <w:sz w:val="24"/>
                <w:szCs w:val="24"/>
              </w:rPr>
              <w:t>Criterion #</w:t>
            </w:r>
          </w:p>
        </w:tc>
        <w:tc>
          <w:tcPr>
            <w:tcW w:w="6946" w:type="dxa"/>
            <w:vAlign w:val="center"/>
          </w:tcPr>
          <w:p w:rsidR="008F3410" w:rsidRPr="0040698F" w:rsidRDefault="008F3410" w:rsidP="005675E3">
            <w:pPr>
              <w:spacing w:before="120" w:after="120"/>
              <w:rPr>
                <w:b/>
                <w:sz w:val="24"/>
                <w:szCs w:val="24"/>
              </w:rPr>
            </w:pPr>
            <w:r w:rsidRPr="0040698F">
              <w:rPr>
                <w:b/>
                <w:sz w:val="24"/>
                <w:szCs w:val="24"/>
              </w:rPr>
              <w:t xml:space="preserve">Criteria </w:t>
            </w:r>
          </w:p>
        </w:tc>
        <w:tc>
          <w:tcPr>
            <w:tcW w:w="1666" w:type="dxa"/>
            <w:vAlign w:val="center"/>
          </w:tcPr>
          <w:p w:rsidR="008F3410" w:rsidRPr="0040698F" w:rsidRDefault="008F3410" w:rsidP="005675E3">
            <w:pPr>
              <w:spacing w:before="120" w:after="120"/>
              <w:rPr>
                <w:b/>
                <w:sz w:val="24"/>
                <w:szCs w:val="24"/>
              </w:rPr>
            </w:pPr>
            <w:r w:rsidRPr="0040698F">
              <w:rPr>
                <w:b/>
                <w:sz w:val="24"/>
                <w:szCs w:val="24"/>
              </w:rPr>
              <w:t xml:space="preserve">Weighting </w:t>
            </w:r>
          </w:p>
        </w:tc>
      </w:tr>
      <w:tr w:rsidR="00870A45" w:rsidRPr="005207F9" w:rsidTr="00580772">
        <w:tc>
          <w:tcPr>
            <w:tcW w:w="1696" w:type="dxa"/>
          </w:tcPr>
          <w:p w:rsidR="00870A45" w:rsidRPr="0040698F" w:rsidRDefault="00870A45" w:rsidP="00580772">
            <w:pPr>
              <w:spacing w:after="240"/>
              <w:rPr>
                <w:sz w:val="24"/>
                <w:szCs w:val="24"/>
              </w:rPr>
            </w:pPr>
            <w:r>
              <w:rPr>
                <w:sz w:val="24"/>
                <w:szCs w:val="24"/>
              </w:rPr>
              <w:t>1</w:t>
            </w:r>
          </w:p>
        </w:tc>
        <w:tc>
          <w:tcPr>
            <w:tcW w:w="6946" w:type="dxa"/>
          </w:tcPr>
          <w:p w:rsidR="00870A45" w:rsidRPr="0040698F" w:rsidRDefault="00870A45" w:rsidP="00580772">
            <w:pPr>
              <w:spacing w:after="120"/>
              <w:rPr>
                <w:b/>
                <w:sz w:val="24"/>
                <w:szCs w:val="24"/>
              </w:rPr>
            </w:pPr>
            <w:r w:rsidRPr="0040698F">
              <w:rPr>
                <w:b/>
                <w:sz w:val="24"/>
                <w:szCs w:val="24"/>
              </w:rPr>
              <w:t>Increase in processing capacity and use of one or more COAG waste ban materials</w:t>
            </w:r>
            <w:r>
              <w:rPr>
                <w:b/>
                <w:sz w:val="24"/>
                <w:szCs w:val="24"/>
              </w:rPr>
              <w:t xml:space="preserve"> including:</w:t>
            </w:r>
          </w:p>
          <w:p w:rsidR="00870A45" w:rsidRPr="007909FA" w:rsidRDefault="00870A45" w:rsidP="00A80916">
            <w:pPr>
              <w:pStyle w:val="ListParagraph"/>
              <w:numPr>
                <w:ilvl w:val="0"/>
                <w:numId w:val="14"/>
              </w:numPr>
              <w:rPr>
                <w:sz w:val="24"/>
                <w:szCs w:val="24"/>
              </w:rPr>
            </w:pPr>
            <w:r w:rsidRPr="007909FA">
              <w:rPr>
                <w:sz w:val="24"/>
                <w:szCs w:val="24"/>
              </w:rPr>
              <w:t>increasing the value of new products produced from the processed or remanufactured waste</w:t>
            </w:r>
          </w:p>
          <w:p w:rsidR="00870A45" w:rsidRPr="0040698F" w:rsidRDefault="00870A45" w:rsidP="00A80916">
            <w:pPr>
              <w:pStyle w:val="ListParagraph"/>
              <w:numPr>
                <w:ilvl w:val="0"/>
                <w:numId w:val="14"/>
              </w:numPr>
              <w:rPr>
                <w:sz w:val="24"/>
                <w:szCs w:val="24"/>
              </w:rPr>
            </w:pPr>
            <w:r w:rsidRPr="0040698F">
              <w:rPr>
                <w:sz w:val="24"/>
                <w:szCs w:val="24"/>
              </w:rPr>
              <w:t>development of waste industry supply chain and secondary markets</w:t>
            </w:r>
          </w:p>
          <w:p w:rsidR="00870A45" w:rsidRPr="0040698F" w:rsidRDefault="00870A45" w:rsidP="00A80916">
            <w:pPr>
              <w:pStyle w:val="ListParagraph"/>
              <w:numPr>
                <w:ilvl w:val="0"/>
                <w:numId w:val="14"/>
              </w:numPr>
              <w:rPr>
                <w:sz w:val="24"/>
                <w:szCs w:val="24"/>
              </w:rPr>
            </w:pPr>
            <w:r w:rsidRPr="0040698F">
              <w:rPr>
                <w:sz w:val="24"/>
                <w:szCs w:val="24"/>
              </w:rPr>
              <w:t>access to offtake markets similarly demonstrated through Heads of Agreement, Letters of Support, Memorandums of Understanding or similar</w:t>
            </w:r>
          </w:p>
        </w:tc>
        <w:tc>
          <w:tcPr>
            <w:tcW w:w="1666" w:type="dxa"/>
          </w:tcPr>
          <w:p w:rsidR="00870A45" w:rsidRPr="0040698F" w:rsidRDefault="00870A45" w:rsidP="00580772">
            <w:pPr>
              <w:spacing w:after="240"/>
              <w:rPr>
                <w:sz w:val="24"/>
                <w:szCs w:val="24"/>
              </w:rPr>
            </w:pPr>
            <w:r w:rsidRPr="0040698F">
              <w:rPr>
                <w:sz w:val="24"/>
                <w:szCs w:val="24"/>
              </w:rPr>
              <w:t>30%</w:t>
            </w:r>
          </w:p>
        </w:tc>
      </w:tr>
      <w:tr w:rsidR="008F3410" w:rsidRPr="005207F9" w:rsidTr="00173EE9">
        <w:tc>
          <w:tcPr>
            <w:tcW w:w="1696" w:type="dxa"/>
          </w:tcPr>
          <w:p w:rsidR="008F3410" w:rsidRPr="0040698F" w:rsidRDefault="00870A45" w:rsidP="00732628">
            <w:pPr>
              <w:spacing w:after="240"/>
              <w:rPr>
                <w:sz w:val="24"/>
                <w:szCs w:val="24"/>
              </w:rPr>
            </w:pPr>
            <w:r>
              <w:rPr>
                <w:sz w:val="24"/>
                <w:szCs w:val="24"/>
              </w:rPr>
              <w:t>2</w:t>
            </w:r>
          </w:p>
        </w:tc>
        <w:tc>
          <w:tcPr>
            <w:tcW w:w="6946" w:type="dxa"/>
          </w:tcPr>
          <w:p w:rsidR="008F3410" w:rsidRPr="0040698F" w:rsidRDefault="005675E3" w:rsidP="00732628">
            <w:pPr>
              <w:spacing w:after="120"/>
              <w:rPr>
                <w:b/>
                <w:sz w:val="24"/>
                <w:szCs w:val="24"/>
              </w:rPr>
            </w:pPr>
            <w:r w:rsidRPr="0040698F">
              <w:rPr>
                <w:b/>
                <w:sz w:val="24"/>
                <w:szCs w:val="24"/>
              </w:rPr>
              <w:t xml:space="preserve">Benefits of project to creating a circular economy and supporting </w:t>
            </w:r>
            <w:r w:rsidR="006B2841">
              <w:rPr>
                <w:b/>
                <w:sz w:val="24"/>
                <w:szCs w:val="24"/>
              </w:rPr>
              <w:t xml:space="preserve">the </w:t>
            </w:r>
            <w:r w:rsidR="006B2841" w:rsidRPr="0040698F">
              <w:rPr>
                <w:b/>
                <w:sz w:val="24"/>
                <w:szCs w:val="24"/>
              </w:rPr>
              <w:t>Australian Government National Waste Action Plan</w:t>
            </w:r>
            <w:r w:rsidR="006B2841">
              <w:rPr>
                <w:b/>
                <w:sz w:val="24"/>
                <w:szCs w:val="24"/>
              </w:rPr>
              <w:t xml:space="preserve"> </w:t>
            </w:r>
            <w:r w:rsidR="006B2841" w:rsidRPr="0040698F">
              <w:rPr>
                <w:b/>
                <w:sz w:val="24"/>
                <w:szCs w:val="24"/>
              </w:rPr>
              <w:t xml:space="preserve">and </w:t>
            </w:r>
            <w:r w:rsidR="006B2841">
              <w:rPr>
                <w:b/>
                <w:sz w:val="24"/>
                <w:szCs w:val="24"/>
              </w:rPr>
              <w:t xml:space="preserve">the </w:t>
            </w:r>
            <w:r w:rsidRPr="0040698F">
              <w:rPr>
                <w:b/>
                <w:sz w:val="24"/>
                <w:szCs w:val="24"/>
              </w:rPr>
              <w:t xml:space="preserve">NT Circular Economy Strategy </w:t>
            </w:r>
            <w:r w:rsidR="00BB221F">
              <w:rPr>
                <w:b/>
                <w:sz w:val="24"/>
                <w:szCs w:val="24"/>
              </w:rPr>
              <w:t>including:</w:t>
            </w:r>
          </w:p>
          <w:p w:rsidR="005675E3" w:rsidRPr="0005569A" w:rsidRDefault="00162781" w:rsidP="00A80916">
            <w:pPr>
              <w:pStyle w:val="ListParagraph"/>
              <w:numPr>
                <w:ilvl w:val="0"/>
                <w:numId w:val="14"/>
              </w:numPr>
              <w:rPr>
                <w:b/>
                <w:sz w:val="24"/>
                <w:szCs w:val="24"/>
              </w:rPr>
            </w:pPr>
            <w:r w:rsidRPr="0040698F">
              <w:rPr>
                <w:sz w:val="24"/>
                <w:szCs w:val="24"/>
              </w:rPr>
              <w:t xml:space="preserve">achieve </w:t>
            </w:r>
            <w:r w:rsidR="006B2841" w:rsidRPr="0040698F">
              <w:rPr>
                <w:sz w:val="24"/>
                <w:szCs w:val="24"/>
              </w:rPr>
              <w:t xml:space="preserve">Australian </w:t>
            </w:r>
            <w:r w:rsidR="006B2841">
              <w:rPr>
                <w:sz w:val="24"/>
                <w:szCs w:val="24"/>
              </w:rPr>
              <w:t xml:space="preserve">Government </w:t>
            </w:r>
            <w:r w:rsidR="006B2841" w:rsidRPr="0040698F">
              <w:rPr>
                <w:sz w:val="24"/>
                <w:szCs w:val="24"/>
              </w:rPr>
              <w:t xml:space="preserve">and </w:t>
            </w:r>
            <w:r w:rsidRPr="0040698F">
              <w:rPr>
                <w:sz w:val="24"/>
                <w:szCs w:val="24"/>
              </w:rPr>
              <w:t xml:space="preserve">Northern Territory Government diversion targets for the waste streams of </w:t>
            </w:r>
            <w:r w:rsidRPr="0005569A">
              <w:rPr>
                <w:b/>
                <w:sz w:val="24"/>
                <w:szCs w:val="24"/>
              </w:rPr>
              <w:t xml:space="preserve">tyres, glass, plastic and paper. </w:t>
            </w:r>
          </w:p>
          <w:p w:rsidR="00732628" w:rsidRPr="0040698F" w:rsidRDefault="00732628" w:rsidP="00A80916">
            <w:pPr>
              <w:pStyle w:val="ListParagraph"/>
              <w:numPr>
                <w:ilvl w:val="0"/>
                <w:numId w:val="14"/>
              </w:numPr>
              <w:rPr>
                <w:sz w:val="24"/>
                <w:szCs w:val="24"/>
              </w:rPr>
            </w:pPr>
            <w:r w:rsidRPr="0040698F">
              <w:rPr>
                <w:sz w:val="24"/>
                <w:szCs w:val="24"/>
              </w:rPr>
              <w:t>acceleration of private sector investment</w:t>
            </w:r>
          </w:p>
          <w:p w:rsidR="00FC2C6D" w:rsidRPr="0040698F" w:rsidRDefault="00FC2C6D" w:rsidP="00A80916">
            <w:pPr>
              <w:pStyle w:val="ListParagraph"/>
              <w:numPr>
                <w:ilvl w:val="0"/>
                <w:numId w:val="14"/>
              </w:numPr>
              <w:rPr>
                <w:sz w:val="24"/>
                <w:szCs w:val="24"/>
              </w:rPr>
            </w:pPr>
            <w:r w:rsidRPr="0040698F">
              <w:rPr>
                <w:sz w:val="24"/>
                <w:szCs w:val="24"/>
              </w:rPr>
              <w:t>demonstrated long-term sustainability of the new operation</w:t>
            </w:r>
          </w:p>
          <w:p w:rsidR="00732628" w:rsidRPr="005207F9" w:rsidRDefault="00BA57EA" w:rsidP="00A80916">
            <w:pPr>
              <w:pStyle w:val="ListParagraph"/>
              <w:numPr>
                <w:ilvl w:val="0"/>
                <w:numId w:val="14"/>
              </w:numPr>
              <w:rPr>
                <w:sz w:val="24"/>
                <w:szCs w:val="24"/>
              </w:rPr>
            </w:pPr>
            <w:r w:rsidRPr="0040698F">
              <w:rPr>
                <w:sz w:val="24"/>
                <w:szCs w:val="24"/>
              </w:rPr>
              <w:t>t</w:t>
            </w:r>
            <w:r w:rsidR="00732628" w:rsidRPr="0040698F">
              <w:rPr>
                <w:sz w:val="24"/>
                <w:szCs w:val="24"/>
              </w:rPr>
              <w:t>he contribution to transitioning the NT towards a circular economy</w:t>
            </w:r>
            <w:r w:rsidRPr="0040698F">
              <w:rPr>
                <w:sz w:val="24"/>
                <w:szCs w:val="24"/>
              </w:rPr>
              <w:t xml:space="preserve">. </w:t>
            </w:r>
            <w:r w:rsidR="00732628" w:rsidRPr="0040698F">
              <w:rPr>
                <w:sz w:val="24"/>
                <w:szCs w:val="24"/>
              </w:rPr>
              <w:t xml:space="preserve"> </w:t>
            </w:r>
          </w:p>
        </w:tc>
        <w:tc>
          <w:tcPr>
            <w:tcW w:w="1666" w:type="dxa"/>
          </w:tcPr>
          <w:p w:rsidR="008F3410" w:rsidRPr="0040698F" w:rsidRDefault="007C2BEC" w:rsidP="00E41EA5">
            <w:pPr>
              <w:spacing w:after="240"/>
              <w:rPr>
                <w:color w:val="FF0000"/>
                <w:sz w:val="24"/>
                <w:szCs w:val="24"/>
              </w:rPr>
            </w:pPr>
            <w:r w:rsidRPr="0040698F">
              <w:rPr>
                <w:sz w:val="24"/>
                <w:szCs w:val="24"/>
              </w:rPr>
              <w:t>2</w:t>
            </w:r>
            <w:r w:rsidR="00E41EA5" w:rsidRPr="0040698F">
              <w:rPr>
                <w:sz w:val="24"/>
                <w:szCs w:val="24"/>
              </w:rPr>
              <w:t>0</w:t>
            </w:r>
            <w:r w:rsidR="005675E3" w:rsidRPr="0040698F">
              <w:rPr>
                <w:sz w:val="24"/>
                <w:szCs w:val="24"/>
              </w:rPr>
              <w:t>%</w:t>
            </w:r>
          </w:p>
        </w:tc>
      </w:tr>
      <w:tr w:rsidR="008F3410" w:rsidRPr="005207F9" w:rsidTr="00173EE9">
        <w:tc>
          <w:tcPr>
            <w:tcW w:w="1696" w:type="dxa"/>
          </w:tcPr>
          <w:p w:rsidR="008F3410" w:rsidRPr="0040698F" w:rsidRDefault="0084043A" w:rsidP="00887F0D">
            <w:pPr>
              <w:spacing w:after="240"/>
              <w:rPr>
                <w:sz w:val="24"/>
                <w:szCs w:val="24"/>
              </w:rPr>
            </w:pPr>
            <w:r w:rsidRPr="0040698F">
              <w:rPr>
                <w:sz w:val="24"/>
                <w:szCs w:val="24"/>
              </w:rPr>
              <w:t>3</w:t>
            </w:r>
          </w:p>
        </w:tc>
        <w:tc>
          <w:tcPr>
            <w:tcW w:w="6946" w:type="dxa"/>
          </w:tcPr>
          <w:p w:rsidR="008F3410" w:rsidRPr="0040698F" w:rsidRDefault="005675E3" w:rsidP="00887F0D">
            <w:pPr>
              <w:spacing w:after="120"/>
              <w:rPr>
                <w:b/>
                <w:sz w:val="24"/>
                <w:szCs w:val="24"/>
              </w:rPr>
            </w:pPr>
            <w:r w:rsidRPr="0040698F">
              <w:rPr>
                <w:b/>
                <w:sz w:val="24"/>
                <w:szCs w:val="24"/>
              </w:rPr>
              <w:t>Capability, capacity and resources and experience to deliver the project</w:t>
            </w:r>
            <w:r w:rsidR="00BB221F">
              <w:rPr>
                <w:b/>
                <w:sz w:val="24"/>
                <w:szCs w:val="24"/>
              </w:rPr>
              <w:t xml:space="preserve"> including:</w:t>
            </w:r>
          </w:p>
          <w:p w:rsidR="00F96724" w:rsidRDefault="00F96724" w:rsidP="00A3141A">
            <w:pPr>
              <w:pStyle w:val="ListParagraph"/>
              <w:numPr>
                <w:ilvl w:val="0"/>
                <w:numId w:val="14"/>
              </w:numPr>
              <w:ind w:left="714" w:hanging="357"/>
              <w:rPr>
                <w:sz w:val="24"/>
                <w:szCs w:val="24"/>
              </w:rPr>
            </w:pPr>
            <w:r>
              <w:rPr>
                <w:sz w:val="24"/>
                <w:szCs w:val="24"/>
              </w:rPr>
              <w:t xml:space="preserve">corporate and financial stability </w:t>
            </w:r>
            <w:r w:rsidR="002534C3">
              <w:rPr>
                <w:sz w:val="24"/>
                <w:szCs w:val="24"/>
              </w:rPr>
              <w:t>of applicant and satisfactory history of good governance</w:t>
            </w:r>
          </w:p>
          <w:p w:rsidR="00A3141A" w:rsidRPr="00414556" w:rsidRDefault="00A3141A" w:rsidP="00A3141A">
            <w:pPr>
              <w:pStyle w:val="ListBulletIndent"/>
              <w:numPr>
                <w:ilvl w:val="0"/>
                <w:numId w:val="14"/>
              </w:numPr>
              <w:tabs>
                <w:tab w:val="clear" w:pos="357"/>
                <w:tab w:val="left" w:pos="316"/>
              </w:tabs>
              <w:spacing w:before="0" w:after="120"/>
              <w:ind w:left="714" w:hanging="357"/>
              <w:rPr>
                <w:rFonts w:asciiTheme="minorHAnsi" w:hAnsiTheme="minorHAnsi" w:cs="Arial"/>
                <w:color w:val="auto"/>
                <w:szCs w:val="20"/>
              </w:rPr>
            </w:pPr>
            <w:r w:rsidRPr="00414556">
              <w:rPr>
                <w:rFonts w:asciiTheme="minorHAnsi" w:hAnsiTheme="minorHAnsi" w:cs="Arial"/>
                <w:color w:val="auto"/>
                <w:szCs w:val="20"/>
              </w:rPr>
              <w:t>access to feedstocks demonstrated through Heads of Agreement, Letters of Support, Memorandum of Understanding or similar</w:t>
            </w:r>
          </w:p>
          <w:p w:rsidR="00A8545F" w:rsidRPr="0040698F" w:rsidRDefault="00A8545F" w:rsidP="00A3141A">
            <w:pPr>
              <w:pStyle w:val="ListParagraph"/>
              <w:numPr>
                <w:ilvl w:val="0"/>
                <w:numId w:val="14"/>
              </w:numPr>
              <w:rPr>
                <w:sz w:val="24"/>
                <w:szCs w:val="24"/>
              </w:rPr>
            </w:pPr>
            <w:r w:rsidRPr="0040698F">
              <w:rPr>
                <w:sz w:val="24"/>
                <w:szCs w:val="24"/>
              </w:rPr>
              <w:t xml:space="preserve">access to secure and confirmed financial </w:t>
            </w:r>
            <w:r w:rsidR="004129A0">
              <w:rPr>
                <w:sz w:val="24"/>
                <w:szCs w:val="24"/>
              </w:rPr>
              <w:t>re</w:t>
            </w:r>
            <w:r w:rsidRPr="0040698F">
              <w:rPr>
                <w:sz w:val="24"/>
                <w:szCs w:val="24"/>
              </w:rPr>
              <w:t>sources to deliver the project</w:t>
            </w:r>
          </w:p>
          <w:p w:rsidR="0084043A" w:rsidRPr="0040698F" w:rsidRDefault="00A8545F" w:rsidP="00A3141A">
            <w:pPr>
              <w:pStyle w:val="ListParagraph"/>
              <w:numPr>
                <w:ilvl w:val="0"/>
                <w:numId w:val="14"/>
              </w:numPr>
              <w:rPr>
                <w:sz w:val="24"/>
                <w:szCs w:val="24"/>
              </w:rPr>
            </w:pPr>
            <w:r w:rsidRPr="0040698F">
              <w:rPr>
                <w:sz w:val="24"/>
                <w:szCs w:val="24"/>
              </w:rPr>
              <w:t>ability to secure all necessary planning and environmental approvals and other licences / permits as required within a reasonable timeframe</w:t>
            </w:r>
          </w:p>
          <w:p w:rsidR="00D85B46" w:rsidRPr="0040698F" w:rsidRDefault="00D85B46" w:rsidP="00A3141A">
            <w:pPr>
              <w:pStyle w:val="ListParagraph"/>
              <w:numPr>
                <w:ilvl w:val="0"/>
                <w:numId w:val="14"/>
              </w:numPr>
              <w:rPr>
                <w:sz w:val="24"/>
                <w:szCs w:val="24"/>
              </w:rPr>
            </w:pPr>
            <w:r w:rsidRPr="0040698F">
              <w:rPr>
                <w:sz w:val="24"/>
                <w:szCs w:val="24"/>
              </w:rPr>
              <w:t>demonstrated experience and capability in delivering similar projects</w:t>
            </w:r>
          </w:p>
          <w:p w:rsidR="00B9024D" w:rsidRPr="0040698F" w:rsidRDefault="00B9024D" w:rsidP="00A3141A">
            <w:pPr>
              <w:pStyle w:val="ListParagraph"/>
              <w:numPr>
                <w:ilvl w:val="0"/>
                <w:numId w:val="14"/>
              </w:numPr>
              <w:rPr>
                <w:sz w:val="24"/>
                <w:szCs w:val="24"/>
              </w:rPr>
            </w:pPr>
            <w:r w:rsidRPr="0040698F">
              <w:rPr>
                <w:sz w:val="24"/>
                <w:szCs w:val="24"/>
              </w:rPr>
              <w:lastRenderedPageBreak/>
              <w:t xml:space="preserve">comprehensive project plan </w:t>
            </w:r>
          </w:p>
          <w:p w:rsidR="00B9024D" w:rsidRPr="0040698F" w:rsidRDefault="00B9024D" w:rsidP="00A3141A">
            <w:pPr>
              <w:pStyle w:val="ListParagraph"/>
              <w:numPr>
                <w:ilvl w:val="0"/>
                <w:numId w:val="14"/>
              </w:numPr>
              <w:rPr>
                <w:sz w:val="24"/>
                <w:szCs w:val="24"/>
              </w:rPr>
            </w:pPr>
            <w:r w:rsidRPr="0040698F">
              <w:rPr>
                <w:sz w:val="24"/>
                <w:szCs w:val="24"/>
              </w:rPr>
              <w:t>well considered risk identification and management plan</w:t>
            </w:r>
          </w:p>
          <w:p w:rsidR="00A8545F" w:rsidRDefault="00A8545F" w:rsidP="00A3141A">
            <w:pPr>
              <w:pStyle w:val="ListParagraph"/>
              <w:numPr>
                <w:ilvl w:val="0"/>
                <w:numId w:val="14"/>
              </w:numPr>
              <w:rPr>
                <w:sz w:val="24"/>
                <w:szCs w:val="24"/>
              </w:rPr>
            </w:pPr>
            <w:r w:rsidRPr="0040698F">
              <w:rPr>
                <w:sz w:val="24"/>
                <w:szCs w:val="24"/>
              </w:rPr>
              <w:t>demonstrat</w:t>
            </w:r>
            <w:r w:rsidR="005B535E">
              <w:rPr>
                <w:sz w:val="24"/>
                <w:szCs w:val="24"/>
              </w:rPr>
              <w:t>ed</w:t>
            </w:r>
            <w:r w:rsidRPr="0040698F">
              <w:rPr>
                <w:sz w:val="24"/>
                <w:szCs w:val="24"/>
              </w:rPr>
              <w:t xml:space="preserve"> regulatory compliance</w:t>
            </w:r>
          </w:p>
          <w:p w:rsidR="008847CA" w:rsidRPr="0040698F" w:rsidRDefault="008847CA" w:rsidP="00A3141A">
            <w:pPr>
              <w:pStyle w:val="ListParagraph"/>
              <w:numPr>
                <w:ilvl w:val="0"/>
                <w:numId w:val="14"/>
              </w:numPr>
              <w:rPr>
                <w:sz w:val="24"/>
                <w:szCs w:val="24"/>
              </w:rPr>
            </w:pPr>
            <w:r w:rsidRPr="005C0F6C">
              <w:rPr>
                <w:sz w:val="24"/>
                <w:szCs w:val="24"/>
              </w:rPr>
              <w:t xml:space="preserve">demonstrated recording and </w:t>
            </w:r>
            <w:r w:rsidR="005D4C5B" w:rsidRPr="005C0F6C">
              <w:rPr>
                <w:sz w:val="24"/>
                <w:szCs w:val="24"/>
              </w:rPr>
              <w:t xml:space="preserve">reporting systems to </w:t>
            </w:r>
            <w:r w:rsidRPr="005C0F6C">
              <w:rPr>
                <w:sz w:val="24"/>
                <w:szCs w:val="24"/>
              </w:rPr>
              <w:t>measure</w:t>
            </w:r>
            <w:r w:rsidR="005D4C5B" w:rsidRPr="005C0F6C">
              <w:rPr>
                <w:sz w:val="24"/>
                <w:szCs w:val="24"/>
              </w:rPr>
              <w:t xml:space="preserve"> outcomes</w:t>
            </w:r>
          </w:p>
        </w:tc>
        <w:tc>
          <w:tcPr>
            <w:tcW w:w="1666" w:type="dxa"/>
          </w:tcPr>
          <w:p w:rsidR="008F3410" w:rsidRPr="0040698F" w:rsidRDefault="00603130" w:rsidP="00887F0D">
            <w:pPr>
              <w:spacing w:after="240"/>
              <w:rPr>
                <w:sz w:val="24"/>
                <w:szCs w:val="24"/>
              </w:rPr>
            </w:pPr>
            <w:r w:rsidRPr="0040698F">
              <w:rPr>
                <w:sz w:val="24"/>
                <w:szCs w:val="24"/>
              </w:rPr>
              <w:lastRenderedPageBreak/>
              <w:t>20</w:t>
            </w:r>
            <w:r w:rsidR="00887F0D" w:rsidRPr="0040698F">
              <w:rPr>
                <w:sz w:val="24"/>
                <w:szCs w:val="24"/>
              </w:rPr>
              <w:t>%</w:t>
            </w:r>
          </w:p>
        </w:tc>
      </w:tr>
      <w:tr w:rsidR="00870A45" w:rsidRPr="005207F9" w:rsidTr="00580772">
        <w:tc>
          <w:tcPr>
            <w:tcW w:w="1696" w:type="dxa"/>
          </w:tcPr>
          <w:p w:rsidR="00870A45" w:rsidRPr="0040698F" w:rsidRDefault="00870A45" w:rsidP="00580772">
            <w:pPr>
              <w:spacing w:after="240"/>
              <w:rPr>
                <w:sz w:val="24"/>
                <w:szCs w:val="24"/>
              </w:rPr>
            </w:pPr>
            <w:r>
              <w:rPr>
                <w:sz w:val="24"/>
                <w:szCs w:val="24"/>
              </w:rPr>
              <w:t>4</w:t>
            </w:r>
          </w:p>
        </w:tc>
        <w:tc>
          <w:tcPr>
            <w:tcW w:w="6946" w:type="dxa"/>
          </w:tcPr>
          <w:p w:rsidR="00870A45" w:rsidRPr="0040698F" w:rsidRDefault="00870A45" w:rsidP="00580772">
            <w:pPr>
              <w:spacing w:after="120"/>
              <w:rPr>
                <w:b/>
                <w:sz w:val="24"/>
                <w:szCs w:val="24"/>
              </w:rPr>
            </w:pPr>
            <w:r w:rsidRPr="0040698F">
              <w:rPr>
                <w:b/>
                <w:sz w:val="24"/>
                <w:szCs w:val="24"/>
              </w:rPr>
              <w:t>Benefits to the NT economy including employment and</w:t>
            </w:r>
            <w:r w:rsidR="00F96724">
              <w:rPr>
                <w:b/>
                <w:sz w:val="24"/>
                <w:szCs w:val="24"/>
              </w:rPr>
              <w:t xml:space="preserve"> </w:t>
            </w:r>
            <w:r w:rsidRPr="0040698F">
              <w:rPr>
                <w:b/>
                <w:sz w:val="24"/>
                <w:szCs w:val="24"/>
              </w:rPr>
              <w:t>small business</w:t>
            </w:r>
            <w:r>
              <w:rPr>
                <w:b/>
                <w:sz w:val="24"/>
                <w:szCs w:val="24"/>
              </w:rPr>
              <w:t xml:space="preserve"> including:</w:t>
            </w:r>
          </w:p>
          <w:p w:rsidR="00870A45" w:rsidRPr="00D50543" w:rsidRDefault="00870A45" w:rsidP="00A80916">
            <w:pPr>
              <w:pStyle w:val="ListParagraph"/>
              <w:numPr>
                <w:ilvl w:val="0"/>
                <w:numId w:val="14"/>
              </w:numPr>
              <w:rPr>
                <w:sz w:val="24"/>
                <w:szCs w:val="24"/>
              </w:rPr>
            </w:pPr>
            <w:r w:rsidRPr="00D50543">
              <w:rPr>
                <w:sz w:val="24"/>
                <w:szCs w:val="24"/>
              </w:rPr>
              <w:t xml:space="preserve">local benefits particularly </w:t>
            </w:r>
            <w:r w:rsidR="00567E1C" w:rsidRPr="00D50543">
              <w:rPr>
                <w:sz w:val="24"/>
                <w:szCs w:val="24"/>
              </w:rPr>
              <w:t xml:space="preserve">local </w:t>
            </w:r>
            <w:r w:rsidRPr="00D50543">
              <w:rPr>
                <w:sz w:val="24"/>
                <w:szCs w:val="24"/>
              </w:rPr>
              <w:t>employment in the project location</w:t>
            </w:r>
            <w:r w:rsidR="00567E1C" w:rsidRPr="00D50543">
              <w:rPr>
                <w:sz w:val="24"/>
                <w:szCs w:val="24"/>
              </w:rPr>
              <w:t xml:space="preserve"> or regional and remote areas</w:t>
            </w:r>
          </w:p>
          <w:p w:rsidR="00870A45" w:rsidRPr="0040698F" w:rsidRDefault="00870A45" w:rsidP="00A80916">
            <w:pPr>
              <w:pStyle w:val="ListParagraph"/>
              <w:numPr>
                <w:ilvl w:val="0"/>
                <w:numId w:val="14"/>
              </w:numPr>
              <w:rPr>
                <w:sz w:val="24"/>
                <w:szCs w:val="24"/>
              </w:rPr>
            </w:pPr>
            <w:r w:rsidRPr="0040698F">
              <w:rPr>
                <w:sz w:val="24"/>
                <w:szCs w:val="24"/>
              </w:rPr>
              <w:t>support offered to small businesses</w:t>
            </w:r>
          </w:p>
          <w:p w:rsidR="00870A45" w:rsidRPr="0040698F" w:rsidRDefault="00870A45" w:rsidP="00A80916">
            <w:pPr>
              <w:pStyle w:val="ListParagraph"/>
              <w:numPr>
                <w:ilvl w:val="0"/>
                <w:numId w:val="14"/>
              </w:numPr>
              <w:rPr>
                <w:sz w:val="24"/>
                <w:szCs w:val="24"/>
              </w:rPr>
            </w:pPr>
            <w:r w:rsidRPr="0040698F">
              <w:rPr>
                <w:sz w:val="24"/>
                <w:szCs w:val="24"/>
              </w:rPr>
              <w:t>consideration of community and broader social impacts</w:t>
            </w:r>
          </w:p>
          <w:p w:rsidR="00870A45" w:rsidRPr="0040698F" w:rsidRDefault="00870A45" w:rsidP="00A80916">
            <w:pPr>
              <w:pStyle w:val="ListParagraph"/>
              <w:numPr>
                <w:ilvl w:val="0"/>
                <w:numId w:val="14"/>
              </w:numPr>
              <w:rPr>
                <w:sz w:val="24"/>
                <w:szCs w:val="24"/>
              </w:rPr>
            </w:pPr>
            <w:r w:rsidRPr="0040698F">
              <w:rPr>
                <w:sz w:val="24"/>
                <w:szCs w:val="24"/>
              </w:rPr>
              <w:t>community perception of project and organisation</w:t>
            </w:r>
          </w:p>
        </w:tc>
        <w:tc>
          <w:tcPr>
            <w:tcW w:w="1666" w:type="dxa"/>
          </w:tcPr>
          <w:p w:rsidR="00870A45" w:rsidRPr="0040698F" w:rsidRDefault="00870A45" w:rsidP="00580772">
            <w:pPr>
              <w:spacing w:after="240"/>
              <w:rPr>
                <w:sz w:val="24"/>
                <w:szCs w:val="24"/>
              </w:rPr>
            </w:pPr>
            <w:r w:rsidRPr="0040698F">
              <w:rPr>
                <w:sz w:val="24"/>
                <w:szCs w:val="24"/>
              </w:rPr>
              <w:t>20%</w:t>
            </w:r>
          </w:p>
        </w:tc>
      </w:tr>
      <w:tr w:rsidR="008F3410" w:rsidRPr="005207F9" w:rsidTr="00173EE9">
        <w:tc>
          <w:tcPr>
            <w:tcW w:w="1696" w:type="dxa"/>
          </w:tcPr>
          <w:p w:rsidR="008F3410" w:rsidRPr="0040698F" w:rsidRDefault="00870A45" w:rsidP="00603130">
            <w:pPr>
              <w:spacing w:after="240"/>
              <w:rPr>
                <w:sz w:val="24"/>
                <w:szCs w:val="24"/>
              </w:rPr>
            </w:pPr>
            <w:r>
              <w:rPr>
                <w:sz w:val="24"/>
                <w:szCs w:val="24"/>
              </w:rPr>
              <w:t>5</w:t>
            </w:r>
          </w:p>
        </w:tc>
        <w:tc>
          <w:tcPr>
            <w:tcW w:w="6946" w:type="dxa"/>
          </w:tcPr>
          <w:p w:rsidR="008F3410" w:rsidRPr="0040698F" w:rsidRDefault="00556F08" w:rsidP="00603130">
            <w:pPr>
              <w:spacing w:after="120"/>
              <w:rPr>
                <w:sz w:val="24"/>
                <w:szCs w:val="24"/>
              </w:rPr>
            </w:pPr>
            <w:r w:rsidRPr="0040698F">
              <w:rPr>
                <w:b/>
                <w:sz w:val="24"/>
                <w:szCs w:val="24"/>
              </w:rPr>
              <w:t>Value for money</w:t>
            </w:r>
          </w:p>
          <w:p w:rsidR="00A8545F" w:rsidRPr="0040698F" w:rsidRDefault="00D85B46" w:rsidP="00A80916">
            <w:pPr>
              <w:pStyle w:val="ListParagraph"/>
              <w:numPr>
                <w:ilvl w:val="0"/>
                <w:numId w:val="14"/>
              </w:numPr>
              <w:rPr>
                <w:sz w:val="24"/>
                <w:szCs w:val="24"/>
              </w:rPr>
            </w:pPr>
            <w:r w:rsidRPr="0040698F">
              <w:rPr>
                <w:sz w:val="24"/>
                <w:szCs w:val="24"/>
              </w:rPr>
              <w:t>Government investment per tonne of waste diverted</w:t>
            </w:r>
          </w:p>
          <w:p w:rsidR="00AA52FD" w:rsidRPr="0040698F" w:rsidRDefault="00D85B46" w:rsidP="00A80916">
            <w:pPr>
              <w:pStyle w:val="ListParagraph"/>
              <w:numPr>
                <w:ilvl w:val="0"/>
                <w:numId w:val="14"/>
              </w:numPr>
              <w:rPr>
                <w:sz w:val="24"/>
                <w:szCs w:val="24"/>
              </w:rPr>
            </w:pPr>
            <w:r w:rsidRPr="0040698F">
              <w:rPr>
                <w:sz w:val="24"/>
                <w:szCs w:val="24"/>
              </w:rPr>
              <w:t>amount of private sector investment compared to government investment</w:t>
            </w:r>
          </w:p>
        </w:tc>
        <w:tc>
          <w:tcPr>
            <w:tcW w:w="1666" w:type="dxa"/>
          </w:tcPr>
          <w:p w:rsidR="008F3410" w:rsidRPr="0040698F" w:rsidRDefault="00AA52FD" w:rsidP="00603130">
            <w:pPr>
              <w:spacing w:after="240"/>
              <w:rPr>
                <w:sz w:val="24"/>
                <w:szCs w:val="24"/>
              </w:rPr>
            </w:pPr>
            <w:r w:rsidRPr="0040698F">
              <w:rPr>
                <w:sz w:val="24"/>
                <w:szCs w:val="24"/>
              </w:rPr>
              <w:t>1</w:t>
            </w:r>
            <w:r w:rsidR="00603130" w:rsidRPr="0040698F">
              <w:rPr>
                <w:sz w:val="24"/>
                <w:szCs w:val="24"/>
              </w:rPr>
              <w:t>0</w:t>
            </w:r>
            <w:r w:rsidRPr="0040698F">
              <w:rPr>
                <w:sz w:val="24"/>
                <w:szCs w:val="24"/>
              </w:rPr>
              <w:t>%</w:t>
            </w:r>
          </w:p>
        </w:tc>
      </w:tr>
    </w:tbl>
    <w:p w:rsidR="008F3410" w:rsidRPr="00131042" w:rsidRDefault="0040698F" w:rsidP="003C5FCE">
      <w:pPr>
        <w:pStyle w:val="Heading1"/>
        <w:rPr>
          <w:lang w:eastAsia="en-AU"/>
        </w:rPr>
      </w:pPr>
      <w:bookmarkStart w:id="15" w:name="_Toc118897476"/>
      <w:r>
        <w:rPr>
          <w:lang w:eastAsia="en-AU"/>
        </w:rPr>
        <w:t>8</w:t>
      </w:r>
      <w:r w:rsidR="00131042">
        <w:rPr>
          <w:lang w:eastAsia="en-AU"/>
        </w:rPr>
        <w:t xml:space="preserve">. </w:t>
      </w:r>
      <w:r w:rsidR="00131042">
        <w:rPr>
          <w:lang w:eastAsia="en-AU"/>
        </w:rPr>
        <w:tab/>
      </w:r>
      <w:r w:rsidR="005C09AD" w:rsidRPr="00131042">
        <w:rPr>
          <w:lang w:eastAsia="en-AU"/>
        </w:rPr>
        <w:t>Advice and support</w:t>
      </w:r>
      <w:bookmarkEnd w:id="15"/>
    </w:p>
    <w:p w:rsidR="007D3C83" w:rsidRPr="003462A0" w:rsidRDefault="007D3C83" w:rsidP="007D3C83">
      <w:pPr>
        <w:autoSpaceDE w:val="0"/>
        <w:autoSpaceDN w:val="0"/>
        <w:adjustRightInd w:val="0"/>
        <w:spacing w:after="0"/>
        <w:rPr>
          <w:rFonts w:asciiTheme="minorHAnsi" w:hAnsiTheme="minorHAnsi" w:cs="Calibri"/>
          <w:color w:val="000000"/>
          <w:sz w:val="24"/>
          <w:szCs w:val="24"/>
        </w:rPr>
      </w:pPr>
      <w:r w:rsidRPr="003462A0">
        <w:rPr>
          <w:rFonts w:asciiTheme="minorHAnsi" w:hAnsiTheme="minorHAnsi" w:cs="Calibri"/>
          <w:color w:val="000000"/>
          <w:sz w:val="24"/>
          <w:szCs w:val="24"/>
        </w:rPr>
        <w:t xml:space="preserve">For enquiries about these </w:t>
      </w:r>
      <w:r w:rsidR="004129A0">
        <w:rPr>
          <w:rFonts w:asciiTheme="minorHAnsi" w:hAnsiTheme="minorHAnsi" w:cs="Calibri"/>
          <w:color w:val="000000"/>
          <w:sz w:val="24"/>
          <w:szCs w:val="24"/>
        </w:rPr>
        <w:t>Terms and conditions</w:t>
      </w:r>
      <w:r w:rsidRPr="003462A0">
        <w:rPr>
          <w:rFonts w:asciiTheme="minorHAnsi" w:hAnsiTheme="minorHAnsi" w:cs="Calibri"/>
          <w:color w:val="000000"/>
          <w:sz w:val="24"/>
          <w:szCs w:val="24"/>
        </w:rPr>
        <w:t xml:space="preserve">, please contact the Department </w:t>
      </w:r>
      <w:r w:rsidR="005C1F4E" w:rsidRPr="003462A0">
        <w:rPr>
          <w:rFonts w:asciiTheme="minorHAnsi" w:hAnsiTheme="minorHAnsi" w:cs="Calibri"/>
          <w:color w:val="000000"/>
          <w:sz w:val="24"/>
          <w:szCs w:val="24"/>
        </w:rPr>
        <w:t>of Industry, Tourism and Trade (DITT)</w:t>
      </w:r>
      <w:r w:rsidR="004129A0">
        <w:rPr>
          <w:rFonts w:asciiTheme="minorHAnsi" w:hAnsiTheme="minorHAnsi" w:cs="Calibri"/>
          <w:color w:val="000000"/>
          <w:sz w:val="24"/>
          <w:szCs w:val="24"/>
        </w:rPr>
        <w:t xml:space="preserve"> by email at</w:t>
      </w:r>
      <w:r w:rsidRPr="003462A0">
        <w:rPr>
          <w:rFonts w:asciiTheme="minorHAnsi" w:hAnsiTheme="minorHAnsi" w:cs="Calibri"/>
          <w:color w:val="000000"/>
          <w:sz w:val="24"/>
          <w:szCs w:val="24"/>
        </w:rPr>
        <w:t xml:space="preserve"> </w:t>
      </w:r>
      <w:hyperlink r:id="rId12" w:history="1">
        <w:r w:rsidR="0072265F" w:rsidRPr="0072265F">
          <w:rPr>
            <w:rFonts w:cs="Arial"/>
            <w:b/>
          </w:rPr>
          <w:t>NTRMF.DITT</w:t>
        </w:r>
        <w:r w:rsidR="00D75B0B" w:rsidRPr="0072265F">
          <w:rPr>
            <w:rFonts w:cs="Arial"/>
            <w:b/>
          </w:rPr>
          <w:t>@nt.gov.au</w:t>
        </w:r>
      </w:hyperlink>
      <w:r w:rsidRPr="003462A0">
        <w:rPr>
          <w:rFonts w:asciiTheme="minorHAnsi" w:hAnsiTheme="minorHAnsi" w:cs="Calibri"/>
          <w:color w:val="000000"/>
          <w:sz w:val="24"/>
          <w:szCs w:val="24"/>
        </w:rPr>
        <w:t xml:space="preserve"> </w:t>
      </w:r>
    </w:p>
    <w:p w:rsidR="00EF2978" w:rsidRPr="003462A0" w:rsidRDefault="00EF2978" w:rsidP="007D3C83">
      <w:pPr>
        <w:autoSpaceDE w:val="0"/>
        <w:autoSpaceDN w:val="0"/>
        <w:adjustRightInd w:val="0"/>
        <w:spacing w:after="0"/>
        <w:rPr>
          <w:rFonts w:asciiTheme="minorHAnsi" w:hAnsiTheme="minorHAnsi" w:cs="Calibri"/>
          <w:color w:val="000000"/>
          <w:sz w:val="24"/>
          <w:szCs w:val="24"/>
        </w:rPr>
      </w:pPr>
    </w:p>
    <w:p w:rsidR="0040698F" w:rsidRPr="003462A0" w:rsidRDefault="00EF2978" w:rsidP="007D3C83">
      <w:pPr>
        <w:autoSpaceDE w:val="0"/>
        <w:autoSpaceDN w:val="0"/>
        <w:adjustRightInd w:val="0"/>
        <w:spacing w:after="0"/>
        <w:rPr>
          <w:rStyle w:val="Hyperlink"/>
          <w:rFonts w:asciiTheme="minorHAnsi" w:hAnsiTheme="minorHAnsi" w:cs="Calibri"/>
          <w:sz w:val="24"/>
          <w:szCs w:val="24"/>
        </w:rPr>
      </w:pPr>
      <w:r w:rsidRPr="003462A0">
        <w:rPr>
          <w:rFonts w:asciiTheme="minorHAnsi" w:hAnsiTheme="minorHAnsi" w:cs="Calibri"/>
          <w:color w:val="000000"/>
          <w:sz w:val="24"/>
          <w:szCs w:val="24"/>
        </w:rPr>
        <w:t xml:space="preserve">For any concerns about the assessment process undertaken </w:t>
      </w:r>
      <w:r w:rsidR="00C70287" w:rsidRPr="003462A0">
        <w:rPr>
          <w:rFonts w:asciiTheme="minorHAnsi" w:hAnsiTheme="minorHAnsi" w:cs="Calibri"/>
          <w:color w:val="000000"/>
          <w:sz w:val="24"/>
          <w:szCs w:val="24"/>
        </w:rPr>
        <w:t xml:space="preserve">by the Panel </w:t>
      </w:r>
      <w:r w:rsidRPr="003462A0">
        <w:rPr>
          <w:rFonts w:asciiTheme="minorHAnsi" w:hAnsiTheme="minorHAnsi" w:cs="Calibri"/>
          <w:color w:val="000000"/>
          <w:sz w:val="24"/>
          <w:szCs w:val="24"/>
        </w:rPr>
        <w:t xml:space="preserve">at Stage 2, please contact </w:t>
      </w:r>
      <w:hyperlink r:id="rId13" w:history="1">
        <w:r w:rsidR="0072265F" w:rsidRPr="0072265F">
          <w:rPr>
            <w:rFonts w:cs="Arial"/>
            <w:b/>
          </w:rPr>
          <w:t>NTRMF.DITT@nt.gov.au</w:t>
        </w:r>
      </w:hyperlink>
      <w:r w:rsidR="00C70287" w:rsidRPr="003462A0">
        <w:rPr>
          <w:color w:val="000000"/>
        </w:rPr>
        <w:t xml:space="preserve"> </w:t>
      </w:r>
      <w:r w:rsidR="00C70287" w:rsidRPr="001B5E4A">
        <w:rPr>
          <w:rFonts w:asciiTheme="minorHAnsi" w:hAnsiTheme="minorHAnsi" w:cs="Calibri"/>
          <w:color w:val="000000"/>
          <w:sz w:val="24"/>
          <w:szCs w:val="24"/>
        </w:rPr>
        <w:t>in the first instance.</w:t>
      </w:r>
      <w:r w:rsidR="00C70287" w:rsidRPr="003462A0">
        <w:rPr>
          <w:rStyle w:val="Hyperlink"/>
          <w:rFonts w:asciiTheme="minorHAnsi" w:hAnsiTheme="minorHAnsi" w:cs="Calibri"/>
          <w:sz w:val="24"/>
          <w:szCs w:val="24"/>
        </w:rPr>
        <w:t xml:space="preserve">  </w:t>
      </w:r>
    </w:p>
    <w:p w:rsidR="0040698F" w:rsidRPr="003462A0" w:rsidRDefault="0040698F" w:rsidP="007D3C83">
      <w:pPr>
        <w:autoSpaceDE w:val="0"/>
        <w:autoSpaceDN w:val="0"/>
        <w:adjustRightInd w:val="0"/>
        <w:spacing w:after="0"/>
        <w:rPr>
          <w:rStyle w:val="Hyperlink"/>
          <w:rFonts w:asciiTheme="minorHAnsi" w:hAnsiTheme="minorHAnsi" w:cs="Calibri"/>
          <w:sz w:val="24"/>
          <w:szCs w:val="24"/>
        </w:rPr>
      </w:pPr>
    </w:p>
    <w:p w:rsidR="00EF2978" w:rsidRPr="00972A4F" w:rsidRDefault="00EF2978" w:rsidP="007D3C83">
      <w:pPr>
        <w:autoSpaceDE w:val="0"/>
        <w:autoSpaceDN w:val="0"/>
        <w:adjustRightInd w:val="0"/>
        <w:spacing w:after="0"/>
        <w:rPr>
          <w:rFonts w:asciiTheme="minorHAnsi" w:hAnsiTheme="minorHAnsi" w:cs="Calibri"/>
          <w:color w:val="000000"/>
          <w:sz w:val="24"/>
          <w:szCs w:val="24"/>
        </w:rPr>
      </w:pPr>
      <w:r w:rsidRPr="003462A0">
        <w:rPr>
          <w:rFonts w:asciiTheme="minorHAnsi" w:hAnsiTheme="minorHAnsi" w:cs="Calibri"/>
          <w:color w:val="000000"/>
          <w:sz w:val="24"/>
          <w:szCs w:val="24"/>
        </w:rPr>
        <w:t xml:space="preserve">The </w:t>
      </w:r>
      <w:r w:rsidR="009731F8">
        <w:rPr>
          <w:rFonts w:asciiTheme="minorHAnsi" w:hAnsiTheme="minorHAnsi" w:cs="Calibri"/>
          <w:color w:val="000000"/>
          <w:sz w:val="24"/>
          <w:szCs w:val="24"/>
        </w:rPr>
        <w:t xml:space="preserve">Australian </w:t>
      </w:r>
      <w:r w:rsidR="009731F8" w:rsidRPr="003462A0">
        <w:rPr>
          <w:rFonts w:asciiTheme="minorHAnsi" w:hAnsiTheme="minorHAnsi" w:cs="Calibri"/>
          <w:color w:val="000000"/>
          <w:sz w:val="24"/>
          <w:szCs w:val="24"/>
        </w:rPr>
        <w:t xml:space="preserve">and </w:t>
      </w:r>
      <w:r w:rsidR="009731F8">
        <w:rPr>
          <w:rFonts w:asciiTheme="minorHAnsi" w:hAnsiTheme="minorHAnsi" w:cs="Calibri"/>
          <w:color w:val="000000"/>
          <w:sz w:val="24"/>
          <w:szCs w:val="24"/>
        </w:rPr>
        <w:t xml:space="preserve">the </w:t>
      </w:r>
      <w:r w:rsidR="009F360A">
        <w:rPr>
          <w:rFonts w:asciiTheme="minorHAnsi" w:hAnsiTheme="minorHAnsi" w:cs="Calibri"/>
          <w:color w:val="000000"/>
          <w:sz w:val="24"/>
          <w:szCs w:val="24"/>
        </w:rPr>
        <w:t xml:space="preserve">Northern </w:t>
      </w:r>
      <w:r w:rsidRPr="003462A0">
        <w:rPr>
          <w:rFonts w:asciiTheme="minorHAnsi" w:hAnsiTheme="minorHAnsi" w:cs="Calibri"/>
          <w:color w:val="000000"/>
          <w:sz w:val="24"/>
          <w:szCs w:val="24"/>
        </w:rPr>
        <w:t xml:space="preserve">Territory </w:t>
      </w:r>
      <w:r w:rsidR="009F360A">
        <w:rPr>
          <w:rFonts w:asciiTheme="minorHAnsi" w:hAnsiTheme="minorHAnsi" w:cs="Calibri"/>
          <w:color w:val="000000"/>
          <w:sz w:val="24"/>
          <w:szCs w:val="24"/>
        </w:rPr>
        <w:t xml:space="preserve">Governments </w:t>
      </w:r>
      <w:r w:rsidRPr="003462A0">
        <w:rPr>
          <w:rFonts w:asciiTheme="minorHAnsi" w:hAnsiTheme="minorHAnsi" w:cs="Calibri"/>
          <w:color w:val="000000"/>
          <w:sz w:val="24"/>
          <w:szCs w:val="24"/>
        </w:rPr>
        <w:t xml:space="preserve">are committed to the highest standards of probity in the assessment of applications </w:t>
      </w:r>
      <w:r w:rsidR="00D03B35">
        <w:rPr>
          <w:rFonts w:asciiTheme="minorHAnsi" w:hAnsiTheme="minorHAnsi" w:cs="Calibri"/>
          <w:color w:val="000000"/>
          <w:sz w:val="24"/>
          <w:szCs w:val="24"/>
        </w:rPr>
        <w:t>of</w:t>
      </w:r>
      <w:r w:rsidR="00D03B35" w:rsidRPr="003462A0">
        <w:rPr>
          <w:rFonts w:asciiTheme="minorHAnsi" w:hAnsiTheme="minorHAnsi" w:cs="Calibri"/>
          <w:color w:val="000000"/>
          <w:sz w:val="24"/>
          <w:szCs w:val="24"/>
        </w:rPr>
        <w:t xml:space="preserve"> </w:t>
      </w:r>
      <w:r w:rsidRPr="003462A0">
        <w:rPr>
          <w:rFonts w:asciiTheme="minorHAnsi" w:hAnsiTheme="minorHAnsi" w:cs="Calibri"/>
          <w:color w:val="000000"/>
          <w:sz w:val="24"/>
          <w:szCs w:val="24"/>
        </w:rPr>
        <w:t>grants in a competitive environment</w:t>
      </w:r>
      <w:r w:rsidR="00C70287" w:rsidRPr="003462A0">
        <w:rPr>
          <w:rFonts w:asciiTheme="minorHAnsi" w:hAnsiTheme="minorHAnsi" w:cs="Calibri"/>
          <w:color w:val="000000"/>
          <w:sz w:val="24"/>
          <w:szCs w:val="24"/>
        </w:rPr>
        <w:t xml:space="preserve"> and the Department</w:t>
      </w:r>
      <w:r w:rsidR="00D3019D">
        <w:rPr>
          <w:rFonts w:asciiTheme="minorHAnsi" w:hAnsiTheme="minorHAnsi" w:cs="Calibri"/>
          <w:color w:val="000000"/>
          <w:sz w:val="24"/>
          <w:szCs w:val="24"/>
        </w:rPr>
        <w:t xml:space="preserve"> </w:t>
      </w:r>
      <w:r w:rsidR="00C70287" w:rsidRPr="003462A0">
        <w:rPr>
          <w:rFonts w:asciiTheme="minorHAnsi" w:hAnsiTheme="minorHAnsi" w:cs="Calibri"/>
          <w:color w:val="000000"/>
          <w:sz w:val="24"/>
          <w:szCs w:val="24"/>
        </w:rPr>
        <w:t xml:space="preserve">will conduct an internal review where concerns are raised.  If an applicant is aggrieved once that review has been undertaken it may contact the </w:t>
      </w:r>
      <w:r w:rsidR="00C70287" w:rsidRPr="004129A0">
        <w:rPr>
          <w:rFonts w:asciiTheme="minorHAnsi" w:hAnsiTheme="minorHAnsi" w:cs="Calibri"/>
          <w:color w:val="000000"/>
          <w:sz w:val="24"/>
          <w:szCs w:val="24"/>
        </w:rPr>
        <w:t>Ombudsman</w:t>
      </w:r>
      <w:r w:rsidR="002534C3" w:rsidRPr="004129A0">
        <w:rPr>
          <w:rFonts w:asciiTheme="minorHAnsi" w:hAnsiTheme="minorHAnsi" w:cs="Calibri"/>
          <w:color w:val="000000"/>
          <w:sz w:val="24"/>
          <w:szCs w:val="24"/>
        </w:rPr>
        <w:t xml:space="preserve"> at https://www.ombudsman.nt.gov.au</w:t>
      </w:r>
    </w:p>
    <w:p w:rsidR="005C1F4E" w:rsidRPr="0040698F" w:rsidRDefault="0040698F" w:rsidP="0040698F">
      <w:pPr>
        <w:pStyle w:val="Heading1"/>
        <w:rPr>
          <w:lang w:eastAsia="en-AU"/>
        </w:rPr>
      </w:pPr>
      <w:bookmarkStart w:id="16" w:name="_Toc118897477"/>
      <w:r>
        <w:rPr>
          <w:lang w:eastAsia="en-AU"/>
        </w:rPr>
        <w:t>9.</w:t>
      </w:r>
      <w:r w:rsidR="005C1F4E" w:rsidRPr="0040698F">
        <w:rPr>
          <w:lang w:eastAsia="en-AU"/>
        </w:rPr>
        <w:t xml:space="preserve"> </w:t>
      </w:r>
      <w:r w:rsidR="000338D0">
        <w:rPr>
          <w:lang w:eastAsia="en-AU"/>
        </w:rPr>
        <w:tab/>
      </w:r>
      <w:r w:rsidR="005C1F4E" w:rsidRPr="0040698F">
        <w:rPr>
          <w:lang w:eastAsia="en-AU"/>
        </w:rPr>
        <w:t>Confidentiality</w:t>
      </w:r>
      <w:bookmarkEnd w:id="16"/>
      <w:r w:rsidR="005C1F4E" w:rsidRPr="0040698F">
        <w:rPr>
          <w:lang w:eastAsia="en-AU"/>
        </w:rPr>
        <w:t xml:space="preserve"> </w:t>
      </w:r>
    </w:p>
    <w:p w:rsidR="007D3C83" w:rsidRPr="0040698F" w:rsidRDefault="000C5D35" w:rsidP="005C1F4E">
      <w:pPr>
        <w:autoSpaceDE w:val="0"/>
        <w:autoSpaceDN w:val="0"/>
        <w:adjustRightInd w:val="0"/>
        <w:spacing w:after="120"/>
        <w:rPr>
          <w:rFonts w:asciiTheme="minorHAnsi" w:hAnsiTheme="minorHAnsi" w:cs="Calibri"/>
          <w:color w:val="000000"/>
          <w:sz w:val="24"/>
          <w:szCs w:val="24"/>
        </w:rPr>
      </w:pPr>
      <w:r>
        <w:rPr>
          <w:rFonts w:asciiTheme="minorHAnsi" w:hAnsiTheme="minorHAnsi" w:cs="Calibri"/>
          <w:color w:val="000000"/>
          <w:sz w:val="24"/>
          <w:szCs w:val="24"/>
        </w:rPr>
        <w:t xml:space="preserve">The Department </w:t>
      </w:r>
      <w:r w:rsidR="007D3C83" w:rsidRPr="0040698F">
        <w:rPr>
          <w:rFonts w:asciiTheme="minorHAnsi" w:hAnsiTheme="minorHAnsi" w:cs="Calibri"/>
          <w:color w:val="000000"/>
          <w:sz w:val="24"/>
          <w:szCs w:val="24"/>
        </w:rPr>
        <w:t xml:space="preserve">will maintain controls in relation to the management of confidential information provided by </w:t>
      </w:r>
      <w:r w:rsidR="00D03B35">
        <w:rPr>
          <w:rFonts w:asciiTheme="minorHAnsi" w:hAnsiTheme="minorHAnsi" w:cs="Calibri"/>
          <w:color w:val="000000"/>
          <w:sz w:val="24"/>
          <w:szCs w:val="24"/>
        </w:rPr>
        <w:t>applicants</w:t>
      </w:r>
      <w:r w:rsidR="00D03B35" w:rsidRPr="0040698F">
        <w:rPr>
          <w:rFonts w:asciiTheme="minorHAnsi" w:hAnsiTheme="minorHAnsi" w:cs="Calibri"/>
          <w:color w:val="000000"/>
          <w:sz w:val="24"/>
          <w:szCs w:val="24"/>
        </w:rPr>
        <w:t xml:space="preserve"> </w:t>
      </w:r>
      <w:r w:rsidR="007D3C83" w:rsidRPr="0040698F">
        <w:rPr>
          <w:rFonts w:asciiTheme="minorHAnsi" w:hAnsiTheme="minorHAnsi" w:cs="Calibri"/>
          <w:color w:val="000000"/>
          <w:sz w:val="24"/>
          <w:szCs w:val="24"/>
        </w:rPr>
        <w:t xml:space="preserve">and all internal documentation produced in relation to the administration of the </w:t>
      </w:r>
      <w:r w:rsidR="00BE4ECB" w:rsidRPr="0040698F">
        <w:rPr>
          <w:rFonts w:asciiTheme="minorHAnsi" w:hAnsiTheme="minorHAnsi" w:cs="Calibri"/>
          <w:color w:val="000000"/>
          <w:sz w:val="24"/>
          <w:szCs w:val="24"/>
        </w:rPr>
        <w:t xml:space="preserve">NT </w:t>
      </w:r>
      <w:r w:rsidR="00776C45">
        <w:rPr>
          <w:rFonts w:asciiTheme="minorHAnsi" w:hAnsiTheme="minorHAnsi" w:cs="Calibri"/>
          <w:color w:val="000000"/>
          <w:sz w:val="24"/>
          <w:szCs w:val="24"/>
        </w:rPr>
        <w:t>RMF</w:t>
      </w:r>
      <w:r w:rsidR="008365C8">
        <w:rPr>
          <w:rFonts w:asciiTheme="minorHAnsi" w:hAnsiTheme="minorHAnsi" w:cs="Calibri"/>
          <w:color w:val="000000"/>
          <w:sz w:val="24"/>
          <w:szCs w:val="24"/>
        </w:rPr>
        <w:t xml:space="preserve"> Round 2</w:t>
      </w:r>
      <w:r w:rsidR="007D3C83" w:rsidRPr="0040698F">
        <w:rPr>
          <w:rFonts w:asciiTheme="minorHAnsi" w:hAnsiTheme="minorHAnsi" w:cs="Calibri"/>
          <w:color w:val="000000"/>
          <w:sz w:val="24"/>
          <w:szCs w:val="24"/>
        </w:rPr>
        <w:t xml:space="preserve">. </w:t>
      </w:r>
    </w:p>
    <w:p w:rsidR="007D3C83" w:rsidRPr="0040698F" w:rsidRDefault="00D03B35" w:rsidP="005C1F4E">
      <w:pPr>
        <w:autoSpaceDE w:val="0"/>
        <w:autoSpaceDN w:val="0"/>
        <w:adjustRightInd w:val="0"/>
        <w:spacing w:after="120"/>
        <w:rPr>
          <w:rFonts w:asciiTheme="minorHAnsi" w:hAnsiTheme="minorHAnsi" w:cs="Calibri"/>
          <w:color w:val="000000"/>
          <w:sz w:val="24"/>
          <w:szCs w:val="24"/>
        </w:rPr>
      </w:pPr>
      <w:r>
        <w:rPr>
          <w:rFonts w:asciiTheme="minorHAnsi" w:hAnsiTheme="minorHAnsi" w:cs="Calibri"/>
          <w:color w:val="000000"/>
          <w:sz w:val="24"/>
          <w:szCs w:val="24"/>
        </w:rPr>
        <w:t>Eligible o</w:t>
      </w:r>
      <w:r w:rsidR="007D3C83" w:rsidRPr="0040698F">
        <w:rPr>
          <w:rFonts w:asciiTheme="minorHAnsi" w:hAnsiTheme="minorHAnsi" w:cs="Calibri"/>
          <w:color w:val="000000"/>
          <w:sz w:val="24"/>
          <w:szCs w:val="24"/>
        </w:rPr>
        <w:t xml:space="preserve">rganisations must keep confidential any dealings with </w:t>
      </w:r>
      <w:r w:rsidR="00923329">
        <w:rPr>
          <w:rFonts w:asciiTheme="minorHAnsi" w:hAnsiTheme="minorHAnsi" w:cs="Calibri"/>
          <w:color w:val="000000"/>
          <w:sz w:val="24"/>
          <w:szCs w:val="24"/>
        </w:rPr>
        <w:t xml:space="preserve">the Department </w:t>
      </w:r>
      <w:r w:rsidR="007D3C83" w:rsidRPr="0040698F">
        <w:rPr>
          <w:rFonts w:asciiTheme="minorHAnsi" w:hAnsiTheme="minorHAnsi" w:cs="Calibri"/>
          <w:color w:val="000000"/>
          <w:sz w:val="24"/>
          <w:szCs w:val="24"/>
        </w:rPr>
        <w:t xml:space="preserve">about their application, including any funding offered, but may make disclosures to advisors who are under an obligation of confidentiality or if required by law. </w:t>
      </w:r>
    </w:p>
    <w:p w:rsidR="007D3C83" w:rsidRPr="0040698F" w:rsidRDefault="002E0BB9" w:rsidP="005C1F4E">
      <w:pPr>
        <w:autoSpaceDE w:val="0"/>
        <w:autoSpaceDN w:val="0"/>
        <w:adjustRightInd w:val="0"/>
        <w:spacing w:after="120"/>
        <w:rPr>
          <w:rFonts w:asciiTheme="minorHAnsi" w:hAnsiTheme="minorHAnsi" w:cs="Calibri"/>
          <w:color w:val="000000"/>
          <w:sz w:val="24"/>
          <w:szCs w:val="24"/>
        </w:rPr>
      </w:pPr>
      <w:r w:rsidRPr="0040698F">
        <w:rPr>
          <w:rFonts w:asciiTheme="minorHAnsi" w:hAnsiTheme="minorHAnsi" w:cs="Calibri"/>
          <w:color w:val="000000"/>
          <w:sz w:val="24"/>
          <w:szCs w:val="24"/>
        </w:rPr>
        <w:t xml:space="preserve">The Northern Territory Government </w:t>
      </w:r>
      <w:r w:rsidR="007D3C83" w:rsidRPr="0040698F">
        <w:rPr>
          <w:rFonts w:asciiTheme="minorHAnsi" w:hAnsiTheme="minorHAnsi" w:cs="Calibri"/>
          <w:color w:val="000000"/>
          <w:sz w:val="24"/>
          <w:szCs w:val="24"/>
        </w:rPr>
        <w:t xml:space="preserve">reserves the right to publicly disclose the names of </w:t>
      </w:r>
      <w:r w:rsidR="00D03B35">
        <w:rPr>
          <w:rFonts w:asciiTheme="minorHAnsi" w:hAnsiTheme="minorHAnsi" w:cs="Calibri"/>
          <w:color w:val="000000"/>
          <w:sz w:val="24"/>
          <w:szCs w:val="24"/>
        </w:rPr>
        <w:t>applicants</w:t>
      </w:r>
      <w:r w:rsidR="007D3C83" w:rsidRPr="0040698F">
        <w:rPr>
          <w:rFonts w:asciiTheme="minorHAnsi" w:hAnsiTheme="minorHAnsi" w:cs="Calibri"/>
          <w:color w:val="000000"/>
          <w:sz w:val="24"/>
          <w:szCs w:val="24"/>
        </w:rPr>
        <w:t xml:space="preserve">, information about funding granted and details about the anticipated economic </w:t>
      </w:r>
      <w:r w:rsidR="007D3C83" w:rsidRPr="0040698F">
        <w:rPr>
          <w:rFonts w:asciiTheme="minorHAnsi" w:hAnsiTheme="minorHAnsi" w:cs="Calibri"/>
          <w:color w:val="000000"/>
          <w:sz w:val="24"/>
          <w:szCs w:val="24"/>
        </w:rPr>
        <w:lastRenderedPageBreak/>
        <w:t xml:space="preserve">outcomes and benefits of projects to </w:t>
      </w:r>
      <w:r w:rsidR="00BE4ECB" w:rsidRPr="0040698F">
        <w:rPr>
          <w:rFonts w:asciiTheme="minorHAnsi" w:hAnsiTheme="minorHAnsi" w:cs="Calibri"/>
          <w:color w:val="000000"/>
          <w:sz w:val="24"/>
          <w:szCs w:val="24"/>
        </w:rPr>
        <w:t>t</w:t>
      </w:r>
      <w:r w:rsidRPr="0040698F">
        <w:rPr>
          <w:rFonts w:asciiTheme="minorHAnsi" w:hAnsiTheme="minorHAnsi" w:cs="Calibri"/>
          <w:color w:val="000000"/>
          <w:sz w:val="24"/>
          <w:szCs w:val="24"/>
        </w:rPr>
        <w:t>he Territory.</w:t>
      </w:r>
      <w:r w:rsidR="0005569A">
        <w:rPr>
          <w:rFonts w:asciiTheme="minorHAnsi" w:hAnsiTheme="minorHAnsi" w:cs="Calibri"/>
          <w:color w:val="000000"/>
          <w:sz w:val="24"/>
          <w:szCs w:val="24"/>
        </w:rPr>
        <w:t xml:space="preserve"> </w:t>
      </w:r>
      <w:r w:rsidR="00376E2D" w:rsidRPr="00D50543">
        <w:rPr>
          <w:rFonts w:asciiTheme="minorHAnsi" w:hAnsiTheme="minorHAnsi" w:cs="Calibri"/>
          <w:color w:val="000000"/>
          <w:sz w:val="24"/>
          <w:szCs w:val="24"/>
        </w:rPr>
        <w:t>This information shall</w:t>
      </w:r>
      <w:r w:rsidR="0005569A" w:rsidRPr="00567E1C">
        <w:rPr>
          <w:rFonts w:asciiTheme="minorHAnsi" w:hAnsiTheme="minorHAnsi" w:cs="Calibri"/>
          <w:color w:val="000000"/>
          <w:sz w:val="24"/>
          <w:szCs w:val="24"/>
        </w:rPr>
        <w:t xml:space="preserve"> also be publicly </w:t>
      </w:r>
      <w:r w:rsidR="007A7A85" w:rsidRPr="005B437E">
        <w:rPr>
          <w:rFonts w:asciiTheme="minorHAnsi" w:hAnsiTheme="minorHAnsi" w:cs="Calibri"/>
          <w:color w:val="000000"/>
          <w:sz w:val="24"/>
          <w:szCs w:val="24"/>
        </w:rPr>
        <w:t>disclosed on Australian Government’s Recycling Manufacturing Fund webpage.</w:t>
      </w:r>
    </w:p>
    <w:p w:rsidR="007D3C83" w:rsidRPr="0040698F" w:rsidRDefault="00D03B35" w:rsidP="005C1F4E">
      <w:pPr>
        <w:autoSpaceDE w:val="0"/>
        <w:autoSpaceDN w:val="0"/>
        <w:adjustRightInd w:val="0"/>
        <w:spacing w:after="120"/>
        <w:rPr>
          <w:rFonts w:asciiTheme="minorHAnsi" w:hAnsiTheme="minorHAnsi" w:cs="Calibri"/>
          <w:color w:val="000000"/>
          <w:sz w:val="24"/>
          <w:szCs w:val="24"/>
        </w:rPr>
      </w:pPr>
      <w:r>
        <w:rPr>
          <w:rFonts w:asciiTheme="minorHAnsi" w:hAnsiTheme="minorHAnsi" w:cs="Calibri"/>
          <w:color w:val="000000"/>
          <w:sz w:val="24"/>
          <w:szCs w:val="24"/>
        </w:rPr>
        <w:t>The</w:t>
      </w:r>
      <w:r w:rsidR="00D3019D">
        <w:rPr>
          <w:rFonts w:asciiTheme="minorHAnsi" w:hAnsiTheme="minorHAnsi" w:cs="Calibri"/>
          <w:color w:val="000000"/>
          <w:sz w:val="24"/>
          <w:szCs w:val="24"/>
        </w:rPr>
        <w:t xml:space="preserve"> Northern Territory </w:t>
      </w:r>
      <w:r w:rsidR="005C0F6C">
        <w:rPr>
          <w:rFonts w:asciiTheme="minorHAnsi" w:hAnsiTheme="minorHAnsi" w:cs="Calibri"/>
          <w:color w:val="000000"/>
          <w:sz w:val="24"/>
          <w:szCs w:val="24"/>
        </w:rPr>
        <w:t>Government</w:t>
      </w:r>
      <w:r w:rsidR="005B437E">
        <w:rPr>
          <w:rFonts w:asciiTheme="minorHAnsi" w:hAnsiTheme="minorHAnsi" w:cs="Calibri"/>
          <w:color w:val="000000"/>
          <w:sz w:val="24"/>
          <w:szCs w:val="24"/>
        </w:rPr>
        <w:t xml:space="preserve"> shall disclose all information on the project or provided by applicants to the Australian Government. In addition, the Northern Territory Government </w:t>
      </w:r>
      <w:r w:rsidR="005C0F6C" w:rsidRPr="0040698F">
        <w:rPr>
          <w:rFonts w:asciiTheme="minorHAnsi" w:hAnsiTheme="minorHAnsi" w:cs="Calibri"/>
          <w:color w:val="000000"/>
          <w:sz w:val="24"/>
          <w:szCs w:val="24"/>
        </w:rPr>
        <w:t>may</w:t>
      </w:r>
      <w:r w:rsidR="007D3C83" w:rsidRPr="0040698F">
        <w:rPr>
          <w:rFonts w:asciiTheme="minorHAnsi" w:hAnsiTheme="minorHAnsi" w:cs="Calibri"/>
          <w:color w:val="000000"/>
          <w:sz w:val="24"/>
          <w:szCs w:val="24"/>
        </w:rPr>
        <w:t xml:space="preserve"> also disclose confidential information of, or provided by, </w:t>
      </w:r>
      <w:r>
        <w:rPr>
          <w:rFonts w:asciiTheme="minorHAnsi" w:hAnsiTheme="minorHAnsi" w:cs="Calibri"/>
          <w:color w:val="000000"/>
          <w:sz w:val="24"/>
          <w:szCs w:val="24"/>
        </w:rPr>
        <w:t>applicants</w:t>
      </w:r>
      <w:r w:rsidR="007D3C83" w:rsidRPr="0040698F">
        <w:rPr>
          <w:rFonts w:asciiTheme="minorHAnsi" w:hAnsiTheme="minorHAnsi" w:cs="Calibri"/>
          <w:color w:val="000000"/>
          <w:sz w:val="24"/>
          <w:szCs w:val="24"/>
        </w:rPr>
        <w:t xml:space="preserve">: </w:t>
      </w:r>
    </w:p>
    <w:p w:rsidR="007D3C83" w:rsidRPr="0040698F" w:rsidRDefault="007D3C83" w:rsidP="0056061A">
      <w:pPr>
        <w:numPr>
          <w:ilvl w:val="0"/>
          <w:numId w:val="28"/>
        </w:numPr>
        <w:tabs>
          <w:tab w:val="left" w:pos="709"/>
        </w:tabs>
        <w:autoSpaceDE w:val="0"/>
        <w:autoSpaceDN w:val="0"/>
        <w:adjustRightInd w:val="0"/>
        <w:spacing w:after="120"/>
        <w:ind w:left="720" w:hanging="436"/>
        <w:rPr>
          <w:rFonts w:asciiTheme="minorHAnsi" w:hAnsiTheme="minorHAnsi" w:cs="Calibri"/>
          <w:color w:val="000000"/>
          <w:sz w:val="24"/>
          <w:szCs w:val="24"/>
        </w:rPr>
      </w:pPr>
      <w:r w:rsidRPr="0040698F">
        <w:rPr>
          <w:rFonts w:asciiTheme="minorHAnsi" w:hAnsiTheme="minorHAnsi" w:cs="Calibri"/>
          <w:color w:val="000000"/>
          <w:sz w:val="24"/>
          <w:szCs w:val="24"/>
        </w:rPr>
        <w:t xml:space="preserve">if required to be disclosed by law; </w:t>
      </w:r>
    </w:p>
    <w:p w:rsidR="00567E1C" w:rsidRDefault="007D3C83" w:rsidP="0056061A">
      <w:pPr>
        <w:numPr>
          <w:ilvl w:val="0"/>
          <w:numId w:val="28"/>
        </w:numPr>
        <w:tabs>
          <w:tab w:val="left" w:pos="709"/>
        </w:tabs>
        <w:autoSpaceDE w:val="0"/>
        <w:autoSpaceDN w:val="0"/>
        <w:adjustRightInd w:val="0"/>
        <w:spacing w:after="120"/>
        <w:ind w:left="720" w:hanging="436"/>
        <w:rPr>
          <w:rFonts w:asciiTheme="minorHAnsi" w:hAnsiTheme="minorHAnsi" w:cs="Calibri"/>
          <w:color w:val="000000"/>
          <w:sz w:val="24"/>
          <w:szCs w:val="24"/>
        </w:rPr>
      </w:pPr>
      <w:r w:rsidRPr="0040698F">
        <w:rPr>
          <w:rFonts w:asciiTheme="minorHAnsi" w:hAnsiTheme="minorHAnsi" w:cs="Calibri"/>
          <w:color w:val="000000"/>
          <w:sz w:val="24"/>
          <w:szCs w:val="24"/>
        </w:rPr>
        <w:t>to its advisors, consultants and contractors</w:t>
      </w:r>
      <w:r w:rsidR="00567E1C">
        <w:rPr>
          <w:rFonts w:asciiTheme="minorHAnsi" w:hAnsiTheme="minorHAnsi" w:cs="Calibri"/>
          <w:color w:val="000000"/>
          <w:sz w:val="24"/>
          <w:szCs w:val="24"/>
        </w:rPr>
        <w:t xml:space="preserve">. </w:t>
      </w:r>
    </w:p>
    <w:p w:rsidR="007D3C83" w:rsidRPr="00D50543" w:rsidRDefault="007D3C83" w:rsidP="0056061A">
      <w:pPr>
        <w:pStyle w:val="ListParagraph"/>
        <w:numPr>
          <w:ilvl w:val="0"/>
          <w:numId w:val="28"/>
        </w:numPr>
        <w:tabs>
          <w:tab w:val="left" w:pos="709"/>
        </w:tabs>
        <w:autoSpaceDE w:val="0"/>
        <w:autoSpaceDN w:val="0"/>
        <w:adjustRightInd w:val="0"/>
        <w:ind w:left="720" w:hanging="436"/>
        <w:rPr>
          <w:rFonts w:asciiTheme="minorHAnsi" w:hAnsiTheme="minorHAnsi" w:cs="Calibri"/>
          <w:color w:val="000000"/>
          <w:sz w:val="24"/>
          <w:szCs w:val="24"/>
        </w:rPr>
      </w:pPr>
      <w:r w:rsidRPr="00D50543">
        <w:rPr>
          <w:rFonts w:asciiTheme="minorHAnsi" w:hAnsiTheme="minorHAnsi" w:cs="Calibri"/>
          <w:color w:val="000000"/>
          <w:sz w:val="24"/>
          <w:szCs w:val="24"/>
        </w:rPr>
        <w:t>to any government agency (including any agency of the Australian Government</w:t>
      </w:r>
      <w:r w:rsidR="002E0BB9" w:rsidRPr="00D50543">
        <w:rPr>
          <w:rFonts w:asciiTheme="minorHAnsi" w:hAnsiTheme="minorHAnsi" w:cs="Calibri"/>
          <w:color w:val="000000"/>
          <w:sz w:val="24"/>
          <w:szCs w:val="24"/>
        </w:rPr>
        <w:t>)</w:t>
      </w:r>
      <w:r w:rsidR="002534C3">
        <w:rPr>
          <w:rFonts w:asciiTheme="minorHAnsi" w:hAnsiTheme="minorHAnsi" w:cs="Calibri"/>
          <w:color w:val="000000"/>
          <w:sz w:val="24"/>
          <w:szCs w:val="24"/>
        </w:rPr>
        <w:t xml:space="preserve"> and to Parliament and any Minister of the Parliament of the Northern Territory.</w:t>
      </w:r>
    </w:p>
    <w:p w:rsidR="006B2D6A" w:rsidRPr="0040698F" w:rsidRDefault="003B0836" w:rsidP="003C5FCE">
      <w:pPr>
        <w:pStyle w:val="Heading1"/>
        <w:spacing w:before="360"/>
        <w:rPr>
          <w:lang w:eastAsia="en-AU"/>
        </w:rPr>
      </w:pPr>
      <w:bookmarkStart w:id="17" w:name="_Toc118897478"/>
      <w:r w:rsidRPr="0040698F">
        <w:rPr>
          <w:lang w:eastAsia="en-AU"/>
        </w:rPr>
        <w:t>1</w:t>
      </w:r>
      <w:r w:rsidR="003462A0">
        <w:rPr>
          <w:lang w:eastAsia="en-AU"/>
        </w:rPr>
        <w:t>0</w:t>
      </w:r>
      <w:r w:rsidR="0040698F">
        <w:rPr>
          <w:lang w:eastAsia="en-AU"/>
        </w:rPr>
        <w:t>.</w:t>
      </w:r>
      <w:r w:rsidR="006B2D6A" w:rsidRPr="0040698F">
        <w:rPr>
          <w:lang w:eastAsia="en-AU"/>
        </w:rPr>
        <w:t xml:space="preserve"> </w:t>
      </w:r>
      <w:r w:rsidR="000338D0">
        <w:rPr>
          <w:lang w:eastAsia="en-AU"/>
        </w:rPr>
        <w:tab/>
      </w:r>
      <w:r w:rsidR="006B2D6A" w:rsidRPr="0040698F">
        <w:rPr>
          <w:lang w:eastAsia="en-AU"/>
        </w:rPr>
        <w:t>Relationship</w:t>
      </w:r>
      <w:bookmarkEnd w:id="17"/>
      <w:r w:rsidR="006B2D6A" w:rsidRPr="0040698F">
        <w:rPr>
          <w:lang w:eastAsia="en-AU"/>
        </w:rPr>
        <w:t xml:space="preserve"> </w:t>
      </w:r>
    </w:p>
    <w:p w:rsidR="006B2D6A" w:rsidRPr="0040698F" w:rsidRDefault="006B2D6A" w:rsidP="006B2D6A">
      <w:pPr>
        <w:spacing w:after="120"/>
        <w:rPr>
          <w:rFonts w:asciiTheme="minorHAnsi" w:hAnsiTheme="minorHAnsi"/>
          <w:sz w:val="24"/>
          <w:szCs w:val="24"/>
        </w:rPr>
      </w:pPr>
      <w:r w:rsidRPr="0040698F">
        <w:rPr>
          <w:rFonts w:asciiTheme="minorHAnsi" w:hAnsiTheme="minorHAnsi"/>
          <w:sz w:val="24"/>
          <w:szCs w:val="24"/>
        </w:rPr>
        <w:t xml:space="preserve">The </w:t>
      </w:r>
      <w:r w:rsidR="005C0F6C">
        <w:rPr>
          <w:rFonts w:asciiTheme="minorHAnsi" w:hAnsiTheme="minorHAnsi"/>
          <w:sz w:val="24"/>
          <w:szCs w:val="24"/>
        </w:rPr>
        <w:t xml:space="preserve">Department’s </w:t>
      </w:r>
      <w:r w:rsidRPr="0040698F">
        <w:rPr>
          <w:rFonts w:asciiTheme="minorHAnsi" w:hAnsiTheme="minorHAnsi"/>
          <w:sz w:val="24"/>
          <w:szCs w:val="24"/>
        </w:rPr>
        <w:t>obligations</w:t>
      </w:r>
      <w:r w:rsidR="00D3019D">
        <w:rPr>
          <w:rFonts w:asciiTheme="minorHAnsi" w:hAnsiTheme="minorHAnsi"/>
          <w:sz w:val="24"/>
          <w:szCs w:val="24"/>
        </w:rPr>
        <w:t xml:space="preserve"> </w:t>
      </w:r>
      <w:r w:rsidRPr="0040698F">
        <w:rPr>
          <w:rFonts w:asciiTheme="minorHAnsi" w:hAnsiTheme="minorHAnsi"/>
          <w:sz w:val="24"/>
          <w:szCs w:val="24"/>
        </w:rPr>
        <w:t xml:space="preserve">regarding the application process are limited to those expressly stated in these guidelines.   </w:t>
      </w:r>
    </w:p>
    <w:p w:rsidR="006928C9" w:rsidRPr="0032323B" w:rsidRDefault="00D20A4E" w:rsidP="006B2D6A">
      <w:pPr>
        <w:spacing w:after="120"/>
        <w:rPr>
          <w:rFonts w:asciiTheme="minorHAnsi" w:hAnsiTheme="minorHAnsi"/>
          <w:sz w:val="24"/>
          <w:szCs w:val="24"/>
        </w:rPr>
      </w:pPr>
      <w:r>
        <w:rPr>
          <w:rFonts w:asciiTheme="minorHAnsi" w:hAnsiTheme="minorHAnsi"/>
          <w:sz w:val="24"/>
          <w:szCs w:val="24"/>
        </w:rPr>
        <w:t>No</w:t>
      </w:r>
      <w:r w:rsidR="006B2D6A" w:rsidRPr="0040698F">
        <w:rPr>
          <w:rFonts w:asciiTheme="minorHAnsi" w:hAnsiTheme="minorHAnsi"/>
          <w:sz w:val="24"/>
          <w:szCs w:val="24"/>
        </w:rPr>
        <w:t xml:space="preserve"> contractual or</w:t>
      </w:r>
      <w:r w:rsidR="00B12A52">
        <w:rPr>
          <w:rFonts w:asciiTheme="minorHAnsi" w:hAnsiTheme="minorHAnsi"/>
          <w:sz w:val="24"/>
          <w:szCs w:val="24"/>
        </w:rPr>
        <w:t xml:space="preserve"> other</w:t>
      </w:r>
      <w:r w:rsidR="006B2D6A" w:rsidRPr="0040698F">
        <w:rPr>
          <w:rFonts w:asciiTheme="minorHAnsi" w:hAnsiTheme="minorHAnsi"/>
          <w:sz w:val="24"/>
          <w:szCs w:val="24"/>
        </w:rPr>
        <w:t xml:space="preserve"> legal relationship exists between the </w:t>
      </w:r>
      <w:r w:rsidR="00D3019D">
        <w:rPr>
          <w:rFonts w:asciiTheme="minorHAnsi" w:hAnsiTheme="minorHAnsi"/>
          <w:sz w:val="24"/>
          <w:szCs w:val="24"/>
        </w:rPr>
        <w:t xml:space="preserve">Department </w:t>
      </w:r>
      <w:r w:rsidR="006B2D6A" w:rsidRPr="0040698F">
        <w:rPr>
          <w:rFonts w:asciiTheme="minorHAnsi" w:hAnsiTheme="minorHAnsi"/>
          <w:sz w:val="24"/>
          <w:szCs w:val="24"/>
        </w:rPr>
        <w:t xml:space="preserve">and an applicant in connection </w:t>
      </w:r>
      <w:r w:rsidR="006B2D6A" w:rsidRPr="0032323B">
        <w:rPr>
          <w:rFonts w:asciiTheme="minorHAnsi" w:hAnsiTheme="minorHAnsi"/>
          <w:sz w:val="24"/>
          <w:szCs w:val="24"/>
        </w:rPr>
        <w:t xml:space="preserve">with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00BB025A">
        <w:rPr>
          <w:rFonts w:asciiTheme="minorHAnsi" w:hAnsiTheme="minorHAnsi"/>
          <w:sz w:val="24"/>
          <w:szCs w:val="24"/>
        </w:rPr>
        <w:t xml:space="preserve"> Round 2</w:t>
      </w:r>
      <w:r w:rsidR="006B2D6A" w:rsidRPr="0032323B">
        <w:rPr>
          <w:rFonts w:asciiTheme="minorHAnsi" w:hAnsiTheme="minorHAnsi"/>
          <w:sz w:val="24"/>
          <w:szCs w:val="24"/>
        </w:rPr>
        <w:t>, these guidelines or the application process</w:t>
      </w:r>
      <w:r w:rsidR="00B12A52">
        <w:rPr>
          <w:rFonts w:asciiTheme="minorHAnsi" w:hAnsiTheme="minorHAnsi"/>
          <w:sz w:val="24"/>
          <w:szCs w:val="24"/>
        </w:rPr>
        <w:t>.</w:t>
      </w:r>
      <w:r w:rsidR="006B2D6A" w:rsidRPr="0032323B">
        <w:rPr>
          <w:rFonts w:asciiTheme="minorHAnsi" w:hAnsiTheme="minorHAnsi"/>
          <w:sz w:val="24"/>
          <w:szCs w:val="24"/>
        </w:rPr>
        <w:t xml:space="preserve">  </w:t>
      </w:r>
    </w:p>
    <w:p w:rsidR="00297112" w:rsidRPr="0032323B" w:rsidRDefault="006B2D6A" w:rsidP="00297112">
      <w:pPr>
        <w:spacing w:after="120"/>
        <w:rPr>
          <w:rFonts w:asciiTheme="minorHAnsi" w:hAnsiTheme="minorHAnsi"/>
          <w:sz w:val="24"/>
          <w:szCs w:val="24"/>
        </w:rPr>
      </w:pPr>
      <w:r w:rsidRPr="0032323B">
        <w:rPr>
          <w:rFonts w:asciiTheme="minorHAnsi" w:hAnsiTheme="minorHAnsi"/>
          <w:sz w:val="24"/>
          <w:szCs w:val="24"/>
        </w:rPr>
        <w:t>An applicant</w:t>
      </w:r>
      <w:r w:rsidR="00B12A52">
        <w:rPr>
          <w:rFonts w:asciiTheme="minorHAnsi" w:hAnsiTheme="minorHAnsi"/>
          <w:sz w:val="24"/>
          <w:szCs w:val="24"/>
        </w:rPr>
        <w:t xml:space="preserve"> must not, in relation to </w:t>
      </w:r>
      <w:r w:rsidR="005C0F6C">
        <w:rPr>
          <w:rFonts w:asciiTheme="minorHAnsi" w:hAnsiTheme="minorHAnsi"/>
          <w:sz w:val="24"/>
          <w:szCs w:val="24"/>
        </w:rPr>
        <w:t>the Department</w:t>
      </w:r>
      <w:r w:rsidR="00B12A52">
        <w:rPr>
          <w:rFonts w:asciiTheme="minorHAnsi" w:hAnsiTheme="minorHAnsi"/>
          <w:sz w:val="24"/>
          <w:szCs w:val="24"/>
        </w:rPr>
        <w:t>:</w:t>
      </w:r>
    </w:p>
    <w:p w:rsidR="00297112" w:rsidRPr="0032323B" w:rsidRDefault="006B2D6A" w:rsidP="00A80916">
      <w:pPr>
        <w:pStyle w:val="ListParagraph"/>
        <w:numPr>
          <w:ilvl w:val="0"/>
          <w:numId w:val="11"/>
        </w:numPr>
        <w:ind w:hanging="436"/>
        <w:rPr>
          <w:rFonts w:asciiTheme="minorHAnsi" w:hAnsiTheme="minorHAnsi"/>
          <w:sz w:val="24"/>
          <w:szCs w:val="24"/>
        </w:rPr>
      </w:pPr>
      <w:r w:rsidRPr="0032323B">
        <w:rPr>
          <w:rFonts w:asciiTheme="minorHAnsi" w:hAnsiTheme="minorHAnsi"/>
          <w:sz w:val="24"/>
          <w:szCs w:val="24"/>
        </w:rPr>
        <w:t xml:space="preserve">hold itself out or engage in any conduct or make any representation which may suggest to any person that the applicant is for any purpose an employee, agent, partner or </w:t>
      </w:r>
      <w:r w:rsidR="009F360A">
        <w:rPr>
          <w:rFonts w:asciiTheme="minorHAnsi" w:hAnsiTheme="minorHAnsi"/>
          <w:sz w:val="24"/>
          <w:szCs w:val="24"/>
        </w:rPr>
        <w:t xml:space="preserve">engaged in a </w:t>
      </w:r>
      <w:r w:rsidRPr="0032323B">
        <w:rPr>
          <w:rFonts w:asciiTheme="minorHAnsi" w:hAnsiTheme="minorHAnsi"/>
          <w:sz w:val="24"/>
          <w:szCs w:val="24"/>
        </w:rPr>
        <w:t xml:space="preserve">joint venture; </w:t>
      </w:r>
      <w:r w:rsidR="009F360A">
        <w:rPr>
          <w:rFonts w:asciiTheme="minorHAnsi" w:hAnsiTheme="minorHAnsi"/>
          <w:sz w:val="24"/>
          <w:szCs w:val="24"/>
        </w:rPr>
        <w:t>or</w:t>
      </w:r>
      <w:r w:rsidRPr="0032323B">
        <w:rPr>
          <w:rFonts w:asciiTheme="minorHAnsi" w:hAnsiTheme="minorHAnsi"/>
          <w:sz w:val="24"/>
          <w:szCs w:val="24"/>
        </w:rPr>
        <w:t xml:space="preserve"> </w:t>
      </w:r>
    </w:p>
    <w:p w:rsidR="006928C9" w:rsidRPr="0032323B" w:rsidRDefault="006B2D6A" w:rsidP="00A80916">
      <w:pPr>
        <w:pStyle w:val="ListParagraph"/>
        <w:numPr>
          <w:ilvl w:val="0"/>
          <w:numId w:val="11"/>
        </w:numPr>
        <w:spacing w:after="240"/>
        <w:ind w:hanging="436"/>
        <w:rPr>
          <w:rFonts w:asciiTheme="minorHAnsi" w:hAnsiTheme="minorHAnsi"/>
          <w:sz w:val="24"/>
          <w:szCs w:val="24"/>
        </w:rPr>
      </w:pPr>
      <w:r w:rsidRPr="0032323B">
        <w:rPr>
          <w:rFonts w:asciiTheme="minorHAnsi" w:hAnsiTheme="minorHAnsi"/>
          <w:sz w:val="24"/>
          <w:szCs w:val="24"/>
        </w:rPr>
        <w:t xml:space="preserve">represent to any person the </w:t>
      </w:r>
      <w:r w:rsidR="00B12A52">
        <w:rPr>
          <w:rFonts w:asciiTheme="minorHAnsi" w:hAnsiTheme="minorHAnsi"/>
          <w:sz w:val="24"/>
          <w:szCs w:val="24"/>
        </w:rPr>
        <w:t>named entities</w:t>
      </w:r>
      <w:r w:rsidRPr="0032323B">
        <w:rPr>
          <w:rFonts w:asciiTheme="minorHAnsi" w:hAnsiTheme="minorHAnsi"/>
          <w:sz w:val="24"/>
          <w:szCs w:val="24"/>
        </w:rPr>
        <w:t xml:space="preserve"> </w:t>
      </w:r>
      <w:r w:rsidR="00D03B35">
        <w:rPr>
          <w:rFonts w:asciiTheme="minorHAnsi" w:hAnsiTheme="minorHAnsi"/>
          <w:sz w:val="24"/>
          <w:szCs w:val="24"/>
        </w:rPr>
        <w:t xml:space="preserve">that </w:t>
      </w:r>
      <w:r w:rsidR="00B12A52">
        <w:rPr>
          <w:rFonts w:asciiTheme="minorHAnsi" w:hAnsiTheme="minorHAnsi"/>
          <w:sz w:val="24"/>
          <w:szCs w:val="24"/>
        </w:rPr>
        <w:t>are</w:t>
      </w:r>
      <w:r w:rsidRPr="0032323B">
        <w:rPr>
          <w:rFonts w:asciiTheme="minorHAnsi" w:hAnsiTheme="minorHAnsi"/>
          <w:sz w:val="24"/>
          <w:szCs w:val="24"/>
        </w:rPr>
        <w:t xml:space="preserve"> a party to</w:t>
      </w:r>
      <w:r w:rsidR="00B12A52">
        <w:rPr>
          <w:rFonts w:asciiTheme="minorHAnsi" w:hAnsiTheme="minorHAnsi"/>
          <w:sz w:val="24"/>
          <w:szCs w:val="24"/>
        </w:rPr>
        <w:t xml:space="preserve"> or involved in</w:t>
      </w:r>
      <w:r w:rsidRPr="0032323B">
        <w:rPr>
          <w:rFonts w:asciiTheme="minorHAnsi" w:hAnsiTheme="minorHAnsi"/>
          <w:sz w:val="24"/>
          <w:szCs w:val="24"/>
        </w:rPr>
        <w:t xml:space="preserve"> the proposed project (other than as a potential funder, subject to the application process and confidentiality obligations detailed in these guidelines).</w:t>
      </w:r>
    </w:p>
    <w:p w:rsidR="006B2D6A" w:rsidRPr="0040698F" w:rsidRDefault="003B0836" w:rsidP="003C5FCE">
      <w:pPr>
        <w:pStyle w:val="Heading1"/>
        <w:spacing w:before="360"/>
        <w:rPr>
          <w:lang w:eastAsia="en-AU"/>
        </w:rPr>
      </w:pPr>
      <w:bookmarkStart w:id="18" w:name="_Toc118897479"/>
      <w:r w:rsidRPr="0040698F">
        <w:rPr>
          <w:lang w:eastAsia="en-AU"/>
        </w:rPr>
        <w:t>1</w:t>
      </w:r>
      <w:r w:rsidR="003462A0">
        <w:rPr>
          <w:lang w:eastAsia="en-AU"/>
        </w:rPr>
        <w:t>1</w:t>
      </w:r>
      <w:r w:rsidR="0040698F">
        <w:rPr>
          <w:lang w:eastAsia="en-AU"/>
        </w:rPr>
        <w:t xml:space="preserve">. </w:t>
      </w:r>
      <w:r w:rsidR="000338D0">
        <w:rPr>
          <w:lang w:eastAsia="en-AU"/>
        </w:rPr>
        <w:tab/>
      </w:r>
      <w:r w:rsidR="006B2D6A" w:rsidRPr="0040698F">
        <w:rPr>
          <w:lang w:eastAsia="en-AU"/>
        </w:rPr>
        <w:t>Participation at applicant’s cost</w:t>
      </w:r>
      <w:bookmarkEnd w:id="18"/>
      <w:r w:rsidR="006B2D6A" w:rsidRPr="0040698F">
        <w:rPr>
          <w:lang w:eastAsia="en-AU"/>
        </w:rPr>
        <w:t xml:space="preserve">  </w:t>
      </w:r>
    </w:p>
    <w:p w:rsidR="006B2D6A" w:rsidRPr="0032323B" w:rsidRDefault="006B2D6A" w:rsidP="006007A0">
      <w:pPr>
        <w:spacing w:after="120"/>
        <w:rPr>
          <w:rFonts w:asciiTheme="minorHAnsi" w:hAnsiTheme="minorHAnsi"/>
          <w:sz w:val="24"/>
          <w:szCs w:val="24"/>
        </w:rPr>
      </w:pPr>
      <w:r w:rsidRPr="0032323B">
        <w:rPr>
          <w:rFonts w:asciiTheme="minorHAnsi" w:hAnsiTheme="minorHAnsi"/>
          <w:sz w:val="24"/>
          <w:szCs w:val="24"/>
        </w:rPr>
        <w:t xml:space="preserve">Each applicant participates in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Pr="0032323B">
        <w:rPr>
          <w:rFonts w:asciiTheme="minorHAnsi" w:hAnsiTheme="minorHAnsi"/>
          <w:sz w:val="24"/>
          <w:szCs w:val="24"/>
        </w:rPr>
        <w:t xml:space="preserve"> </w:t>
      </w:r>
      <w:r w:rsidR="008365C8">
        <w:rPr>
          <w:rFonts w:asciiTheme="minorHAnsi" w:hAnsiTheme="minorHAnsi"/>
          <w:sz w:val="24"/>
          <w:szCs w:val="24"/>
        </w:rPr>
        <w:t xml:space="preserve">Round 2 </w:t>
      </w:r>
      <w:r w:rsidRPr="0032323B">
        <w:rPr>
          <w:rFonts w:asciiTheme="minorHAnsi" w:hAnsiTheme="minorHAnsi"/>
          <w:sz w:val="24"/>
          <w:szCs w:val="24"/>
        </w:rPr>
        <w:t xml:space="preserve">at its own cost and risk. </w:t>
      </w:r>
    </w:p>
    <w:p w:rsidR="00725EDE" w:rsidRPr="0032323B" w:rsidRDefault="006B2D6A" w:rsidP="006B2D6A">
      <w:pPr>
        <w:spacing w:after="120"/>
        <w:rPr>
          <w:rFonts w:asciiTheme="minorHAnsi" w:hAnsiTheme="minorHAnsi"/>
          <w:sz w:val="24"/>
          <w:szCs w:val="24"/>
        </w:rPr>
      </w:pPr>
      <w:r w:rsidRPr="0032323B">
        <w:rPr>
          <w:rFonts w:asciiTheme="minorHAnsi" w:hAnsiTheme="minorHAnsi"/>
          <w:sz w:val="24"/>
          <w:szCs w:val="24"/>
        </w:rPr>
        <w:t xml:space="preserve">To the extent permitted by law, no applicant will have any claim of any kind whatsoever against </w:t>
      </w:r>
      <w:r w:rsidR="005C0F6C" w:rsidRPr="0032323B">
        <w:rPr>
          <w:rFonts w:asciiTheme="minorHAnsi" w:hAnsiTheme="minorHAnsi"/>
          <w:sz w:val="24"/>
          <w:szCs w:val="24"/>
        </w:rPr>
        <w:t xml:space="preserve">the </w:t>
      </w:r>
      <w:r w:rsidR="005C0F6C">
        <w:rPr>
          <w:rFonts w:asciiTheme="minorHAnsi" w:hAnsiTheme="minorHAnsi"/>
          <w:sz w:val="24"/>
          <w:szCs w:val="24"/>
        </w:rPr>
        <w:t>Department</w:t>
      </w:r>
      <w:r w:rsidR="008E17E5">
        <w:rPr>
          <w:rFonts w:asciiTheme="minorHAnsi" w:hAnsiTheme="minorHAnsi"/>
          <w:sz w:val="24"/>
          <w:szCs w:val="24"/>
        </w:rPr>
        <w:t xml:space="preserve"> </w:t>
      </w:r>
      <w:r w:rsidRPr="0032323B">
        <w:rPr>
          <w:rFonts w:asciiTheme="minorHAnsi" w:hAnsiTheme="minorHAnsi"/>
          <w:sz w:val="24"/>
          <w:szCs w:val="24"/>
        </w:rPr>
        <w:t xml:space="preserve">(whether in contract, tort (including negligence), equity, under statute or otherwise) arising from or in connection with: </w:t>
      </w:r>
    </w:p>
    <w:p w:rsidR="00725EDE" w:rsidRPr="0032323B" w:rsidRDefault="006B2D6A" w:rsidP="00A80916">
      <w:pPr>
        <w:pStyle w:val="ListParagraph"/>
        <w:numPr>
          <w:ilvl w:val="0"/>
          <w:numId w:val="12"/>
        </w:numPr>
        <w:ind w:hanging="436"/>
        <w:rPr>
          <w:rFonts w:asciiTheme="minorHAnsi" w:hAnsiTheme="minorHAnsi"/>
          <w:sz w:val="24"/>
          <w:szCs w:val="24"/>
        </w:rPr>
      </w:pPr>
      <w:r w:rsidRPr="0032323B">
        <w:rPr>
          <w:rFonts w:asciiTheme="minorHAnsi" w:hAnsiTheme="minorHAnsi"/>
          <w:sz w:val="24"/>
          <w:szCs w:val="24"/>
        </w:rPr>
        <w:t xml:space="preserve">any costs, expenses, losses or liabilities suffered or incurred by the applicant in preparing and submitting its application (including any amendments, requests for further information by the </w:t>
      </w:r>
      <w:r w:rsidR="008E17E5">
        <w:rPr>
          <w:rFonts w:asciiTheme="minorHAnsi" w:hAnsiTheme="minorHAnsi"/>
          <w:sz w:val="24"/>
          <w:szCs w:val="24"/>
        </w:rPr>
        <w:t xml:space="preserve">Department </w:t>
      </w:r>
      <w:r w:rsidRPr="0032323B">
        <w:rPr>
          <w:rFonts w:asciiTheme="minorHAnsi" w:hAnsiTheme="minorHAnsi"/>
          <w:sz w:val="24"/>
          <w:szCs w:val="24"/>
        </w:rPr>
        <w:t xml:space="preserve">attendance at meetings or involvement in discussions) or otherwise in connection with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008365C8">
        <w:rPr>
          <w:rFonts w:asciiTheme="minorHAnsi" w:hAnsiTheme="minorHAnsi"/>
          <w:sz w:val="24"/>
          <w:szCs w:val="24"/>
        </w:rPr>
        <w:t xml:space="preserve"> Round 2</w:t>
      </w:r>
      <w:r w:rsidRPr="0032323B">
        <w:rPr>
          <w:rFonts w:asciiTheme="minorHAnsi" w:hAnsiTheme="minorHAnsi"/>
          <w:sz w:val="24"/>
          <w:szCs w:val="24"/>
        </w:rPr>
        <w:t>;</w:t>
      </w:r>
    </w:p>
    <w:p w:rsidR="00725EDE" w:rsidRPr="0032323B" w:rsidRDefault="006B2D6A" w:rsidP="00A80916">
      <w:pPr>
        <w:pStyle w:val="ListParagraph"/>
        <w:numPr>
          <w:ilvl w:val="0"/>
          <w:numId w:val="12"/>
        </w:numPr>
        <w:ind w:hanging="436"/>
        <w:rPr>
          <w:rFonts w:asciiTheme="minorHAnsi" w:hAnsiTheme="minorHAnsi"/>
          <w:sz w:val="24"/>
          <w:szCs w:val="24"/>
        </w:rPr>
      </w:pPr>
      <w:r w:rsidRPr="0032323B">
        <w:rPr>
          <w:rFonts w:asciiTheme="minorHAnsi" w:hAnsiTheme="minorHAnsi"/>
          <w:sz w:val="24"/>
          <w:szCs w:val="24"/>
        </w:rPr>
        <w:t xml:space="preserve">the </w:t>
      </w:r>
      <w:r w:rsidR="008E17E5">
        <w:rPr>
          <w:rFonts w:asciiTheme="minorHAnsi" w:hAnsiTheme="minorHAnsi"/>
          <w:sz w:val="24"/>
          <w:szCs w:val="24"/>
        </w:rPr>
        <w:t>Department,</w:t>
      </w:r>
      <w:r w:rsidRPr="0032323B">
        <w:rPr>
          <w:rFonts w:asciiTheme="minorHAnsi" w:hAnsiTheme="minorHAnsi"/>
          <w:sz w:val="24"/>
          <w:szCs w:val="24"/>
        </w:rPr>
        <w:t xml:space="preserve"> at any time exercising or failing to exercise, in its absolute discretion, any rights it has under or in connection with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008365C8">
        <w:rPr>
          <w:rFonts w:asciiTheme="minorHAnsi" w:hAnsiTheme="minorHAnsi"/>
          <w:sz w:val="24"/>
          <w:szCs w:val="24"/>
        </w:rPr>
        <w:t xml:space="preserve"> Round 2</w:t>
      </w:r>
      <w:r w:rsidRPr="0032323B">
        <w:rPr>
          <w:rFonts w:asciiTheme="minorHAnsi" w:hAnsiTheme="minorHAnsi"/>
          <w:sz w:val="24"/>
          <w:szCs w:val="24"/>
        </w:rPr>
        <w:t xml:space="preserve">; or </w:t>
      </w:r>
    </w:p>
    <w:p w:rsidR="006B2D6A" w:rsidRPr="0032323B" w:rsidRDefault="006B2D6A" w:rsidP="00A80916">
      <w:pPr>
        <w:pStyle w:val="ListParagraph"/>
        <w:numPr>
          <w:ilvl w:val="0"/>
          <w:numId w:val="12"/>
        </w:numPr>
        <w:ind w:hanging="436"/>
        <w:rPr>
          <w:rFonts w:asciiTheme="minorHAnsi" w:hAnsiTheme="minorHAnsi"/>
          <w:sz w:val="24"/>
          <w:szCs w:val="24"/>
        </w:rPr>
      </w:pPr>
      <w:r w:rsidRPr="0032323B">
        <w:rPr>
          <w:rFonts w:asciiTheme="minorHAnsi" w:hAnsiTheme="minorHAnsi"/>
          <w:sz w:val="24"/>
          <w:szCs w:val="24"/>
        </w:rPr>
        <w:t xml:space="preserve">any of the matters or things relevant to its application or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008365C8">
        <w:rPr>
          <w:rFonts w:asciiTheme="minorHAnsi" w:hAnsiTheme="minorHAnsi"/>
          <w:sz w:val="24"/>
          <w:szCs w:val="24"/>
        </w:rPr>
        <w:t xml:space="preserve"> Round 2</w:t>
      </w:r>
      <w:r w:rsidRPr="0032323B">
        <w:rPr>
          <w:rFonts w:asciiTheme="minorHAnsi" w:hAnsiTheme="minorHAnsi"/>
          <w:sz w:val="24"/>
          <w:szCs w:val="24"/>
        </w:rPr>
        <w:t xml:space="preserve"> in respect of which the applicant must satisfy itself, including under these guidelines. </w:t>
      </w:r>
    </w:p>
    <w:p w:rsidR="006B2D6A" w:rsidRPr="0032323B" w:rsidRDefault="006B2D6A" w:rsidP="00A66BB3">
      <w:pPr>
        <w:spacing w:after="240"/>
        <w:rPr>
          <w:rFonts w:asciiTheme="minorHAnsi" w:hAnsiTheme="minorHAnsi"/>
          <w:sz w:val="24"/>
          <w:szCs w:val="24"/>
        </w:rPr>
      </w:pPr>
      <w:r w:rsidRPr="0032323B">
        <w:rPr>
          <w:rFonts w:asciiTheme="minorHAnsi" w:hAnsiTheme="minorHAnsi"/>
          <w:sz w:val="24"/>
          <w:szCs w:val="24"/>
        </w:rPr>
        <w:t xml:space="preserve">Without limiting the foregoing, if the </w:t>
      </w:r>
      <w:r w:rsidR="008E17E5">
        <w:rPr>
          <w:rFonts w:asciiTheme="minorHAnsi" w:hAnsiTheme="minorHAnsi"/>
          <w:sz w:val="24"/>
          <w:szCs w:val="24"/>
        </w:rPr>
        <w:t xml:space="preserve">Department </w:t>
      </w:r>
      <w:r w:rsidRPr="0032323B">
        <w:rPr>
          <w:rFonts w:asciiTheme="minorHAnsi" w:hAnsiTheme="minorHAnsi"/>
          <w:sz w:val="24"/>
          <w:szCs w:val="24"/>
        </w:rPr>
        <w:t xml:space="preserve">cancels or varies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Pr="0032323B">
        <w:rPr>
          <w:rFonts w:asciiTheme="minorHAnsi" w:hAnsiTheme="minorHAnsi"/>
          <w:sz w:val="24"/>
          <w:szCs w:val="24"/>
        </w:rPr>
        <w:t xml:space="preserve"> </w:t>
      </w:r>
      <w:r w:rsidR="008365C8">
        <w:rPr>
          <w:rFonts w:asciiTheme="minorHAnsi" w:hAnsiTheme="minorHAnsi"/>
          <w:sz w:val="24"/>
          <w:szCs w:val="24"/>
        </w:rPr>
        <w:t xml:space="preserve">Round 2 </w:t>
      </w:r>
      <w:r w:rsidRPr="0032323B">
        <w:rPr>
          <w:rFonts w:asciiTheme="minorHAnsi" w:hAnsiTheme="minorHAnsi"/>
          <w:sz w:val="24"/>
          <w:szCs w:val="24"/>
        </w:rPr>
        <w:t xml:space="preserve">at any time or does not select any applicant following its assessment of the applications, or does (or fails to do) any other thing referred to under these </w:t>
      </w:r>
      <w:r w:rsidR="008E17E5">
        <w:rPr>
          <w:rFonts w:asciiTheme="minorHAnsi" w:hAnsiTheme="minorHAnsi"/>
          <w:sz w:val="24"/>
          <w:szCs w:val="24"/>
        </w:rPr>
        <w:t xml:space="preserve"> terms and conditions</w:t>
      </w:r>
      <w:r w:rsidRPr="0032323B">
        <w:rPr>
          <w:rFonts w:asciiTheme="minorHAnsi" w:hAnsiTheme="minorHAnsi"/>
          <w:sz w:val="24"/>
          <w:szCs w:val="24"/>
        </w:rPr>
        <w:t xml:space="preserve">, no applicant will have any </w:t>
      </w:r>
      <w:r w:rsidRPr="0032323B">
        <w:rPr>
          <w:rFonts w:asciiTheme="minorHAnsi" w:hAnsiTheme="minorHAnsi"/>
          <w:sz w:val="24"/>
          <w:szCs w:val="24"/>
        </w:rPr>
        <w:lastRenderedPageBreak/>
        <w:t xml:space="preserve">claim against the </w:t>
      </w:r>
      <w:r w:rsidR="008E17E5">
        <w:rPr>
          <w:rFonts w:asciiTheme="minorHAnsi" w:hAnsiTheme="minorHAnsi"/>
          <w:sz w:val="24"/>
          <w:szCs w:val="24"/>
        </w:rPr>
        <w:t xml:space="preserve">Department </w:t>
      </w:r>
      <w:r w:rsidRPr="0032323B">
        <w:rPr>
          <w:rFonts w:asciiTheme="minorHAnsi" w:hAnsiTheme="minorHAnsi"/>
          <w:sz w:val="24"/>
          <w:szCs w:val="24"/>
        </w:rPr>
        <w:t xml:space="preserve">arising from or in connection with any costs, expenses, losses or liabilities incurred by the applicant in preparing and submitting its application or otherwise in connection with or in relation (whether directly or indirectly) to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008365C8">
        <w:rPr>
          <w:rFonts w:asciiTheme="minorHAnsi" w:hAnsiTheme="minorHAnsi"/>
          <w:sz w:val="24"/>
          <w:szCs w:val="24"/>
        </w:rPr>
        <w:t xml:space="preserve"> Round 2</w:t>
      </w:r>
      <w:r w:rsidRPr="0032323B">
        <w:rPr>
          <w:rFonts w:asciiTheme="minorHAnsi" w:hAnsiTheme="minorHAnsi"/>
          <w:sz w:val="24"/>
          <w:szCs w:val="24"/>
        </w:rPr>
        <w:t xml:space="preserve">. </w:t>
      </w:r>
    </w:p>
    <w:p w:rsidR="006B2D6A" w:rsidRPr="0040698F" w:rsidRDefault="003B0836" w:rsidP="003C5FCE">
      <w:pPr>
        <w:pStyle w:val="Heading1"/>
        <w:spacing w:before="360"/>
        <w:rPr>
          <w:lang w:eastAsia="en-AU"/>
        </w:rPr>
      </w:pPr>
      <w:bookmarkStart w:id="19" w:name="_Toc118897480"/>
      <w:r w:rsidRPr="0040698F">
        <w:rPr>
          <w:lang w:eastAsia="en-AU"/>
        </w:rPr>
        <w:t>1</w:t>
      </w:r>
      <w:r w:rsidR="003462A0">
        <w:rPr>
          <w:lang w:eastAsia="en-AU"/>
        </w:rPr>
        <w:t>2</w:t>
      </w:r>
      <w:r w:rsidR="0040698F">
        <w:rPr>
          <w:lang w:eastAsia="en-AU"/>
        </w:rPr>
        <w:t>.</w:t>
      </w:r>
      <w:r w:rsidR="000338D0">
        <w:rPr>
          <w:lang w:eastAsia="en-AU"/>
        </w:rPr>
        <w:t xml:space="preserve"> </w:t>
      </w:r>
      <w:r w:rsidR="000338D0">
        <w:rPr>
          <w:lang w:eastAsia="en-AU"/>
        </w:rPr>
        <w:tab/>
        <w:t>I</w:t>
      </w:r>
      <w:r w:rsidR="006B2D6A" w:rsidRPr="0040698F">
        <w:rPr>
          <w:lang w:eastAsia="en-AU"/>
        </w:rPr>
        <w:t>ntellectual property</w:t>
      </w:r>
      <w:bookmarkEnd w:id="19"/>
      <w:r w:rsidR="006B2D6A" w:rsidRPr="0040698F">
        <w:rPr>
          <w:lang w:eastAsia="en-AU"/>
        </w:rPr>
        <w:t xml:space="preserve"> </w:t>
      </w:r>
    </w:p>
    <w:p w:rsidR="006B2D6A" w:rsidRPr="0032323B" w:rsidRDefault="006B2D6A" w:rsidP="006B2D6A">
      <w:pPr>
        <w:spacing w:after="120"/>
        <w:rPr>
          <w:rFonts w:asciiTheme="minorHAnsi" w:hAnsiTheme="minorHAnsi"/>
          <w:sz w:val="24"/>
          <w:szCs w:val="24"/>
        </w:rPr>
      </w:pPr>
      <w:r w:rsidRPr="0032323B">
        <w:rPr>
          <w:rFonts w:asciiTheme="minorHAnsi" w:hAnsiTheme="minorHAnsi"/>
          <w:sz w:val="24"/>
          <w:szCs w:val="24"/>
        </w:rPr>
        <w:t xml:space="preserve">Any intellectual property rights that may exist in an application will remain the property of the applicant or the rightful </w:t>
      </w:r>
      <w:r w:rsidR="002534C3">
        <w:rPr>
          <w:rFonts w:asciiTheme="minorHAnsi" w:hAnsiTheme="minorHAnsi"/>
          <w:sz w:val="24"/>
          <w:szCs w:val="24"/>
        </w:rPr>
        <w:t xml:space="preserve">third party </w:t>
      </w:r>
      <w:r w:rsidRPr="0032323B">
        <w:rPr>
          <w:rFonts w:asciiTheme="minorHAnsi" w:hAnsiTheme="minorHAnsi"/>
          <w:sz w:val="24"/>
          <w:szCs w:val="24"/>
        </w:rPr>
        <w:t>owner of those intellectual property rights.  Any part of an application considered to contain any intellectual property rights should be clearly identified by the applicant</w:t>
      </w:r>
      <w:r w:rsidR="002534C3">
        <w:rPr>
          <w:rFonts w:asciiTheme="minorHAnsi" w:hAnsiTheme="minorHAnsi"/>
          <w:sz w:val="24"/>
          <w:szCs w:val="24"/>
        </w:rPr>
        <w:t xml:space="preserve"> and where a third party or parties hold any intellectual property rights in any part of an application the applicant warrants to the Department that it is authorised by that third party </w:t>
      </w:r>
      <w:r w:rsidR="0007520D">
        <w:rPr>
          <w:rFonts w:asciiTheme="minorHAnsi" w:hAnsiTheme="minorHAnsi"/>
          <w:sz w:val="24"/>
          <w:szCs w:val="24"/>
        </w:rPr>
        <w:t>to use</w:t>
      </w:r>
      <w:r w:rsidR="002534C3">
        <w:rPr>
          <w:rFonts w:asciiTheme="minorHAnsi" w:hAnsiTheme="minorHAnsi"/>
          <w:sz w:val="24"/>
          <w:szCs w:val="24"/>
        </w:rPr>
        <w:t xml:space="preserve"> and disclose that intellectual property for the purposes of the making of and the management of the application until such time as a funding agreement is executed.</w:t>
      </w:r>
    </w:p>
    <w:p w:rsidR="003462A0" w:rsidRDefault="006B2D6A" w:rsidP="00881A37">
      <w:pPr>
        <w:spacing w:after="120"/>
        <w:rPr>
          <w:rFonts w:asciiTheme="minorHAnsi" w:hAnsiTheme="minorHAnsi"/>
          <w:sz w:val="24"/>
          <w:szCs w:val="24"/>
        </w:rPr>
      </w:pPr>
      <w:r w:rsidRPr="0032323B">
        <w:rPr>
          <w:rFonts w:asciiTheme="minorHAnsi" w:hAnsiTheme="minorHAnsi"/>
          <w:sz w:val="24"/>
          <w:szCs w:val="24"/>
        </w:rPr>
        <w:t xml:space="preserve">The applicant grants to the </w:t>
      </w:r>
      <w:r w:rsidR="008E17E5">
        <w:rPr>
          <w:rFonts w:asciiTheme="minorHAnsi" w:hAnsiTheme="minorHAnsi"/>
          <w:sz w:val="24"/>
          <w:szCs w:val="24"/>
        </w:rPr>
        <w:t xml:space="preserve">Department </w:t>
      </w:r>
      <w:r w:rsidRPr="0032323B">
        <w:rPr>
          <w:rFonts w:asciiTheme="minorHAnsi" w:hAnsiTheme="minorHAnsi"/>
          <w:sz w:val="24"/>
          <w:szCs w:val="24"/>
        </w:rPr>
        <w:t>(and will ensure that relevant third parties grant) a non</w:t>
      </w:r>
      <w:r w:rsidR="009F360A">
        <w:rPr>
          <w:rFonts w:asciiTheme="minorHAnsi" w:hAnsiTheme="minorHAnsi"/>
          <w:sz w:val="24"/>
          <w:szCs w:val="24"/>
        </w:rPr>
        <w:noBreakHyphen/>
      </w:r>
      <w:r w:rsidRPr="0032323B">
        <w:rPr>
          <w:rFonts w:asciiTheme="minorHAnsi" w:hAnsiTheme="minorHAnsi"/>
          <w:sz w:val="24"/>
          <w:szCs w:val="24"/>
        </w:rPr>
        <w:t xml:space="preserve">exclusive, irrevocable licence to use and reproduce the intellectual property for the purpose of administering the </w:t>
      </w:r>
      <w:r w:rsidR="00956837" w:rsidRPr="0032323B">
        <w:rPr>
          <w:rFonts w:asciiTheme="minorHAnsi" w:hAnsiTheme="minorHAnsi"/>
          <w:sz w:val="24"/>
          <w:szCs w:val="24"/>
        </w:rPr>
        <w:t xml:space="preserve">NT </w:t>
      </w:r>
      <w:r w:rsidR="00776C45">
        <w:rPr>
          <w:rFonts w:asciiTheme="minorHAnsi" w:hAnsiTheme="minorHAnsi"/>
          <w:sz w:val="24"/>
          <w:szCs w:val="24"/>
        </w:rPr>
        <w:t>RMF</w:t>
      </w:r>
      <w:r w:rsidR="008365C8">
        <w:rPr>
          <w:rFonts w:asciiTheme="minorHAnsi" w:hAnsiTheme="minorHAnsi"/>
          <w:sz w:val="24"/>
          <w:szCs w:val="24"/>
        </w:rPr>
        <w:t xml:space="preserve"> Round 2</w:t>
      </w:r>
      <w:r w:rsidRPr="0032323B">
        <w:rPr>
          <w:rFonts w:asciiTheme="minorHAnsi" w:hAnsiTheme="minorHAnsi"/>
          <w:sz w:val="24"/>
          <w:szCs w:val="24"/>
        </w:rPr>
        <w:t xml:space="preserve">. </w:t>
      </w:r>
      <w:r w:rsidR="00CE00B9">
        <w:rPr>
          <w:rFonts w:asciiTheme="minorHAnsi" w:hAnsiTheme="minorHAnsi"/>
          <w:sz w:val="24"/>
          <w:szCs w:val="24"/>
        </w:rPr>
        <w:t xml:space="preserve"> The funding agreement will contain specific provisions about intellectual property.</w:t>
      </w:r>
    </w:p>
    <w:p w:rsidR="006B2D6A" w:rsidRPr="000338D0" w:rsidRDefault="003B0836" w:rsidP="000338D0">
      <w:pPr>
        <w:pStyle w:val="Heading1"/>
        <w:rPr>
          <w:lang w:eastAsia="en-AU"/>
        </w:rPr>
      </w:pPr>
      <w:bookmarkStart w:id="20" w:name="_Toc118897481"/>
      <w:r w:rsidRPr="000338D0">
        <w:rPr>
          <w:lang w:eastAsia="en-AU"/>
        </w:rPr>
        <w:t>1</w:t>
      </w:r>
      <w:r w:rsidR="003462A0">
        <w:rPr>
          <w:lang w:eastAsia="en-AU"/>
        </w:rPr>
        <w:t>3</w:t>
      </w:r>
      <w:r w:rsidR="0040698F" w:rsidRPr="000338D0">
        <w:rPr>
          <w:lang w:eastAsia="en-AU"/>
        </w:rPr>
        <w:t>.</w:t>
      </w:r>
      <w:r w:rsidRPr="000338D0">
        <w:rPr>
          <w:lang w:eastAsia="en-AU"/>
        </w:rPr>
        <w:t xml:space="preserve"> </w:t>
      </w:r>
      <w:r w:rsidR="000338D0">
        <w:rPr>
          <w:lang w:eastAsia="en-AU"/>
        </w:rPr>
        <w:tab/>
      </w:r>
      <w:r w:rsidR="006B2D6A" w:rsidRPr="000338D0">
        <w:rPr>
          <w:lang w:eastAsia="en-AU"/>
        </w:rPr>
        <w:t>Privacy</w:t>
      </w:r>
      <w:bookmarkEnd w:id="20"/>
      <w:r w:rsidR="006B2D6A" w:rsidRPr="000338D0">
        <w:rPr>
          <w:lang w:eastAsia="en-AU"/>
        </w:rPr>
        <w:t xml:space="preserve"> </w:t>
      </w:r>
    </w:p>
    <w:p w:rsidR="00A1103A" w:rsidRPr="0040698F" w:rsidRDefault="00A1103A" w:rsidP="00A1103A">
      <w:pPr>
        <w:rPr>
          <w:sz w:val="24"/>
          <w:szCs w:val="24"/>
          <w:lang w:eastAsia="en-AU"/>
        </w:rPr>
      </w:pPr>
      <w:r w:rsidRPr="0040698F">
        <w:rPr>
          <w:sz w:val="24"/>
          <w:szCs w:val="24"/>
          <w:lang w:eastAsia="en-AU"/>
        </w:rPr>
        <w:t xml:space="preserve">All </w:t>
      </w:r>
      <w:r w:rsidR="009F360A">
        <w:rPr>
          <w:sz w:val="24"/>
          <w:szCs w:val="24"/>
          <w:lang w:eastAsia="en-AU"/>
        </w:rPr>
        <w:t>p</w:t>
      </w:r>
      <w:r w:rsidRPr="0040698F">
        <w:rPr>
          <w:sz w:val="24"/>
          <w:szCs w:val="24"/>
          <w:lang w:eastAsia="en-AU"/>
        </w:rPr>
        <w:t>articipants acknowledge that the Department</w:t>
      </w:r>
      <w:r w:rsidR="00D3019D">
        <w:rPr>
          <w:sz w:val="24"/>
          <w:szCs w:val="24"/>
          <w:lang w:eastAsia="en-AU"/>
        </w:rPr>
        <w:t xml:space="preserve"> </w:t>
      </w:r>
      <w:r w:rsidRPr="0040698F">
        <w:rPr>
          <w:sz w:val="24"/>
          <w:szCs w:val="24"/>
          <w:lang w:eastAsia="en-AU"/>
        </w:rPr>
        <w:t xml:space="preserve">will, in addition to anything specifically referred to in these Terms and Conditions, conduct such due diligence enquiries as it sees fit throughout the participation process and through the term of any </w:t>
      </w:r>
      <w:r w:rsidR="009F360A">
        <w:rPr>
          <w:sz w:val="24"/>
          <w:szCs w:val="24"/>
          <w:lang w:eastAsia="en-AU"/>
        </w:rPr>
        <w:t>a</w:t>
      </w:r>
      <w:r w:rsidRPr="0040698F">
        <w:rPr>
          <w:sz w:val="24"/>
          <w:szCs w:val="24"/>
          <w:lang w:eastAsia="en-AU"/>
        </w:rPr>
        <w:t xml:space="preserve">greement, in order to ensure the integrity of the </w:t>
      </w:r>
      <w:r w:rsidR="00C97055">
        <w:rPr>
          <w:sz w:val="24"/>
          <w:szCs w:val="24"/>
          <w:lang w:eastAsia="en-AU"/>
        </w:rPr>
        <w:t xml:space="preserve">NT </w:t>
      </w:r>
      <w:r w:rsidR="00776C45">
        <w:rPr>
          <w:sz w:val="24"/>
          <w:szCs w:val="24"/>
          <w:lang w:eastAsia="en-AU"/>
        </w:rPr>
        <w:t>RMF</w:t>
      </w:r>
      <w:r w:rsidR="00C97055">
        <w:rPr>
          <w:sz w:val="24"/>
          <w:szCs w:val="24"/>
          <w:lang w:eastAsia="en-AU"/>
        </w:rPr>
        <w:t xml:space="preserve"> </w:t>
      </w:r>
      <w:r w:rsidRPr="0040698F">
        <w:rPr>
          <w:sz w:val="24"/>
          <w:szCs w:val="24"/>
          <w:lang w:eastAsia="en-AU"/>
        </w:rPr>
        <w:t>and that the allocated funding is to be used strictly</w:t>
      </w:r>
      <w:r w:rsidR="001D0F3B">
        <w:rPr>
          <w:sz w:val="24"/>
          <w:szCs w:val="24"/>
          <w:lang w:eastAsia="en-AU"/>
        </w:rPr>
        <w:t xml:space="preserve"> for the purpose stated in the application</w:t>
      </w:r>
      <w:r w:rsidR="00C97055">
        <w:rPr>
          <w:sz w:val="24"/>
          <w:szCs w:val="24"/>
          <w:lang w:eastAsia="en-AU"/>
        </w:rPr>
        <w:t>/agreement</w:t>
      </w:r>
      <w:r w:rsidR="001D0F3B">
        <w:rPr>
          <w:sz w:val="24"/>
          <w:szCs w:val="24"/>
          <w:lang w:eastAsia="en-AU"/>
        </w:rPr>
        <w:t>.</w:t>
      </w:r>
      <w:r w:rsidRPr="0040698F">
        <w:rPr>
          <w:sz w:val="24"/>
          <w:szCs w:val="24"/>
          <w:lang w:eastAsia="en-AU"/>
        </w:rPr>
        <w:t xml:space="preserve"> Such enquiries may include (but are not necessarily limited to) company, association and business name searches on a Business, title and other searches for the Premises, searches of the courts and/ or the Trustee in Bankruptcy, credit checks, and enquiries of private businesses or institutions as the Department sees fit, together with any enquiries as to matters contained in its application.</w:t>
      </w:r>
    </w:p>
    <w:p w:rsidR="00A1103A" w:rsidRPr="0040698F" w:rsidRDefault="00A1103A" w:rsidP="00A1103A">
      <w:pPr>
        <w:rPr>
          <w:sz w:val="24"/>
          <w:szCs w:val="24"/>
          <w:lang w:eastAsia="en-AU"/>
        </w:rPr>
      </w:pPr>
      <w:r w:rsidRPr="0040698F">
        <w:rPr>
          <w:sz w:val="24"/>
          <w:szCs w:val="24"/>
          <w:lang w:eastAsia="en-AU"/>
        </w:rPr>
        <w:t xml:space="preserve">All Participants must be solvent at the time of participating in </w:t>
      </w:r>
      <w:r w:rsidR="005C0F6C">
        <w:rPr>
          <w:sz w:val="24"/>
          <w:szCs w:val="24"/>
          <w:lang w:eastAsia="en-AU"/>
        </w:rPr>
        <w:t xml:space="preserve">the </w:t>
      </w:r>
      <w:r w:rsidR="00C97055">
        <w:rPr>
          <w:sz w:val="24"/>
          <w:szCs w:val="24"/>
          <w:lang w:eastAsia="en-AU"/>
        </w:rPr>
        <w:t xml:space="preserve">NT </w:t>
      </w:r>
      <w:r w:rsidR="00776C45">
        <w:rPr>
          <w:sz w:val="24"/>
          <w:szCs w:val="24"/>
          <w:lang w:eastAsia="en-AU"/>
        </w:rPr>
        <w:t>RMF</w:t>
      </w:r>
      <w:r w:rsidRPr="0040698F">
        <w:rPr>
          <w:sz w:val="24"/>
          <w:szCs w:val="24"/>
          <w:lang w:eastAsia="en-AU"/>
        </w:rPr>
        <w:t xml:space="preserve"> </w:t>
      </w:r>
      <w:r w:rsidR="008365C8">
        <w:rPr>
          <w:sz w:val="24"/>
          <w:szCs w:val="24"/>
          <w:lang w:eastAsia="en-AU"/>
        </w:rPr>
        <w:t xml:space="preserve">Round 2 </w:t>
      </w:r>
      <w:r w:rsidRPr="0040698F">
        <w:rPr>
          <w:sz w:val="24"/>
          <w:szCs w:val="24"/>
          <w:lang w:eastAsia="en-AU"/>
        </w:rPr>
        <w:t>and must have no reason to believe that they may become insolvent during the period of their participation in</w:t>
      </w:r>
      <w:r w:rsidR="005C0F6C">
        <w:rPr>
          <w:sz w:val="24"/>
          <w:szCs w:val="24"/>
          <w:lang w:eastAsia="en-AU"/>
        </w:rPr>
        <w:t xml:space="preserve"> the NT</w:t>
      </w:r>
      <w:r w:rsidR="008E17E5">
        <w:rPr>
          <w:sz w:val="24"/>
          <w:szCs w:val="24"/>
          <w:lang w:eastAsia="en-AU"/>
        </w:rPr>
        <w:t xml:space="preserve"> </w:t>
      </w:r>
      <w:r w:rsidR="00776C45">
        <w:rPr>
          <w:sz w:val="24"/>
          <w:szCs w:val="24"/>
          <w:lang w:eastAsia="en-AU"/>
        </w:rPr>
        <w:t>RMF</w:t>
      </w:r>
      <w:r w:rsidR="008365C8">
        <w:rPr>
          <w:sz w:val="24"/>
          <w:szCs w:val="24"/>
          <w:lang w:eastAsia="en-AU"/>
        </w:rPr>
        <w:t xml:space="preserve"> Round 2</w:t>
      </w:r>
      <w:r w:rsidRPr="0040698F">
        <w:rPr>
          <w:sz w:val="24"/>
          <w:szCs w:val="24"/>
          <w:lang w:eastAsia="en-AU"/>
        </w:rPr>
        <w:t xml:space="preserve">. If a Participant has an external administrator or liquidator appointed or the </w:t>
      </w:r>
      <w:r w:rsidR="006814D7" w:rsidRPr="0040698F">
        <w:rPr>
          <w:sz w:val="24"/>
          <w:szCs w:val="24"/>
          <w:lang w:eastAsia="en-AU"/>
        </w:rPr>
        <w:t>Department receives</w:t>
      </w:r>
      <w:r w:rsidRPr="0040698F">
        <w:rPr>
          <w:sz w:val="24"/>
          <w:szCs w:val="24"/>
          <w:lang w:eastAsia="en-AU"/>
        </w:rPr>
        <w:t xml:space="preserve"> other evidence of insolvency then the Department may (but is not obliged to) terminate participation by the insolvent entity (acting reasonably having regard to the circumstances). </w:t>
      </w:r>
    </w:p>
    <w:p w:rsidR="00A1103A" w:rsidRPr="0040698F" w:rsidRDefault="00A1103A" w:rsidP="00A1103A">
      <w:pPr>
        <w:rPr>
          <w:sz w:val="24"/>
          <w:szCs w:val="24"/>
          <w:lang w:eastAsia="en-AU"/>
        </w:rPr>
      </w:pPr>
      <w:r w:rsidRPr="0040698F">
        <w:rPr>
          <w:sz w:val="24"/>
          <w:szCs w:val="24"/>
          <w:lang w:eastAsia="en-AU"/>
        </w:rPr>
        <w:t xml:space="preserve">All Participants in </w:t>
      </w:r>
      <w:r w:rsidR="006814D7">
        <w:rPr>
          <w:sz w:val="24"/>
          <w:szCs w:val="24"/>
          <w:lang w:eastAsia="en-AU"/>
        </w:rPr>
        <w:t>the</w:t>
      </w:r>
      <w:r w:rsidR="008E17E5">
        <w:rPr>
          <w:sz w:val="24"/>
          <w:szCs w:val="24"/>
          <w:lang w:eastAsia="en-AU"/>
        </w:rPr>
        <w:t xml:space="preserve"> NT </w:t>
      </w:r>
      <w:r w:rsidR="00776C45">
        <w:rPr>
          <w:sz w:val="24"/>
          <w:szCs w:val="24"/>
          <w:lang w:eastAsia="en-AU"/>
        </w:rPr>
        <w:t>RMF</w:t>
      </w:r>
      <w:r w:rsidRPr="0040698F">
        <w:rPr>
          <w:sz w:val="24"/>
          <w:szCs w:val="24"/>
          <w:lang w:eastAsia="en-AU"/>
        </w:rPr>
        <w:t xml:space="preserve"> </w:t>
      </w:r>
      <w:r w:rsidR="008365C8">
        <w:rPr>
          <w:sz w:val="24"/>
          <w:szCs w:val="24"/>
          <w:lang w:eastAsia="en-AU"/>
        </w:rPr>
        <w:t xml:space="preserve">Round 2 </w:t>
      </w:r>
      <w:r w:rsidRPr="0040698F">
        <w:rPr>
          <w:sz w:val="24"/>
          <w:szCs w:val="24"/>
          <w:lang w:eastAsia="en-AU"/>
        </w:rPr>
        <w:t>acknowledge and accept that the Department</w:t>
      </w:r>
      <w:r w:rsidR="001D0F3B">
        <w:rPr>
          <w:sz w:val="24"/>
          <w:szCs w:val="24"/>
          <w:lang w:eastAsia="en-AU"/>
        </w:rPr>
        <w:t xml:space="preserve"> </w:t>
      </w:r>
      <w:r w:rsidRPr="0040698F">
        <w:rPr>
          <w:sz w:val="24"/>
          <w:szCs w:val="24"/>
          <w:lang w:eastAsia="en-AU"/>
        </w:rPr>
        <w:t>will seek from, and share, information with other Northern Territory Government agencies, as well as such external professional advisers as it may need to do in order to assess eligibility, such as conveyancers/ solicitors.</w:t>
      </w:r>
    </w:p>
    <w:p w:rsidR="00A1103A" w:rsidRPr="0040698F" w:rsidRDefault="00A1103A" w:rsidP="00A1103A">
      <w:pPr>
        <w:rPr>
          <w:sz w:val="24"/>
          <w:szCs w:val="24"/>
          <w:lang w:eastAsia="en-AU"/>
        </w:rPr>
      </w:pPr>
      <w:r w:rsidRPr="0040698F">
        <w:rPr>
          <w:sz w:val="24"/>
          <w:szCs w:val="24"/>
          <w:lang w:eastAsia="en-AU"/>
        </w:rPr>
        <w:t xml:space="preserve">Personal information may be collected as part of the application process and will be used to assess your eligibility for </w:t>
      </w:r>
      <w:r w:rsidR="006814D7">
        <w:rPr>
          <w:sz w:val="24"/>
          <w:szCs w:val="24"/>
          <w:lang w:eastAsia="en-AU"/>
        </w:rPr>
        <w:t xml:space="preserve">the </w:t>
      </w:r>
      <w:r w:rsidR="008E17E5">
        <w:rPr>
          <w:sz w:val="24"/>
          <w:szCs w:val="24"/>
          <w:lang w:eastAsia="en-AU"/>
        </w:rPr>
        <w:t xml:space="preserve">NT </w:t>
      </w:r>
      <w:r w:rsidR="00776C45">
        <w:rPr>
          <w:sz w:val="24"/>
          <w:szCs w:val="24"/>
          <w:lang w:eastAsia="en-AU"/>
        </w:rPr>
        <w:t>RMF</w:t>
      </w:r>
      <w:r w:rsidR="008365C8">
        <w:rPr>
          <w:sz w:val="24"/>
          <w:szCs w:val="24"/>
          <w:lang w:eastAsia="en-AU"/>
        </w:rPr>
        <w:t xml:space="preserve"> Round 2</w:t>
      </w:r>
      <w:r w:rsidRPr="0040698F">
        <w:rPr>
          <w:sz w:val="24"/>
          <w:szCs w:val="24"/>
          <w:lang w:eastAsia="en-AU"/>
        </w:rPr>
        <w:t>, including conducting due diligence, and if approved, subsequent</w:t>
      </w:r>
      <w:r w:rsidR="008E17E5">
        <w:rPr>
          <w:sz w:val="24"/>
          <w:szCs w:val="24"/>
          <w:lang w:eastAsia="en-AU"/>
        </w:rPr>
        <w:t xml:space="preserve"> NT </w:t>
      </w:r>
      <w:r w:rsidR="00776C45">
        <w:rPr>
          <w:sz w:val="24"/>
          <w:szCs w:val="24"/>
          <w:lang w:eastAsia="en-AU"/>
        </w:rPr>
        <w:t>RMF</w:t>
      </w:r>
      <w:r w:rsidRPr="0040698F">
        <w:rPr>
          <w:sz w:val="24"/>
          <w:szCs w:val="24"/>
          <w:lang w:eastAsia="en-AU"/>
        </w:rPr>
        <w:t xml:space="preserve"> management and administration.</w:t>
      </w:r>
    </w:p>
    <w:p w:rsidR="00A1103A" w:rsidRPr="0040698F" w:rsidRDefault="00A1103A" w:rsidP="00A1103A">
      <w:pPr>
        <w:rPr>
          <w:sz w:val="24"/>
          <w:szCs w:val="24"/>
        </w:rPr>
      </w:pPr>
      <w:r w:rsidRPr="0040698F">
        <w:rPr>
          <w:rFonts w:asciiTheme="minorHAnsi" w:hAnsiTheme="minorHAnsi" w:cstheme="minorHAnsi"/>
          <w:sz w:val="24"/>
          <w:szCs w:val="24"/>
        </w:rPr>
        <w:lastRenderedPageBreak/>
        <w:t xml:space="preserve">The Department has a legal obligation under the </w:t>
      </w:r>
      <w:r w:rsidRPr="0040698F">
        <w:rPr>
          <w:rFonts w:asciiTheme="minorHAnsi" w:hAnsiTheme="minorHAnsi" w:cstheme="minorHAnsi"/>
          <w:i/>
          <w:sz w:val="24"/>
          <w:szCs w:val="24"/>
        </w:rPr>
        <w:t>Information Act</w:t>
      </w:r>
      <w:r w:rsidR="001D0F3B">
        <w:rPr>
          <w:rFonts w:asciiTheme="minorHAnsi" w:hAnsiTheme="minorHAnsi" w:cstheme="minorHAnsi"/>
          <w:i/>
          <w:sz w:val="24"/>
          <w:szCs w:val="24"/>
        </w:rPr>
        <w:t xml:space="preserve"> 2002</w:t>
      </w:r>
      <w:r w:rsidRPr="0040698F">
        <w:rPr>
          <w:rFonts w:asciiTheme="minorHAnsi" w:hAnsiTheme="minorHAnsi" w:cstheme="minorHAnsi"/>
          <w:i/>
          <w:sz w:val="24"/>
          <w:szCs w:val="24"/>
        </w:rPr>
        <w:t xml:space="preserve"> (NT)</w:t>
      </w:r>
      <w:r w:rsidRPr="0040698F">
        <w:rPr>
          <w:rFonts w:asciiTheme="minorHAnsi" w:hAnsiTheme="minorHAnsi" w:cstheme="minorHAnsi"/>
          <w:sz w:val="24"/>
          <w:szCs w:val="24"/>
        </w:rPr>
        <w:t xml:space="preserve"> not to disclose personal information other than for the primary purpose for which it was collected, unless otherwise agreed to or authorised by law.</w:t>
      </w:r>
      <w:r w:rsidRPr="0040698F">
        <w:rPr>
          <w:sz w:val="24"/>
          <w:szCs w:val="24"/>
        </w:rPr>
        <w:t xml:space="preserve"> </w:t>
      </w:r>
    </w:p>
    <w:p w:rsidR="00A1103A" w:rsidRPr="000338D0" w:rsidRDefault="00A1103A" w:rsidP="00A1103A">
      <w:pPr>
        <w:rPr>
          <w:rStyle w:val="Hyperlink"/>
          <w:rFonts w:asciiTheme="minorHAnsi" w:hAnsiTheme="minorHAnsi" w:cstheme="minorHAnsi"/>
          <w:sz w:val="24"/>
          <w:szCs w:val="24"/>
        </w:rPr>
      </w:pPr>
      <w:r w:rsidRPr="000338D0">
        <w:rPr>
          <w:rFonts w:asciiTheme="minorHAnsi" w:hAnsiTheme="minorHAnsi" w:cstheme="minorHAnsi"/>
          <w:sz w:val="24"/>
          <w:szCs w:val="24"/>
        </w:rPr>
        <w:t>The Department</w:t>
      </w:r>
      <w:r w:rsidR="002B4433">
        <w:rPr>
          <w:rFonts w:asciiTheme="minorHAnsi" w:hAnsiTheme="minorHAnsi" w:cstheme="minorHAnsi"/>
          <w:sz w:val="24"/>
          <w:szCs w:val="24"/>
        </w:rPr>
        <w:t xml:space="preserve"> </w:t>
      </w:r>
      <w:r w:rsidRPr="000338D0">
        <w:rPr>
          <w:rFonts w:asciiTheme="minorHAnsi" w:hAnsiTheme="minorHAnsi" w:cstheme="minorHAnsi"/>
          <w:sz w:val="24"/>
          <w:szCs w:val="24"/>
        </w:rPr>
        <w:t xml:space="preserve">will handle your personal information in accordance with its </w:t>
      </w:r>
      <w:hyperlink r:id="rId14" w:history="1">
        <w:r w:rsidRPr="000338D0">
          <w:rPr>
            <w:rStyle w:val="Hyperlink"/>
            <w:rFonts w:asciiTheme="minorHAnsi" w:hAnsiTheme="minorHAnsi" w:cstheme="minorHAnsi"/>
            <w:sz w:val="24"/>
            <w:szCs w:val="24"/>
          </w:rPr>
          <w:t>Privacy Policy</w:t>
        </w:r>
      </w:hyperlink>
      <w:r w:rsidRPr="000338D0">
        <w:rPr>
          <w:rFonts w:asciiTheme="minorHAnsi" w:hAnsiTheme="minorHAnsi" w:cstheme="minorHAnsi"/>
          <w:color w:val="FF0000"/>
          <w:sz w:val="24"/>
          <w:szCs w:val="24"/>
        </w:rPr>
        <w:t xml:space="preserve"> </w:t>
      </w:r>
      <w:r w:rsidRPr="000338D0">
        <w:rPr>
          <w:rFonts w:asciiTheme="minorHAnsi" w:hAnsiTheme="minorHAnsi" w:cstheme="minorHAnsi"/>
          <w:sz w:val="24"/>
          <w:szCs w:val="24"/>
        </w:rPr>
        <w:t xml:space="preserve">which outlines how you can access or seek to correct your personal information, or lodge a complaint about a breach of the Northern Territory’s Privacy Principles. </w:t>
      </w:r>
    </w:p>
    <w:p w:rsidR="00A1103A" w:rsidRPr="000338D0" w:rsidRDefault="00A1103A" w:rsidP="00A1103A">
      <w:pPr>
        <w:rPr>
          <w:sz w:val="24"/>
          <w:szCs w:val="24"/>
        </w:rPr>
      </w:pPr>
      <w:r w:rsidRPr="000338D0">
        <w:rPr>
          <w:sz w:val="24"/>
          <w:szCs w:val="24"/>
          <w:lang w:eastAsia="en-AU"/>
        </w:rPr>
        <w:t xml:space="preserve">In addition to the Privacy Laws, the Department is subject to, and may do anything in connection with </w:t>
      </w:r>
      <w:r w:rsidR="006814D7">
        <w:rPr>
          <w:sz w:val="24"/>
          <w:szCs w:val="24"/>
          <w:lang w:eastAsia="en-AU"/>
        </w:rPr>
        <w:t xml:space="preserve">the </w:t>
      </w:r>
      <w:r w:rsidR="008E17E5">
        <w:rPr>
          <w:sz w:val="24"/>
          <w:szCs w:val="24"/>
          <w:lang w:eastAsia="en-AU"/>
        </w:rPr>
        <w:t xml:space="preserve">NT </w:t>
      </w:r>
      <w:r w:rsidR="00776C45">
        <w:rPr>
          <w:sz w:val="24"/>
          <w:szCs w:val="24"/>
          <w:lang w:eastAsia="en-AU"/>
        </w:rPr>
        <w:t>RMF</w:t>
      </w:r>
      <w:r w:rsidR="008E17E5">
        <w:rPr>
          <w:sz w:val="24"/>
          <w:szCs w:val="24"/>
          <w:lang w:eastAsia="en-AU"/>
        </w:rPr>
        <w:t xml:space="preserve"> </w:t>
      </w:r>
      <w:r w:rsidRPr="000338D0">
        <w:rPr>
          <w:sz w:val="24"/>
          <w:szCs w:val="24"/>
          <w:lang w:eastAsia="en-AU"/>
        </w:rPr>
        <w:t xml:space="preserve">that may be required for compliance with the </w:t>
      </w:r>
      <w:r w:rsidRPr="000338D0">
        <w:rPr>
          <w:i/>
          <w:iCs/>
          <w:sz w:val="24"/>
          <w:szCs w:val="24"/>
        </w:rPr>
        <w:t>Public Interest Disclosure Act</w:t>
      </w:r>
      <w:r w:rsidR="002B4433">
        <w:rPr>
          <w:i/>
          <w:iCs/>
          <w:sz w:val="24"/>
          <w:szCs w:val="24"/>
        </w:rPr>
        <w:t xml:space="preserve"> 2008</w:t>
      </w:r>
      <w:r w:rsidRPr="000338D0">
        <w:rPr>
          <w:i/>
          <w:iCs/>
          <w:sz w:val="24"/>
          <w:szCs w:val="24"/>
        </w:rPr>
        <w:t xml:space="preserve"> (NT)</w:t>
      </w:r>
      <w:r w:rsidRPr="000338D0">
        <w:rPr>
          <w:i/>
          <w:iCs/>
          <w:sz w:val="24"/>
          <w:szCs w:val="24"/>
          <w:lang w:eastAsia="en-AU"/>
        </w:rPr>
        <w:t xml:space="preserve"> or the </w:t>
      </w:r>
      <w:r w:rsidRPr="000338D0">
        <w:rPr>
          <w:i/>
          <w:iCs/>
          <w:sz w:val="24"/>
          <w:szCs w:val="24"/>
        </w:rPr>
        <w:t>Independent Commissioner against Corruption Act</w:t>
      </w:r>
      <w:r w:rsidR="009F360A">
        <w:rPr>
          <w:i/>
          <w:iCs/>
          <w:sz w:val="24"/>
          <w:szCs w:val="24"/>
        </w:rPr>
        <w:t xml:space="preserve"> 2017</w:t>
      </w:r>
      <w:r w:rsidRPr="000338D0">
        <w:rPr>
          <w:i/>
          <w:iCs/>
          <w:sz w:val="24"/>
          <w:szCs w:val="24"/>
        </w:rPr>
        <w:t xml:space="preserve"> (NT).</w:t>
      </w:r>
    </w:p>
    <w:p w:rsidR="00A1103A" w:rsidRPr="000338D0" w:rsidRDefault="00A1103A" w:rsidP="00A1103A">
      <w:pPr>
        <w:rPr>
          <w:sz w:val="24"/>
          <w:szCs w:val="24"/>
        </w:rPr>
      </w:pPr>
      <w:r w:rsidRPr="000338D0">
        <w:rPr>
          <w:sz w:val="24"/>
          <w:szCs w:val="24"/>
        </w:rPr>
        <w:t>The Department reserves the right to conduct an audit of a Participant (including inspecting records of expenditure of funding</w:t>
      </w:r>
      <w:r w:rsidR="00F27AE4">
        <w:rPr>
          <w:sz w:val="24"/>
          <w:szCs w:val="24"/>
        </w:rPr>
        <w:t xml:space="preserve"> </w:t>
      </w:r>
      <w:r w:rsidRPr="000338D0">
        <w:rPr>
          <w:sz w:val="24"/>
          <w:szCs w:val="24"/>
        </w:rPr>
        <w:t xml:space="preserve">or attending at a Participant’s place of business to inspect progress through all stages of </w:t>
      </w:r>
      <w:r w:rsidR="006814D7">
        <w:rPr>
          <w:sz w:val="24"/>
          <w:szCs w:val="24"/>
        </w:rPr>
        <w:t xml:space="preserve">the </w:t>
      </w:r>
      <w:r w:rsidR="008E17E5">
        <w:rPr>
          <w:sz w:val="24"/>
          <w:szCs w:val="24"/>
        </w:rPr>
        <w:t xml:space="preserve">NT </w:t>
      </w:r>
      <w:r w:rsidR="00776C45">
        <w:rPr>
          <w:sz w:val="24"/>
          <w:szCs w:val="24"/>
        </w:rPr>
        <w:t>RMF</w:t>
      </w:r>
      <w:r w:rsidR="008365C8">
        <w:rPr>
          <w:sz w:val="24"/>
          <w:szCs w:val="24"/>
        </w:rPr>
        <w:t xml:space="preserve"> Round 2</w:t>
      </w:r>
      <w:r w:rsidRPr="000338D0">
        <w:rPr>
          <w:sz w:val="24"/>
          <w:szCs w:val="24"/>
        </w:rPr>
        <w:t>)</w:t>
      </w:r>
      <w:r w:rsidRPr="000338D0" w:rsidDel="008508CC">
        <w:rPr>
          <w:sz w:val="24"/>
          <w:szCs w:val="24"/>
        </w:rPr>
        <w:t xml:space="preserve"> </w:t>
      </w:r>
      <w:r w:rsidRPr="000338D0">
        <w:rPr>
          <w:sz w:val="24"/>
          <w:szCs w:val="24"/>
        </w:rPr>
        <w:t>at any time during the period of participation or within 12 months after the conclusion of the Applicant’s participation in</w:t>
      </w:r>
      <w:r w:rsidR="008E17E5">
        <w:rPr>
          <w:sz w:val="24"/>
          <w:szCs w:val="24"/>
        </w:rPr>
        <w:t xml:space="preserve"> </w:t>
      </w:r>
      <w:r w:rsidR="006814D7">
        <w:rPr>
          <w:sz w:val="24"/>
          <w:szCs w:val="24"/>
        </w:rPr>
        <w:t xml:space="preserve">the </w:t>
      </w:r>
      <w:r w:rsidR="008E17E5">
        <w:rPr>
          <w:sz w:val="24"/>
          <w:szCs w:val="24"/>
        </w:rPr>
        <w:t xml:space="preserve">NT </w:t>
      </w:r>
      <w:r w:rsidR="00776C45">
        <w:rPr>
          <w:sz w:val="24"/>
          <w:szCs w:val="24"/>
        </w:rPr>
        <w:t>RMF</w:t>
      </w:r>
      <w:r w:rsidR="00F27AE4">
        <w:rPr>
          <w:sz w:val="24"/>
          <w:szCs w:val="24"/>
        </w:rPr>
        <w:t xml:space="preserve"> </w:t>
      </w:r>
      <w:r w:rsidR="005C5638">
        <w:rPr>
          <w:sz w:val="24"/>
          <w:szCs w:val="24"/>
        </w:rPr>
        <w:t xml:space="preserve">Round 2 </w:t>
      </w:r>
      <w:r w:rsidR="00F27AE4">
        <w:rPr>
          <w:sz w:val="24"/>
          <w:szCs w:val="24"/>
        </w:rPr>
        <w:t xml:space="preserve">or </w:t>
      </w:r>
      <w:r w:rsidR="00636B87">
        <w:rPr>
          <w:sz w:val="24"/>
          <w:szCs w:val="24"/>
        </w:rPr>
        <w:t>the expiry or termination of a funding agreement, at its discretion.</w:t>
      </w:r>
    </w:p>
    <w:p w:rsidR="00A1103A" w:rsidRPr="000338D0" w:rsidRDefault="00A1103A" w:rsidP="000338D0">
      <w:pPr>
        <w:pStyle w:val="Heading1"/>
        <w:rPr>
          <w:lang w:eastAsia="en-AU"/>
        </w:rPr>
      </w:pPr>
      <w:bookmarkStart w:id="21" w:name="_Toc21012593"/>
      <w:bookmarkStart w:id="22" w:name="_Toc21672873"/>
      <w:bookmarkStart w:id="23" w:name="_Toc53833273"/>
      <w:bookmarkStart w:id="24" w:name="_Toc58010235"/>
      <w:bookmarkStart w:id="25" w:name="_Toc118897482"/>
      <w:r w:rsidRPr="000338D0">
        <w:rPr>
          <w:lang w:eastAsia="en-AU"/>
        </w:rPr>
        <w:t>1</w:t>
      </w:r>
      <w:r w:rsidR="003462A0">
        <w:rPr>
          <w:lang w:eastAsia="en-AU"/>
        </w:rPr>
        <w:t>4</w:t>
      </w:r>
      <w:r w:rsidR="000338D0">
        <w:rPr>
          <w:lang w:eastAsia="en-AU"/>
        </w:rPr>
        <w:t>.</w:t>
      </w:r>
      <w:r w:rsidR="000338D0">
        <w:rPr>
          <w:lang w:eastAsia="en-AU"/>
        </w:rPr>
        <w:tab/>
      </w:r>
      <w:r w:rsidR="000338D0">
        <w:rPr>
          <w:lang w:eastAsia="en-AU"/>
        </w:rPr>
        <w:tab/>
      </w:r>
      <w:r w:rsidRPr="000338D0">
        <w:rPr>
          <w:lang w:eastAsia="en-AU"/>
        </w:rPr>
        <w:t>Compliance with Laws</w:t>
      </w:r>
      <w:bookmarkEnd w:id="21"/>
      <w:bookmarkEnd w:id="22"/>
      <w:bookmarkEnd w:id="23"/>
      <w:bookmarkEnd w:id="24"/>
      <w:bookmarkEnd w:id="25"/>
    </w:p>
    <w:p w:rsidR="00A1103A" w:rsidRPr="000338D0" w:rsidRDefault="00A1103A" w:rsidP="00A1103A">
      <w:pPr>
        <w:rPr>
          <w:sz w:val="24"/>
          <w:szCs w:val="24"/>
        </w:rPr>
      </w:pPr>
      <w:r w:rsidRPr="000338D0">
        <w:rPr>
          <w:sz w:val="24"/>
          <w:szCs w:val="24"/>
          <w:lang w:eastAsia="en-AU"/>
        </w:rPr>
        <w:t xml:space="preserve">By applying to participate and as a continuing obligation throughout any period of participation </w:t>
      </w:r>
      <w:r w:rsidR="007909FA" w:rsidRPr="000338D0">
        <w:rPr>
          <w:sz w:val="24"/>
          <w:szCs w:val="24"/>
          <w:lang w:eastAsia="en-AU"/>
        </w:rPr>
        <w:t xml:space="preserve">in </w:t>
      </w:r>
      <w:r w:rsidR="007909FA">
        <w:rPr>
          <w:sz w:val="24"/>
          <w:szCs w:val="24"/>
          <w:lang w:eastAsia="en-AU"/>
        </w:rPr>
        <w:t>the</w:t>
      </w:r>
      <w:r w:rsidR="006814D7">
        <w:rPr>
          <w:sz w:val="24"/>
          <w:szCs w:val="24"/>
          <w:lang w:eastAsia="en-AU"/>
        </w:rPr>
        <w:t xml:space="preserve"> </w:t>
      </w:r>
      <w:r w:rsidR="008E17E5">
        <w:rPr>
          <w:sz w:val="24"/>
          <w:szCs w:val="24"/>
          <w:lang w:eastAsia="en-AU"/>
        </w:rPr>
        <w:t xml:space="preserve">NT </w:t>
      </w:r>
      <w:r w:rsidR="00776C45">
        <w:rPr>
          <w:sz w:val="24"/>
          <w:szCs w:val="24"/>
          <w:lang w:eastAsia="en-AU"/>
        </w:rPr>
        <w:t>RMF</w:t>
      </w:r>
      <w:r w:rsidR="005C5638">
        <w:rPr>
          <w:sz w:val="24"/>
          <w:szCs w:val="24"/>
          <w:lang w:eastAsia="en-AU"/>
        </w:rPr>
        <w:t xml:space="preserve"> – Round 2</w:t>
      </w:r>
      <w:r w:rsidRPr="000338D0">
        <w:rPr>
          <w:sz w:val="24"/>
          <w:szCs w:val="24"/>
          <w:lang w:eastAsia="en-AU"/>
        </w:rPr>
        <w:t xml:space="preserve">, all Participants must comply with all laws relevant to their participation in </w:t>
      </w:r>
      <w:r w:rsidR="006814D7">
        <w:rPr>
          <w:sz w:val="24"/>
          <w:szCs w:val="24"/>
          <w:lang w:eastAsia="en-AU"/>
        </w:rPr>
        <w:t xml:space="preserve">the </w:t>
      </w:r>
      <w:r w:rsidR="008E17E5">
        <w:rPr>
          <w:sz w:val="24"/>
          <w:szCs w:val="24"/>
          <w:lang w:eastAsia="en-AU"/>
        </w:rPr>
        <w:t xml:space="preserve">NT </w:t>
      </w:r>
      <w:r w:rsidR="00776C45">
        <w:rPr>
          <w:sz w:val="24"/>
          <w:szCs w:val="24"/>
          <w:lang w:eastAsia="en-AU"/>
        </w:rPr>
        <w:t>RMF</w:t>
      </w:r>
      <w:r w:rsidR="008E17E5">
        <w:rPr>
          <w:sz w:val="24"/>
          <w:szCs w:val="24"/>
          <w:lang w:eastAsia="en-AU"/>
        </w:rPr>
        <w:t xml:space="preserve"> </w:t>
      </w:r>
      <w:r w:rsidR="005C5638">
        <w:rPr>
          <w:sz w:val="24"/>
          <w:szCs w:val="24"/>
          <w:lang w:eastAsia="en-AU"/>
        </w:rPr>
        <w:t xml:space="preserve">Round 2 </w:t>
      </w:r>
      <w:r w:rsidRPr="000338D0">
        <w:rPr>
          <w:sz w:val="24"/>
          <w:szCs w:val="24"/>
          <w:lang w:eastAsia="en-AU"/>
        </w:rPr>
        <w:t xml:space="preserve">including, without limitation, </w:t>
      </w:r>
      <w:r w:rsidRPr="000338D0">
        <w:rPr>
          <w:sz w:val="24"/>
          <w:szCs w:val="24"/>
        </w:rPr>
        <w:t xml:space="preserve">the </w:t>
      </w:r>
      <w:r w:rsidRPr="000338D0">
        <w:rPr>
          <w:i/>
          <w:sz w:val="24"/>
          <w:szCs w:val="24"/>
        </w:rPr>
        <w:t>Independent Commissioner Against Corruption Act 2017</w:t>
      </w:r>
      <w:r w:rsidRPr="000338D0">
        <w:rPr>
          <w:sz w:val="24"/>
          <w:szCs w:val="24"/>
        </w:rPr>
        <w:t>.</w:t>
      </w:r>
    </w:p>
    <w:p w:rsidR="00A1103A" w:rsidRPr="000338D0" w:rsidRDefault="00A1103A" w:rsidP="00F86410">
      <w:pPr>
        <w:rPr>
          <w:sz w:val="24"/>
          <w:szCs w:val="24"/>
          <w:lang w:eastAsia="en-AU"/>
        </w:rPr>
      </w:pPr>
      <w:r w:rsidRPr="000338D0">
        <w:rPr>
          <w:sz w:val="24"/>
          <w:szCs w:val="24"/>
          <w:lang w:eastAsia="en-AU"/>
        </w:rPr>
        <w:t xml:space="preserve">Participants warrant to the Department that they have read, understood and fully </w:t>
      </w:r>
      <w:r w:rsidR="00725B3E" w:rsidRPr="000338D0">
        <w:rPr>
          <w:sz w:val="24"/>
          <w:szCs w:val="24"/>
          <w:lang w:eastAsia="en-AU"/>
        </w:rPr>
        <w:t xml:space="preserve">accept </w:t>
      </w:r>
      <w:r w:rsidR="00725B3E">
        <w:rPr>
          <w:sz w:val="24"/>
          <w:szCs w:val="24"/>
          <w:lang w:eastAsia="en-AU"/>
        </w:rPr>
        <w:t>NT</w:t>
      </w:r>
      <w:r w:rsidR="008E17E5">
        <w:rPr>
          <w:sz w:val="24"/>
          <w:szCs w:val="24"/>
          <w:lang w:eastAsia="en-AU"/>
        </w:rPr>
        <w:t xml:space="preserve"> </w:t>
      </w:r>
      <w:r w:rsidR="00776C45">
        <w:rPr>
          <w:sz w:val="24"/>
          <w:szCs w:val="24"/>
          <w:lang w:eastAsia="en-AU"/>
        </w:rPr>
        <w:t>RMF</w:t>
      </w:r>
      <w:r w:rsidR="005C5638">
        <w:rPr>
          <w:sz w:val="24"/>
          <w:szCs w:val="24"/>
          <w:lang w:eastAsia="en-AU"/>
        </w:rPr>
        <w:t xml:space="preserve"> Round 2</w:t>
      </w:r>
      <w:r w:rsidRPr="000338D0">
        <w:rPr>
          <w:sz w:val="24"/>
          <w:szCs w:val="24"/>
          <w:lang w:eastAsia="en-AU"/>
        </w:rPr>
        <w:t xml:space="preserve"> terms and conditions and fully release and indemnify the Department against any loss or damage he / she / it / they may suffer of any nature whatsoever (including without limitation personal injury or death) caused or contributed to by their participation </w:t>
      </w:r>
      <w:r w:rsidR="00725B3E" w:rsidRPr="006814D7">
        <w:rPr>
          <w:sz w:val="24"/>
          <w:szCs w:val="24"/>
          <w:lang w:eastAsia="en-AU"/>
        </w:rPr>
        <w:t>in the</w:t>
      </w:r>
      <w:r w:rsidR="006814D7" w:rsidRPr="006814D7">
        <w:rPr>
          <w:sz w:val="24"/>
          <w:szCs w:val="24"/>
          <w:lang w:eastAsia="en-AU"/>
        </w:rPr>
        <w:t xml:space="preserve"> </w:t>
      </w:r>
      <w:r w:rsidR="008E17E5" w:rsidRPr="006814D7">
        <w:rPr>
          <w:sz w:val="24"/>
          <w:szCs w:val="24"/>
          <w:lang w:eastAsia="en-AU"/>
        </w:rPr>
        <w:t xml:space="preserve">NT </w:t>
      </w:r>
      <w:r w:rsidR="00776C45">
        <w:rPr>
          <w:sz w:val="24"/>
          <w:szCs w:val="24"/>
          <w:lang w:eastAsia="en-AU"/>
        </w:rPr>
        <w:t>RMF</w:t>
      </w:r>
      <w:r w:rsidR="005C5638">
        <w:rPr>
          <w:sz w:val="24"/>
          <w:szCs w:val="24"/>
          <w:lang w:eastAsia="en-AU"/>
        </w:rPr>
        <w:t xml:space="preserve"> – Round 2</w:t>
      </w:r>
      <w:r w:rsidRPr="006814D7">
        <w:rPr>
          <w:sz w:val="24"/>
          <w:szCs w:val="24"/>
          <w:lang w:eastAsia="en-AU"/>
        </w:rPr>
        <w:t>.</w:t>
      </w:r>
    </w:p>
    <w:p w:rsidR="00A1103A" w:rsidRPr="000338D0" w:rsidRDefault="009A006C" w:rsidP="000338D0">
      <w:pPr>
        <w:pStyle w:val="Heading1"/>
        <w:rPr>
          <w:lang w:eastAsia="en-AU"/>
        </w:rPr>
      </w:pPr>
      <w:bookmarkStart w:id="26" w:name="_Toc53833274"/>
      <w:bookmarkStart w:id="27" w:name="_Toc58010236"/>
      <w:bookmarkStart w:id="28" w:name="_Toc118897483"/>
      <w:bookmarkStart w:id="29" w:name="_Toc21012594"/>
      <w:bookmarkStart w:id="30" w:name="_Toc21672874"/>
      <w:r>
        <w:rPr>
          <w:lang w:eastAsia="en-AU"/>
        </w:rPr>
        <w:t>1</w:t>
      </w:r>
      <w:r w:rsidR="00A4525D">
        <w:rPr>
          <w:lang w:eastAsia="en-AU"/>
        </w:rPr>
        <w:t>5</w:t>
      </w:r>
      <w:r>
        <w:rPr>
          <w:lang w:eastAsia="en-AU"/>
        </w:rPr>
        <w:t xml:space="preserve">. </w:t>
      </w:r>
      <w:r w:rsidR="00037ADD">
        <w:rPr>
          <w:lang w:eastAsia="en-AU"/>
        </w:rPr>
        <w:t xml:space="preserve">Program </w:t>
      </w:r>
      <w:r w:rsidR="00A1103A" w:rsidRPr="000338D0">
        <w:rPr>
          <w:lang w:eastAsia="en-AU"/>
        </w:rPr>
        <w:t>duration and changes</w:t>
      </w:r>
      <w:bookmarkEnd w:id="26"/>
      <w:bookmarkEnd w:id="27"/>
      <w:bookmarkEnd w:id="28"/>
      <w:r w:rsidR="00A1103A" w:rsidRPr="000338D0">
        <w:rPr>
          <w:lang w:eastAsia="en-AU"/>
        </w:rPr>
        <w:t xml:space="preserve"> </w:t>
      </w:r>
      <w:bookmarkEnd w:id="29"/>
      <w:bookmarkEnd w:id="30"/>
    </w:p>
    <w:p w:rsidR="00A1103A" w:rsidRPr="000338D0" w:rsidRDefault="00A1103A" w:rsidP="00A1103A">
      <w:pPr>
        <w:rPr>
          <w:sz w:val="24"/>
          <w:szCs w:val="24"/>
          <w:lang w:eastAsia="en-AU"/>
        </w:rPr>
      </w:pPr>
      <w:r w:rsidRPr="000338D0">
        <w:rPr>
          <w:sz w:val="24"/>
          <w:szCs w:val="24"/>
          <w:lang w:eastAsia="en-AU"/>
        </w:rPr>
        <w:t xml:space="preserve">The </w:t>
      </w:r>
      <w:r w:rsidR="00B30110">
        <w:rPr>
          <w:sz w:val="24"/>
          <w:szCs w:val="24"/>
          <w:lang w:eastAsia="en-AU"/>
        </w:rPr>
        <w:t>program</w:t>
      </w:r>
      <w:r w:rsidRPr="000338D0">
        <w:rPr>
          <w:sz w:val="24"/>
          <w:szCs w:val="24"/>
          <w:lang w:eastAsia="en-AU"/>
        </w:rPr>
        <w:t xml:space="preserve"> will end when the funding is fully committed. Timelines applicable to each </w:t>
      </w:r>
      <w:r w:rsidR="00F27AE4">
        <w:rPr>
          <w:sz w:val="24"/>
          <w:szCs w:val="24"/>
          <w:lang w:eastAsia="en-AU"/>
        </w:rPr>
        <w:t xml:space="preserve">Stage </w:t>
      </w:r>
      <w:r w:rsidRPr="000338D0">
        <w:rPr>
          <w:sz w:val="24"/>
          <w:szCs w:val="24"/>
          <w:lang w:eastAsia="en-AU"/>
        </w:rPr>
        <w:t xml:space="preserve">will be published. </w:t>
      </w:r>
    </w:p>
    <w:p w:rsidR="00A1103A" w:rsidRPr="000338D0" w:rsidRDefault="00A1103A" w:rsidP="00A1103A">
      <w:pPr>
        <w:rPr>
          <w:sz w:val="24"/>
          <w:szCs w:val="24"/>
          <w:lang w:eastAsia="en-AU"/>
        </w:rPr>
      </w:pPr>
      <w:r w:rsidRPr="000338D0">
        <w:rPr>
          <w:sz w:val="24"/>
          <w:szCs w:val="24"/>
          <w:lang w:eastAsia="en-AU"/>
        </w:rPr>
        <w:t>The Department</w:t>
      </w:r>
      <w:r w:rsidR="008E17E5">
        <w:rPr>
          <w:sz w:val="24"/>
          <w:szCs w:val="24"/>
          <w:lang w:eastAsia="en-AU"/>
        </w:rPr>
        <w:t xml:space="preserve"> </w:t>
      </w:r>
      <w:r w:rsidRPr="000338D0">
        <w:rPr>
          <w:sz w:val="24"/>
          <w:szCs w:val="24"/>
          <w:lang w:eastAsia="en-AU"/>
        </w:rPr>
        <w:t>reserves the right to:</w:t>
      </w:r>
    </w:p>
    <w:p w:rsidR="00A1103A" w:rsidRPr="000338D0" w:rsidRDefault="00A1103A" w:rsidP="00A80916">
      <w:pPr>
        <w:pStyle w:val="ListParagraph"/>
        <w:numPr>
          <w:ilvl w:val="0"/>
          <w:numId w:val="17"/>
        </w:numPr>
        <w:ind w:hanging="436"/>
        <w:rPr>
          <w:rFonts w:eastAsia="Times New Roman"/>
          <w:sz w:val="24"/>
          <w:szCs w:val="24"/>
          <w:lang w:eastAsia="en-AU"/>
        </w:rPr>
      </w:pPr>
      <w:r w:rsidRPr="000338D0">
        <w:rPr>
          <w:rFonts w:eastAsia="Times New Roman"/>
          <w:sz w:val="24"/>
          <w:szCs w:val="24"/>
          <w:lang w:eastAsia="en-AU"/>
        </w:rPr>
        <w:t xml:space="preserve">vary these </w:t>
      </w:r>
      <w:r w:rsidR="008E17E5">
        <w:rPr>
          <w:rFonts w:eastAsia="Times New Roman"/>
          <w:sz w:val="24"/>
          <w:szCs w:val="24"/>
          <w:lang w:eastAsia="en-AU"/>
        </w:rPr>
        <w:t xml:space="preserve"> NT </w:t>
      </w:r>
      <w:r w:rsidR="00776C45">
        <w:rPr>
          <w:rFonts w:eastAsia="Times New Roman"/>
          <w:sz w:val="24"/>
          <w:szCs w:val="24"/>
          <w:lang w:eastAsia="en-AU"/>
        </w:rPr>
        <w:t>RMF</w:t>
      </w:r>
      <w:r w:rsidRPr="000338D0">
        <w:rPr>
          <w:rFonts w:eastAsia="Times New Roman"/>
          <w:sz w:val="24"/>
          <w:szCs w:val="24"/>
          <w:lang w:eastAsia="en-AU"/>
        </w:rPr>
        <w:t xml:space="preserve"> </w:t>
      </w:r>
      <w:r w:rsidR="005C5638">
        <w:rPr>
          <w:rFonts w:eastAsia="Times New Roman"/>
          <w:sz w:val="24"/>
          <w:szCs w:val="24"/>
          <w:lang w:eastAsia="en-AU"/>
        </w:rPr>
        <w:t xml:space="preserve">Round 2 </w:t>
      </w:r>
      <w:r w:rsidRPr="000338D0">
        <w:rPr>
          <w:rFonts w:eastAsia="Times New Roman"/>
          <w:sz w:val="24"/>
          <w:szCs w:val="24"/>
          <w:lang w:eastAsia="en-AU"/>
        </w:rPr>
        <w:t xml:space="preserve">Terms and Conditions, the eligibility requirements or any other documented rule, procedure or information relating to </w:t>
      </w:r>
      <w:r w:rsidR="008E17E5">
        <w:rPr>
          <w:rFonts w:eastAsia="Times New Roman"/>
          <w:sz w:val="24"/>
          <w:szCs w:val="24"/>
          <w:lang w:eastAsia="en-AU"/>
        </w:rPr>
        <w:t xml:space="preserve"> </w:t>
      </w:r>
      <w:r w:rsidR="006814D7">
        <w:rPr>
          <w:rFonts w:eastAsia="Times New Roman"/>
          <w:sz w:val="24"/>
          <w:szCs w:val="24"/>
          <w:lang w:eastAsia="en-AU"/>
        </w:rPr>
        <w:t xml:space="preserve">the </w:t>
      </w:r>
      <w:r w:rsidR="008E17E5">
        <w:rPr>
          <w:rFonts w:eastAsia="Times New Roman"/>
          <w:sz w:val="24"/>
          <w:szCs w:val="24"/>
          <w:lang w:eastAsia="en-AU"/>
        </w:rPr>
        <w:t xml:space="preserve">NT </w:t>
      </w:r>
      <w:r w:rsidR="00776C45">
        <w:rPr>
          <w:rFonts w:eastAsia="Times New Roman"/>
          <w:sz w:val="24"/>
          <w:szCs w:val="24"/>
          <w:lang w:eastAsia="en-AU"/>
        </w:rPr>
        <w:t>RMF</w:t>
      </w:r>
      <w:r w:rsidRPr="000338D0">
        <w:rPr>
          <w:rFonts w:eastAsia="Times New Roman"/>
          <w:sz w:val="24"/>
          <w:szCs w:val="24"/>
          <w:lang w:eastAsia="en-AU"/>
        </w:rPr>
        <w:t xml:space="preserve"> </w:t>
      </w:r>
      <w:r w:rsidR="00BB025A">
        <w:rPr>
          <w:rFonts w:eastAsia="Times New Roman"/>
          <w:sz w:val="24"/>
          <w:szCs w:val="24"/>
          <w:lang w:eastAsia="en-AU"/>
        </w:rPr>
        <w:t xml:space="preserve">Round 2 </w:t>
      </w:r>
      <w:r w:rsidRPr="000338D0">
        <w:rPr>
          <w:rFonts w:eastAsia="Times New Roman"/>
          <w:sz w:val="24"/>
          <w:szCs w:val="24"/>
          <w:lang w:eastAsia="en-AU"/>
        </w:rPr>
        <w:t>at any time without notice, whether retrospectively or otherwise;</w:t>
      </w:r>
    </w:p>
    <w:p w:rsidR="00A1103A" w:rsidRPr="000338D0" w:rsidRDefault="00A1103A" w:rsidP="00A80916">
      <w:pPr>
        <w:pStyle w:val="ListParagraph"/>
        <w:numPr>
          <w:ilvl w:val="0"/>
          <w:numId w:val="17"/>
        </w:numPr>
        <w:ind w:hanging="436"/>
        <w:rPr>
          <w:rFonts w:eastAsia="Times New Roman"/>
          <w:sz w:val="24"/>
          <w:szCs w:val="24"/>
          <w:lang w:eastAsia="en-AU"/>
        </w:rPr>
      </w:pPr>
      <w:r w:rsidRPr="000338D0">
        <w:rPr>
          <w:rFonts w:eastAsia="Times New Roman"/>
          <w:sz w:val="24"/>
          <w:szCs w:val="24"/>
          <w:lang w:eastAsia="en-AU"/>
        </w:rPr>
        <w:t xml:space="preserve">accept or reject any application for participation in any stage of </w:t>
      </w:r>
      <w:r w:rsidR="008E17E5">
        <w:rPr>
          <w:rFonts w:eastAsia="Times New Roman"/>
          <w:sz w:val="24"/>
          <w:szCs w:val="24"/>
          <w:lang w:eastAsia="en-AU"/>
        </w:rPr>
        <w:t xml:space="preserve"> </w:t>
      </w:r>
      <w:r w:rsidR="006814D7">
        <w:rPr>
          <w:rFonts w:eastAsia="Times New Roman"/>
          <w:sz w:val="24"/>
          <w:szCs w:val="24"/>
          <w:lang w:eastAsia="en-AU"/>
        </w:rPr>
        <w:t xml:space="preserve">the </w:t>
      </w:r>
      <w:r w:rsidR="008E17E5">
        <w:rPr>
          <w:rFonts w:eastAsia="Times New Roman"/>
          <w:sz w:val="24"/>
          <w:szCs w:val="24"/>
          <w:lang w:eastAsia="en-AU"/>
        </w:rPr>
        <w:t xml:space="preserve">NT </w:t>
      </w:r>
      <w:r w:rsidR="00776C45">
        <w:rPr>
          <w:rFonts w:eastAsia="Times New Roman"/>
          <w:sz w:val="24"/>
          <w:szCs w:val="24"/>
          <w:lang w:eastAsia="en-AU"/>
        </w:rPr>
        <w:t>RMF</w:t>
      </w:r>
      <w:r w:rsidR="008E17E5">
        <w:rPr>
          <w:rFonts w:eastAsia="Times New Roman"/>
          <w:sz w:val="24"/>
          <w:szCs w:val="24"/>
          <w:lang w:eastAsia="en-AU"/>
        </w:rPr>
        <w:t xml:space="preserve"> </w:t>
      </w:r>
      <w:r w:rsidR="008365C8">
        <w:rPr>
          <w:rFonts w:eastAsia="Times New Roman"/>
          <w:sz w:val="24"/>
          <w:szCs w:val="24"/>
          <w:lang w:eastAsia="en-AU"/>
        </w:rPr>
        <w:t xml:space="preserve">Round 2 </w:t>
      </w:r>
      <w:r w:rsidRPr="000338D0">
        <w:rPr>
          <w:rFonts w:eastAsia="Times New Roman"/>
          <w:sz w:val="24"/>
          <w:szCs w:val="24"/>
          <w:lang w:eastAsia="en-AU"/>
        </w:rPr>
        <w:t>in its absolute discretion;</w:t>
      </w:r>
    </w:p>
    <w:p w:rsidR="009C3563" w:rsidRPr="00B757E2" w:rsidRDefault="00A1103A" w:rsidP="00A80916">
      <w:pPr>
        <w:pStyle w:val="ListParagraph"/>
        <w:numPr>
          <w:ilvl w:val="0"/>
          <w:numId w:val="17"/>
        </w:numPr>
        <w:ind w:hanging="436"/>
        <w:rPr>
          <w:sz w:val="27"/>
          <w:szCs w:val="27"/>
        </w:rPr>
      </w:pPr>
      <w:r w:rsidRPr="00263759">
        <w:rPr>
          <w:rFonts w:eastAsia="Times New Roman"/>
          <w:iCs w:val="0"/>
          <w:sz w:val="24"/>
          <w:szCs w:val="24"/>
          <w:lang w:eastAsia="en-AU"/>
        </w:rPr>
        <w:t>cease</w:t>
      </w:r>
      <w:r w:rsidR="008E17E5" w:rsidRPr="00263759">
        <w:rPr>
          <w:rFonts w:eastAsia="Times New Roman"/>
          <w:iCs w:val="0"/>
          <w:sz w:val="24"/>
          <w:szCs w:val="24"/>
          <w:lang w:eastAsia="en-AU"/>
        </w:rPr>
        <w:t xml:space="preserve"> </w:t>
      </w:r>
      <w:r w:rsidR="006814D7" w:rsidRPr="00263759">
        <w:rPr>
          <w:rFonts w:eastAsia="Times New Roman"/>
          <w:iCs w:val="0"/>
          <w:sz w:val="24"/>
          <w:szCs w:val="24"/>
          <w:lang w:eastAsia="en-AU"/>
        </w:rPr>
        <w:t xml:space="preserve">the </w:t>
      </w:r>
      <w:r w:rsidR="008E17E5" w:rsidRPr="00263759">
        <w:rPr>
          <w:rFonts w:eastAsia="Times New Roman"/>
          <w:iCs w:val="0"/>
          <w:sz w:val="24"/>
          <w:szCs w:val="24"/>
          <w:lang w:eastAsia="en-AU"/>
        </w:rPr>
        <w:t xml:space="preserve">NT </w:t>
      </w:r>
      <w:r w:rsidR="00776C45" w:rsidRPr="00263759">
        <w:rPr>
          <w:rFonts w:eastAsia="Times New Roman"/>
          <w:iCs w:val="0"/>
          <w:sz w:val="24"/>
          <w:szCs w:val="24"/>
          <w:lang w:eastAsia="en-AU"/>
        </w:rPr>
        <w:t>RMF</w:t>
      </w:r>
      <w:r w:rsidR="008E17E5" w:rsidRPr="00263759">
        <w:rPr>
          <w:rFonts w:eastAsia="Times New Roman"/>
          <w:iCs w:val="0"/>
          <w:sz w:val="24"/>
          <w:szCs w:val="24"/>
          <w:lang w:eastAsia="en-AU"/>
        </w:rPr>
        <w:t xml:space="preserve"> </w:t>
      </w:r>
      <w:r w:rsidR="008365C8">
        <w:rPr>
          <w:rFonts w:eastAsia="Times New Roman"/>
          <w:iCs w:val="0"/>
          <w:sz w:val="24"/>
          <w:szCs w:val="24"/>
          <w:lang w:eastAsia="en-AU"/>
        </w:rPr>
        <w:t xml:space="preserve">Round 2 </w:t>
      </w:r>
      <w:r w:rsidRPr="00263759">
        <w:rPr>
          <w:rFonts w:eastAsia="Times New Roman"/>
          <w:iCs w:val="0"/>
          <w:sz w:val="24"/>
          <w:szCs w:val="24"/>
          <w:lang w:eastAsia="en-AU"/>
        </w:rPr>
        <w:t xml:space="preserve">at any time without any liability to any participant should Northern Territory Government </w:t>
      </w:r>
      <w:r w:rsidR="00F27AE4" w:rsidRPr="00263759">
        <w:rPr>
          <w:rFonts w:eastAsia="Times New Roman"/>
          <w:iCs w:val="0"/>
          <w:sz w:val="24"/>
          <w:szCs w:val="24"/>
          <w:lang w:eastAsia="en-AU"/>
        </w:rPr>
        <w:t xml:space="preserve">or Commonwealth Government </w:t>
      </w:r>
      <w:r w:rsidRPr="00263759">
        <w:rPr>
          <w:rFonts w:eastAsia="Times New Roman"/>
          <w:iCs w:val="0"/>
          <w:sz w:val="24"/>
          <w:szCs w:val="24"/>
          <w:lang w:eastAsia="en-AU"/>
        </w:rPr>
        <w:t>policy change or the budget allocation for</w:t>
      </w:r>
      <w:r w:rsidR="008E17E5" w:rsidRPr="00263759">
        <w:rPr>
          <w:rFonts w:eastAsia="Times New Roman"/>
          <w:iCs w:val="0"/>
          <w:sz w:val="24"/>
          <w:szCs w:val="24"/>
          <w:lang w:eastAsia="en-AU"/>
        </w:rPr>
        <w:t xml:space="preserve"> </w:t>
      </w:r>
      <w:r w:rsidR="006814D7" w:rsidRPr="00263759">
        <w:rPr>
          <w:rFonts w:eastAsia="Times New Roman"/>
          <w:iCs w:val="0"/>
          <w:sz w:val="24"/>
          <w:szCs w:val="24"/>
          <w:lang w:eastAsia="en-AU"/>
        </w:rPr>
        <w:t xml:space="preserve">the </w:t>
      </w:r>
      <w:r w:rsidR="008E17E5" w:rsidRPr="00263759">
        <w:rPr>
          <w:rFonts w:eastAsia="Times New Roman"/>
          <w:iCs w:val="0"/>
          <w:sz w:val="24"/>
          <w:szCs w:val="24"/>
          <w:lang w:eastAsia="en-AU"/>
        </w:rPr>
        <w:t xml:space="preserve">NT </w:t>
      </w:r>
      <w:r w:rsidR="00776C45" w:rsidRPr="00263759">
        <w:rPr>
          <w:rFonts w:eastAsia="Times New Roman"/>
          <w:iCs w:val="0"/>
          <w:sz w:val="24"/>
          <w:szCs w:val="24"/>
          <w:lang w:eastAsia="en-AU"/>
        </w:rPr>
        <w:t>RMF</w:t>
      </w:r>
      <w:r w:rsidRPr="00263759">
        <w:rPr>
          <w:rFonts w:eastAsia="Times New Roman"/>
          <w:iCs w:val="0"/>
          <w:sz w:val="24"/>
          <w:szCs w:val="24"/>
          <w:lang w:eastAsia="en-AU"/>
        </w:rPr>
        <w:t xml:space="preserve"> be re</w:t>
      </w:r>
      <w:r w:rsidRPr="00263759">
        <w:rPr>
          <w:rFonts w:eastAsia="Times New Roman"/>
          <w:iCs w:val="0"/>
          <w:sz w:val="24"/>
          <w:szCs w:val="24"/>
          <w:lang w:eastAsia="en-AU"/>
        </w:rPr>
        <w:noBreakHyphen/>
        <w:t>prioritised or reduced.</w:t>
      </w:r>
    </w:p>
    <w:sectPr w:rsidR="009C3563" w:rsidRPr="00B757E2" w:rsidSect="00CC571B">
      <w:headerReference w:type="default" r:id="rId15"/>
      <w:footerReference w:type="default" r:id="rId16"/>
      <w:footerReference w:type="first" r:id="rId17"/>
      <w:pgSz w:w="11906" w:h="16838" w:code="9"/>
      <w:pgMar w:top="794" w:right="794" w:bottom="794" w:left="794" w:header="79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58E7" w16cex:dateUtc="2022-10-12T22:29:00Z"/>
  <w16cex:commentExtensible w16cex:durableId="26F27A83" w16cex:dateUtc="2022-10-13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44E33" w16cid:durableId="26F258E7"/>
  <w16cid:commentId w16cid:paraId="1B4503BF" w16cid:durableId="26F2571C"/>
  <w16cid:commentId w16cid:paraId="2E29577C" w16cid:durableId="26F27A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C99" w:rsidRDefault="009C1C99" w:rsidP="007332FF">
      <w:r>
        <w:separator/>
      </w:r>
    </w:p>
  </w:endnote>
  <w:endnote w:type="continuationSeparator" w:id="0">
    <w:p w:rsidR="009C1C99" w:rsidRDefault="009C1C99" w:rsidP="007332FF">
      <w:r>
        <w:continuationSeparator/>
      </w:r>
    </w:p>
  </w:endnote>
  <w:endnote w:type="continuationNotice" w:id="1">
    <w:p w:rsidR="009C1C99" w:rsidRDefault="009C1C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72" w:rsidRDefault="00580772" w:rsidP="00996655">
    <w:pPr>
      <w:spacing w:after="0"/>
    </w:pPr>
  </w:p>
  <w:tbl>
    <w:tblPr>
      <w:tblW w:w="1032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28"/>
    </w:tblGrid>
    <w:tr w:rsidR="00580772" w:rsidRPr="00132658" w:rsidTr="002D71F6">
      <w:trPr>
        <w:cantSplit/>
        <w:trHeight w:hRule="exact" w:val="769"/>
      </w:trPr>
      <w:tc>
        <w:tcPr>
          <w:tcW w:w="10328" w:type="dxa"/>
          <w:vAlign w:val="bottom"/>
        </w:tcPr>
        <w:p w:rsidR="00580772" w:rsidRDefault="00580772" w:rsidP="002D71F6">
          <w:pPr>
            <w:spacing w:after="0"/>
            <w:rPr>
              <w:rStyle w:val="PageNumber"/>
              <w:b/>
            </w:rPr>
          </w:pPr>
          <w:r>
            <w:rPr>
              <w:rStyle w:val="PageNumber"/>
            </w:rPr>
            <w:t xml:space="preserve">Department of </w:t>
          </w:r>
          <w:r>
            <w:rPr>
              <w:rStyle w:val="PageNumber"/>
              <w:b/>
            </w:rPr>
            <w:t>Industry, Tourism and Trade</w:t>
          </w:r>
        </w:p>
        <w:p w:rsidR="00580772" w:rsidRPr="00CE6614" w:rsidRDefault="009C1C99" w:rsidP="002D71F6">
          <w:pPr>
            <w:spacing w:after="0"/>
            <w:rPr>
              <w:rStyle w:val="PageNumber"/>
            </w:rPr>
          </w:pPr>
          <w:sdt>
            <w:sdtPr>
              <w:rPr>
                <w:rStyle w:val="PageNumber"/>
              </w:rPr>
              <w:alias w:val="Date"/>
              <w:tag w:val=""/>
              <w:id w:val="-468523558"/>
              <w:dataBinding w:prefixMappings="xmlns:ns0='http://schemas.microsoft.com/office/2006/coverPageProps' " w:xpath="/ns0:CoverPageProperties[1]/ns0:PublishDate[1]" w:storeItemID="{55AF091B-3C7A-41E3-B477-F2FDAA23CFDA}"/>
              <w15:color w:val="000000"/>
              <w:date w:fullDate="2022-10-11T00:00:00Z">
                <w:dateFormat w:val="d MMMM yyyy"/>
                <w:lid w:val="en-AU"/>
                <w:storeMappedDataAs w:val="dateTime"/>
                <w:calendar w:val="gregorian"/>
              </w:date>
            </w:sdtPr>
            <w:sdtEndPr>
              <w:rPr>
                <w:rStyle w:val="PageNumber"/>
              </w:rPr>
            </w:sdtEndPr>
            <w:sdtContent>
              <w:r w:rsidR="00580772">
                <w:rPr>
                  <w:rStyle w:val="PageNumber"/>
                </w:rPr>
                <w:t>11 October 2022</w:t>
              </w:r>
            </w:sdtContent>
          </w:sdt>
        </w:p>
        <w:p w:rsidR="00580772" w:rsidRPr="00AC4488" w:rsidRDefault="00580772" w:rsidP="002D71F6">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B6792">
            <w:rPr>
              <w:rStyle w:val="PageNumber"/>
              <w:noProof/>
            </w:rPr>
            <w:t>15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B6792">
            <w:rPr>
              <w:rStyle w:val="PageNumber"/>
              <w:noProof/>
            </w:rPr>
            <w:t>15</w:t>
          </w:r>
          <w:r w:rsidRPr="00AC4488">
            <w:rPr>
              <w:rStyle w:val="PageNumber"/>
            </w:rPr>
            <w:fldChar w:fldCharType="end"/>
          </w:r>
        </w:p>
      </w:tc>
    </w:tr>
  </w:tbl>
  <w:p w:rsidR="00580772" w:rsidRPr="00996655" w:rsidRDefault="00580772"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72" w:rsidRDefault="00580772" w:rsidP="00C0326E">
    <w:pPr>
      <w:spacing w:after="0"/>
    </w:pPr>
  </w:p>
  <w:p w:rsidR="00580772" w:rsidRDefault="00580772" w:rsidP="00996655">
    <w:pPr>
      <w:pStyle w:val="Hidden"/>
    </w:pPr>
  </w:p>
  <w:tbl>
    <w:tblPr>
      <w:tblW w:w="10318" w:type="dxa"/>
      <w:jc w:val="center"/>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580772" w:rsidRPr="002D71F6" w:rsidTr="002E5B7C">
      <w:trPr>
        <w:cantSplit/>
        <w:trHeight w:hRule="exact" w:val="1134"/>
        <w:jc w:val="center"/>
      </w:trPr>
      <w:tc>
        <w:tcPr>
          <w:tcW w:w="7767" w:type="dxa"/>
          <w:vAlign w:val="bottom"/>
        </w:tcPr>
        <w:p w:rsidR="00580772" w:rsidRPr="002D71F6" w:rsidRDefault="00580772" w:rsidP="002D71F6">
          <w:pPr>
            <w:spacing w:after="0"/>
            <w:rPr>
              <w:rStyle w:val="PageNumber"/>
            </w:rPr>
          </w:pPr>
          <w:r>
            <w:rPr>
              <w:noProof/>
              <w:sz w:val="19"/>
              <w:lang w:eastAsia="en-AU"/>
            </w:rPr>
            <w:drawing>
              <wp:inline distT="0" distB="0" distL="0" distR="0" wp14:anchorId="75820A25" wp14:editId="18CC1C90">
                <wp:extent cx="2577600" cy="6264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gov-in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600" cy="626400"/>
                        </a:xfrm>
                        <a:prstGeom prst="rect">
                          <a:avLst/>
                        </a:prstGeom>
                      </pic:spPr>
                    </pic:pic>
                  </a:graphicData>
                </a:graphic>
              </wp:inline>
            </w:drawing>
          </w:r>
        </w:p>
      </w:tc>
      <w:tc>
        <w:tcPr>
          <w:tcW w:w="2551" w:type="dxa"/>
          <w:vAlign w:val="bottom"/>
        </w:tcPr>
        <w:p w:rsidR="00580772" w:rsidRPr="002D71F6" w:rsidRDefault="00580772" w:rsidP="00C0326E">
          <w:pPr>
            <w:spacing w:after="0"/>
            <w:jc w:val="right"/>
          </w:pPr>
          <w:r w:rsidRPr="002D71F6">
            <w:rPr>
              <w:noProof/>
              <w:lang w:eastAsia="en-AU"/>
            </w:rPr>
            <w:drawing>
              <wp:anchor distT="0" distB="0" distL="114300" distR="114300" simplePos="0" relativeHeight="251658752" behindDoc="1" locked="0" layoutInCell="1" allowOverlap="1" wp14:anchorId="6970822C" wp14:editId="1C3EC53A">
                <wp:simplePos x="0" y="0"/>
                <wp:positionH relativeFrom="column">
                  <wp:posOffset>374015</wp:posOffset>
                </wp:positionH>
                <wp:positionV relativeFrom="paragraph">
                  <wp:posOffset>107950</wp:posOffset>
                </wp:positionV>
                <wp:extent cx="1245600" cy="446400"/>
                <wp:effectExtent l="0" t="0" r="0" b="0"/>
                <wp:wrapNone/>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456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1F6">
            <w:rPr>
              <w:rStyle w:val="PageNumber"/>
              <w:noProof/>
              <w:lang w:eastAsia="en-AU"/>
            </w:rPr>
            <w:t xml:space="preserve"> </w:t>
          </w:r>
        </w:p>
      </w:tc>
    </w:tr>
  </w:tbl>
  <w:p w:rsidR="00580772" w:rsidRPr="00661BE1" w:rsidRDefault="0058077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C99" w:rsidRDefault="009C1C99" w:rsidP="007332FF">
      <w:r>
        <w:separator/>
      </w:r>
    </w:p>
  </w:footnote>
  <w:footnote w:type="continuationSeparator" w:id="0">
    <w:p w:rsidR="009C1C99" w:rsidRDefault="009C1C99" w:rsidP="007332FF">
      <w:r>
        <w:continuationSeparator/>
      </w:r>
    </w:p>
  </w:footnote>
  <w:footnote w:type="continuationNotice" w:id="1">
    <w:p w:rsidR="009C1C99" w:rsidRDefault="009C1C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72" w:rsidRPr="00162207" w:rsidRDefault="009C1C99" w:rsidP="00996655">
    <w:pPr>
      <w:pStyle w:val="Header"/>
      <w:tabs>
        <w:tab w:val="clear" w:pos="9638"/>
        <w:tab w:val="right" w:pos="10318"/>
      </w:tabs>
      <w:jc w:val="right"/>
    </w:pPr>
    <w:sdt>
      <w:sdtPr>
        <w:alias w:val="Title"/>
        <w:tag w:val="Title"/>
        <w:id w:val="-1014609639"/>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58077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8D5"/>
    <w:multiLevelType w:val="hybridMultilevel"/>
    <w:tmpl w:val="BE28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A72A73"/>
    <w:multiLevelType w:val="hybridMultilevel"/>
    <w:tmpl w:val="79F63A4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A5D1466"/>
    <w:multiLevelType w:val="hybridMultilevel"/>
    <w:tmpl w:val="4ECAF442"/>
    <w:lvl w:ilvl="0" w:tplc="7BF4B0BA">
      <w:start w:val="1"/>
      <w:numFmt w:val="lowerRoman"/>
      <w:lvlText w:val="(%1)"/>
      <w:lvlJc w:val="left"/>
      <w:pPr>
        <w:ind w:left="644" w:hanging="72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1" w15:restartNumberingAfterBreak="0">
    <w:nsid w:val="1A636DA4"/>
    <w:multiLevelType w:val="hybridMultilevel"/>
    <w:tmpl w:val="BA9C8B82"/>
    <w:lvl w:ilvl="0" w:tplc="0C090011">
      <w:start w:val="1"/>
      <w:numFmt w:val="decimal"/>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3A0C82"/>
    <w:multiLevelType w:val="hybridMultilevel"/>
    <w:tmpl w:val="6DD2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DFD27C2"/>
    <w:multiLevelType w:val="hybridMultilevel"/>
    <w:tmpl w:val="33C6B1BE"/>
    <w:lvl w:ilvl="0" w:tplc="0C090011">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1E5C5928"/>
    <w:multiLevelType w:val="hybridMultilevel"/>
    <w:tmpl w:val="5EA44A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FB0DE0"/>
    <w:multiLevelType w:val="hybridMultilevel"/>
    <w:tmpl w:val="25B4DF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5695AAA"/>
    <w:multiLevelType w:val="hybridMultilevel"/>
    <w:tmpl w:val="7A361108"/>
    <w:lvl w:ilvl="0" w:tplc="AF2EE338">
      <w:start w:val="1"/>
      <w:numFmt w:val="lowerRoman"/>
      <w:lvlText w:val="(%1)"/>
      <w:lvlJc w:val="left"/>
      <w:pPr>
        <w:ind w:left="644" w:hanging="72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87C6399"/>
    <w:multiLevelType w:val="hybridMultilevel"/>
    <w:tmpl w:val="E6C82216"/>
    <w:lvl w:ilvl="0" w:tplc="0930CE40">
      <w:start w:val="1"/>
      <w:numFmt w:val="bullet"/>
      <w:pStyle w:val="ListBulletInde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694A00"/>
    <w:multiLevelType w:val="hybridMultilevel"/>
    <w:tmpl w:val="4EE4D6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0631182"/>
    <w:multiLevelType w:val="hybridMultilevel"/>
    <w:tmpl w:val="95E8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48924BA"/>
    <w:multiLevelType w:val="hybridMultilevel"/>
    <w:tmpl w:val="0FEAD51C"/>
    <w:lvl w:ilvl="0" w:tplc="4866F41A">
      <w:start w:val="1"/>
      <w:numFmt w:val="lowerLetter"/>
      <w:lvlText w:val="(%1)"/>
      <w:lvlJc w:val="left"/>
      <w:pPr>
        <w:ind w:left="1499" w:hanging="360"/>
      </w:pPr>
      <w:rPr>
        <w:rFonts w:hint="default"/>
      </w:rPr>
    </w:lvl>
    <w:lvl w:ilvl="1" w:tplc="0C090019" w:tentative="1">
      <w:start w:val="1"/>
      <w:numFmt w:val="lowerLetter"/>
      <w:lvlText w:val="%2."/>
      <w:lvlJc w:val="left"/>
      <w:pPr>
        <w:ind w:left="2219" w:hanging="360"/>
      </w:pPr>
    </w:lvl>
    <w:lvl w:ilvl="2" w:tplc="0C09001B" w:tentative="1">
      <w:start w:val="1"/>
      <w:numFmt w:val="lowerRoman"/>
      <w:lvlText w:val="%3."/>
      <w:lvlJc w:val="right"/>
      <w:pPr>
        <w:ind w:left="2939" w:hanging="180"/>
      </w:pPr>
    </w:lvl>
    <w:lvl w:ilvl="3" w:tplc="0C09000F" w:tentative="1">
      <w:start w:val="1"/>
      <w:numFmt w:val="decimal"/>
      <w:lvlText w:val="%4."/>
      <w:lvlJc w:val="left"/>
      <w:pPr>
        <w:ind w:left="3659" w:hanging="360"/>
      </w:pPr>
    </w:lvl>
    <w:lvl w:ilvl="4" w:tplc="0C090019" w:tentative="1">
      <w:start w:val="1"/>
      <w:numFmt w:val="lowerLetter"/>
      <w:lvlText w:val="%5."/>
      <w:lvlJc w:val="left"/>
      <w:pPr>
        <w:ind w:left="4379" w:hanging="360"/>
      </w:pPr>
    </w:lvl>
    <w:lvl w:ilvl="5" w:tplc="0C09001B" w:tentative="1">
      <w:start w:val="1"/>
      <w:numFmt w:val="lowerRoman"/>
      <w:lvlText w:val="%6."/>
      <w:lvlJc w:val="right"/>
      <w:pPr>
        <w:ind w:left="5099" w:hanging="180"/>
      </w:pPr>
    </w:lvl>
    <w:lvl w:ilvl="6" w:tplc="0C09000F" w:tentative="1">
      <w:start w:val="1"/>
      <w:numFmt w:val="decimal"/>
      <w:lvlText w:val="%7."/>
      <w:lvlJc w:val="left"/>
      <w:pPr>
        <w:ind w:left="5819" w:hanging="360"/>
      </w:pPr>
    </w:lvl>
    <w:lvl w:ilvl="7" w:tplc="0C090019" w:tentative="1">
      <w:start w:val="1"/>
      <w:numFmt w:val="lowerLetter"/>
      <w:lvlText w:val="%8."/>
      <w:lvlJc w:val="left"/>
      <w:pPr>
        <w:ind w:left="6539" w:hanging="360"/>
      </w:pPr>
    </w:lvl>
    <w:lvl w:ilvl="8" w:tplc="0C09001B" w:tentative="1">
      <w:start w:val="1"/>
      <w:numFmt w:val="lowerRoman"/>
      <w:lvlText w:val="%9."/>
      <w:lvlJc w:val="right"/>
      <w:pPr>
        <w:ind w:left="7259" w:hanging="180"/>
      </w:pPr>
    </w:lvl>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BCA7FF4"/>
    <w:multiLevelType w:val="hybridMultilevel"/>
    <w:tmpl w:val="101C3D94"/>
    <w:lvl w:ilvl="0" w:tplc="CA8E642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CFC535E"/>
    <w:multiLevelType w:val="hybridMultilevel"/>
    <w:tmpl w:val="0422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CC2F69"/>
    <w:multiLevelType w:val="hybridMultilevel"/>
    <w:tmpl w:val="F664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FD3A20"/>
    <w:multiLevelType w:val="multilevel"/>
    <w:tmpl w:val="3E5E177A"/>
    <w:name w:val="NTG Table Bullet List3322222222222"/>
    <w:numStyleLink w:val="Tablenumberlist"/>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C976F1A"/>
    <w:multiLevelType w:val="hybridMultilevel"/>
    <w:tmpl w:val="24F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E32296A"/>
    <w:multiLevelType w:val="hybridMultilevel"/>
    <w:tmpl w:val="A536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EB56BE"/>
    <w:multiLevelType w:val="hybridMultilevel"/>
    <w:tmpl w:val="12220196"/>
    <w:lvl w:ilvl="0" w:tplc="0C090001">
      <w:start w:val="1"/>
      <w:numFmt w:val="bullet"/>
      <w:lvlText w:val=""/>
      <w:lvlJc w:val="left"/>
      <w:pPr>
        <w:tabs>
          <w:tab w:val="num" w:pos="720"/>
        </w:tabs>
        <w:ind w:left="720" w:hanging="360"/>
      </w:pPr>
      <w:rPr>
        <w:rFonts w:ascii="Symbol" w:hAnsi="Symbol" w:hint="default"/>
      </w:rPr>
    </w:lvl>
    <w:lvl w:ilvl="1" w:tplc="35FA116E" w:tentative="1">
      <w:start w:val="1"/>
      <w:numFmt w:val="bullet"/>
      <w:lvlText w:val="•"/>
      <w:lvlJc w:val="left"/>
      <w:pPr>
        <w:tabs>
          <w:tab w:val="num" w:pos="1440"/>
        </w:tabs>
        <w:ind w:left="1440" w:hanging="360"/>
      </w:pPr>
      <w:rPr>
        <w:rFonts w:ascii="Arial" w:hAnsi="Arial" w:hint="default"/>
      </w:rPr>
    </w:lvl>
    <w:lvl w:ilvl="2" w:tplc="082E2296" w:tentative="1">
      <w:start w:val="1"/>
      <w:numFmt w:val="bullet"/>
      <w:lvlText w:val="•"/>
      <w:lvlJc w:val="left"/>
      <w:pPr>
        <w:tabs>
          <w:tab w:val="num" w:pos="2160"/>
        </w:tabs>
        <w:ind w:left="2160" w:hanging="360"/>
      </w:pPr>
      <w:rPr>
        <w:rFonts w:ascii="Arial" w:hAnsi="Arial" w:hint="default"/>
      </w:rPr>
    </w:lvl>
    <w:lvl w:ilvl="3" w:tplc="2FC8571C" w:tentative="1">
      <w:start w:val="1"/>
      <w:numFmt w:val="bullet"/>
      <w:lvlText w:val="•"/>
      <w:lvlJc w:val="left"/>
      <w:pPr>
        <w:tabs>
          <w:tab w:val="num" w:pos="2880"/>
        </w:tabs>
        <w:ind w:left="2880" w:hanging="360"/>
      </w:pPr>
      <w:rPr>
        <w:rFonts w:ascii="Arial" w:hAnsi="Arial" w:hint="default"/>
      </w:rPr>
    </w:lvl>
    <w:lvl w:ilvl="4" w:tplc="34BEA4C0" w:tentative="1">
      <w:start w:val="1"/>
      <w:numFmt w:val="bullet"/>
      <w:lvlText w:val="•"/>
      <w:lvlJc w:val="left"/>
      <w:pPr>
        <w:tabs>
          <w:tab w:val="num" w:pos="3600"/>
        </w:tabs>
        <w:ind w:left="3600" w:hanging="360"/>
      </w:pPr>
      <w:rPr>
        <w:rFonts w:ascii="Arial" w:hAnsi="Arial" w:hint="default"/>
      </w:rPr>
    </w:lvl>
    <w:lvl w:ilvl="5" w:tplc="ECFACC74" w:tentative="1">
      <w:start w:val="1"/>
      <w:numFmt w:val="bullet"/>
      <w:lvlText w:val="•"/>
      <w:lvlJc w:val="left"/>
      <w:pPr>
        <w:tabs>
          <w:tab w:val="num" w:pos="4320"/>
        </w:tabs>
        <w:ind w:left="4320" w:hanging="360"/>
      </w:pPr>
      <w:rPr>
        <w:rFonts w:ascii="Arial" w:hAnsi="Arial" w:hint="default"/>
      </w:rPr>
    </w:lvl>
    <w:lvl w:ilvl="6" w:tplc="14E03C16" w:tentative="1">
      <w:start w:val="1"/>
      <w:numFmt w:val="bullet"/>
      <w:lvlText w:val="•"/>
      <w:lvlJc w:val="left"/>
      <w:pPr>
        <w:tabs>
          <w:tab w:val="num" w:pos="5040"/>
        </w:tabs>
        <w:ind w:left="5040" w:hanging="360"/>
      </w:pPr>
      <w:rPr>
        <w:rFonts w:ascii="Arial" w:hAnsi="Arial" w:hint="default"/>
      </w:rPr>
    </w:lvl>
    <w:lvl w:ilvl="7" w:tplc="A8DCAD2A" w:tentative="1">
      <w:start w:val="1"/>
      <w:numFmt w:val="bullet"/>
      <w:lvlText w:val="•"/>
      <w:lvlJc w:val="left"/>
      <w:pPr>
        <w:tabs>
          <w:tab w:val="num" w:pos="5760"/>
        </w:tabs>
        <w:ind w:left="5760" w:hanging="360"/>
      </w:pPr>
      <w:rPr>
        <w:rFonts w:ascii="Arial" w:hAnsi="Arial" w:hint="default"/>
      </w:rPr>
    </w:lvl>
    <w:lvl w:ilvl="8" w:tplc="D2BAC75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24607AB"/>
    <w:multiLevelType w:val="hybridMultilevel"/>
    <w:tmpl w:val="CF3E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8AC160B"/>
    <w:multiLevelType w:val="hybridMultilevel"/>
    <w:tmpl w:val="D3B41F50"/>
    <w:lvl w:ilvl="0" w:tplc="AD04EBCC">
      <w:start w:val="1"/>
      <w:numFmt w:val="bullet"/>
      <w:lvlText w:val=""/>
      <w:lvlJc w:val="left"/>
      <w:pPr>
        <w:ind w:left="1211" w:hanging="360"/>
      </w:pPr>
      <w:rPr>
        <w:rFonts w:ascii="Wingdings" w:hAnsi="Wingdings" w:hint="default"/>
        <w:sz w:val="2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9" w15:restartNumberingAfterBreak="0">
    <w:nsid w:val="5B9A5FFE"/>
    <w:multiLevelType w:val="multilevel"/>
    <w:tmpl w:val="0C78A7AC"/>
    <w:name w:val="NTG Table Bullet List33222222222222"/>
    <w:numStyleLink w:val="Tablebulletlist"/>
  </w:abstractNum>
  <w:abstractNum w:abstractNumId="50" w15:restartNumberingAfterBreak="0">
    <w:nsid w:val="5C0C0563"/>
    <w:multiLevelType w:val="hybridMultilevel"/>
    <w:tmpl w:val="C66EE6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1E433C6"/>
    <w:multiLevelType w:val="hybridMultilevel"/>
    <w:tmpl w:val="AB64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42F26C0"/>
    <w:multiLevelType w:val="hybridMultilevel"/>
    <w:tmpl w:val="7D663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E561674"/>
    <w:multiLevelType w:val="hybridMultilevel"/>
    <w:tmpl w:val="484AC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CF3779"/>
    <w:multiLevelType w:val="hybridMultilevel"/>
    <w:tmpl w:val="2E74789E"/>
    <w:lvl w:ilvl="0" w:tplc="B67E9E5E">
      <w:start w:val="4"/>
      <w:numFmt w:val="lowerLetter"/>
      <w:lvlText w:val="(%1)"/>
      <w:lvlJc w:val="left"/>
      <w:pPr>
        <w:ind w:left="1499" w:hanging="360"/>
      </w:pPr>
      <w:rPr>
        <w:rFonts w:hint="default"/>
        <w:b w:val="0"/>
        <w:sz w:val="24"/>
        <w:szCs w:val="24"/>
      </w:rPr>
    </w:lvl>
    <w:lvl w:ilvl="1" w:tplc="0C090019" w:tentative="1">
      <w:start w:val="1"/>
      <w:numFmt w:val="lowerLetter"/>
      <w:lvlText w:val="%2."/>
      <w:lvlJc w:val="left"/>
      <w:pPr>
        <w:ind w:left="2219" w:hanging="360"/>
      </w:pPr>
    </w:lvl>
    <w:lvl w:ilvl="2" w:tplc="0C09001B" w:tentative="1">
      <w:start w:val="1"/>
      <w:numFmt w:val="lowerRoman"/>
      <w:lvlText w:val="%3."/>
      <w:lvlJc w:val="right"/>
      <w:pPr>
        <w:ind w:left="2939" w:hanging="180"/>
      </w:pPr>
    </w:lvl>
    <w:lvl w:ilvl="3" w:tplc="0C09000F" w:tentative="1">
      <w:start w:val="1"/>
      <w:numFmt w:val="decimal"/>
      <w:lvlText w:val="%4."/>
      <w:lvlJc w:val="left"/>
      <w:pPr>
        <w:ind w:left="3659" w:hanging="360"/>
      </w:pPr>
    </w:lvl>
    <w:lvl w:ilvl="4" w:tplc="0C090019" w:tentative="1">
      <w:start w:val="1"/>
      <w:numFmt w:val="lowerLetter"/>
      <w:lvlText w:val="%5."/>
      <w:lvlJc w:val="left"/>
      <w:pPr>
        <w:ind w:left="4379" w:hanging="360"/>
      </w:pPr>
    </w:lvl>
    <w:lvl w:ilvl="5" w:tplc="0C09001B" w:tentative="1">
      <w:start w:val="1"/>
      <w:numFmt w:val="lowerRoman"/>
      <w:lvlText w:val="%6."/>
      <w:lvlJc w:val="right"/>
      <w:pPr>
        <w:ind w:left="5099" w:hanging="180"/>
      </w:pPr>
    </w:lvl>
    <w:lvl w:ilvl="6" w:tplc="0C09000F" w:tentative="1">
      <w:start w:val="1"/>
      <w:numFmt w:val="decimal"/>
      <w:lvlText w:val="%7."/>
      <w:lvlJc w:val="left"/>
      <w:pPr>
        <w:ind w:left="5819" w:hanging="360"/>
      </w:pPr>
    </w:lvl>
    <w:lvl w:ilvl="7" w:tplc="0C090019" w:tentative="1">
      <w:start w:val="1"/>
      <w:numFmt w:val="lowerLetter"/>
      <w:lvlText w:val="%8."/>
      <w:lvlJc w:val="left"/>
      <w:pPr>
        <w:ind w:left="6539" w:hanging="360"/>
      </w:pPr>
    </w:lvl>
    <w:lvl w:ilvl="8" w:tplc="0C09001B" w:tentative="1">
      <w:start w:val="1"/>
      <w:numFmt w:val="lowerRoman"/>
      <w:lvlText w:val="%9."/>
      <w:lvlJc w:val="right"/>
      <w:pPr>
        <w:ind w:left="7259" w:hanging="180"/>
      </w:p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1" w15:restartNumberingAfterBreak="0">
    <w:nsid w:val="7FE25AF8"/>
    <w:multiLevelType w:val="hybridMultilevel"/>
    <w:tmpl w:val="199A8E3C"/>
    <w:lvl w:ilvl="0" w:tplc="0AFCDFB0">
      <w:start w:val="1"/>
      <w:numFmt w:val="bullet"/>
      <w:lvlText w:val=""/>
      <w:lvlJc w:val="left"/>
      <w:pPr>
        <w:ind w:left="1004" w:hanging="360"/>
      </w:pPr>
      <w:rPr>
        <w:rFonts w:ascii="Wingdings" w:hAnsi="Wingdings"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2"/>
  </w:num>
  <w:num w:numId="2">
    <w:abstractNumId w:val="19"/>
  </w:num>
  <w:num w:numId="3">
    <w:abstractNumId w:val="59"/>
  </w:num>
  <w:num w:numId="4">
    <w:abstractNumId w:val="38"/>
  </w:num>
  <w:num w:numId="5">
    <w:abstractNumId w:val="25"/>
  </w:num>
  <w:num w:numId="6">
    <w:abstractNumId w:val="9"/>
  </w:num>
  <w:num w:numId="7">
    <w:abstractNumId w:val="44"/>
  </w:num>
  <w:num w:numId="8">
    <w:abstractNumId w:val="23"/>
  </w:num>
  <w:num w:numId="9">
    <w:abstractNumId w:val="48"/>
  </w:num>
  <w:num w:numId="10">
    <w:abstractNumId w:val="41"/>
  </w:num>
  <w:num w:numId="11">
    <w:abstractNumId w:val="26"/>
  </w:num>
  <w:num w:numId="12">
    <w:abstractNumId w:val="17"/>
  </w:num>
  <w:num w:numId="13">
    <w:abstractNumId w:val="24"/>
  </w:num>
  <w:num w:numId="14">
    <w:abstractNumId w:val="39"/>
  </w:num>
  <w:num w:numId="15">
    <w:abstractNumId w:val="31"/>
  </w:num>
  <w:num w:numId="16">
    <w:abstractNumId w:val="56"/>
  </w:num>
  <w:num w:numId="17">
    <w:abstractNumId w:val="29"/>
  </w:num>
  <w:num w:numId="18">
    <w:abstractNumId w:val="33"/>
  </w:num>
  <w:num w:numId="19">
    <w:abstractNumId w:val="16"/>
  </w:num>
  <w:num w:numId="20">
    <w:abstractNumId w:val="14"/>
  </w:num>
  <w:num w:numId="21">
    <w:abstractNumId w:val="61"/>
  </w:num>
  <w:num w:numId="22">
    <w:abstractNumId w:val="42"/>
  </w:num>
  <w:num w:numId="23">
    <w:abstractNumId w:val="36"/>
  </w:num>
  <w:num w:numId="24">
    <w:abstractNumId w:val="35"/>
  </w:num>
  <w:num w:numId="25">
    <w:abstractNumId w:val="55"/>
  </w:num>
  <w:num w:numId="26">
    <w:abstractNumId w:val="53"/>
  </w:num>
  <w:num w:numId="27">
    <w:abstractNumId w:val="43"/>
  </w:num>
  <w:num w:numId="28">
    <w:abstractNumId w:val="3"/>
  </w:num>
  <w:num w:numId="29">
    <w:abstractNumId w:val="0"/>
  </w:num>
  <w:num w:numId="30">
    <w:abstractNumId w:val="52"/>
  </w:num>
  <w:num w:numId="31">
    <w:abstractNumId w:val="18"/>
  </w:num>
  <w:num w:numId="32">
    <w:abstractNumId w:val="50"/>
  </w:num>
  <w:num w:numId="33">
    <w:abstractNumId w:val="10"/>
  </w:num>
  <w:num w:numId="34">
    <w:abstractNumId w:val="20"/>
  </w:num>
  <w:num w:numId="3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ocumentProtection w:edit="readOnly" w:formatting="1" w:enforcement="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8B"/>
    <w:rsid w:val="00001DDF"/>
    <w:rsid w:val="0000322D"/>
    <w:rsid w:val="0000475D"/>
    <w:rsid w:val="00007670"/>
    <w:rsid w:val="00010665"/>
    <w:rsid w:val="000107E4"/>
    <w:rsid w:val="00010D6D"/>
    <w:rsid w:val="00014C45"/>
    <w:rsid w:val="0002393A"/>
    <w:rsid w:val="00027DB8"/>
    <w:rsid w:val="000304E8"/>
    <w:rsid w:val="000319ED"/>
    <w:rsid w:val="00031A96"/>
    <w:rsid w:val="000338D0"/>
    <w:rsid w:val="00037A05"/>
    <w:rsid w:val="00037ADD"/>
    <w:rsid w:val="00040BF3"/>
    <w:rsid w:val="00041DD2"/>
    <w:rsid w:val="0004211C"/>
    <w:rsid w:val="00046C59"/>
    <w:rsid w:val="00051362"/>
    <w:rsid w:val="00051816"/>
    <w:rsid w:val="00051F45"/>
    <w:rsid w:val="00052953"/>
    <w:rsid w:val="0005341A"/>
    <w:rsid w:val="0005465F"/>
    <w:rsid w:val="0005569A"/>
    <w:rsid w:val="00056DEF"/>
    <w:rsid w:val="00056EDC"/>
    <w:rsid w:val="00065F4A"/>
    <w:rsid w:val="0006635A"/>
    <w:rsid w:val="000720BE"/>
    <w:rsid w:val="0007259C"/>
    <w:rsid w:val="0007520D"/>
    <w:rsid w:val="00080202"/>
    <w:rsid w:val="00080DCD"/>
    <w:rsid w:val="00080E22"/>
    <w:rsid w:val="00082573"/>
    <w:rsid w:val="000840A3"/>
    <w:rsid w:val="00085062"/>
    <w:rsid w:val="00086A5F"/>
    <w:rsid w:val="000911EF"/>
    <w:rsid w:val="00094C3C"/>
    <w:rsid w:val="000962C5"/>
    <w:rsid w:val="00097865"/>
    <w:rsid w:val="000A0626"/>
    <w:rsid w:val="000A1D39"/>
    <w:rsid w:val="000A4317"/>
    <w:rsid w:val="000A559C"/>
    <w:rsid w:val="000B1BEC"/>
    <w:rsid w:val="000B285D"/>
    <w:rsid w:val="000B2CA1"/>
    <w:rsid w:val="000B7372"/>
    <w:rsid w:val="000C2223"/>
    <w:rsid w:val="000C339B"/>
    <w:rsid w:val="000C3D5E"/>
    <w:rsid w:val="000C5D35"/>
    <w:rsid w:val="000C6D20"/>
    <w:rsid w:val="000D1F29"/>
    <w:rsid w:val="000D633D"/>
    <w:rsid w:val="000E342B"/>
    <w:rsid w:val="000E3ED2"/>
    <w:rsid w:val="000E42F6"/>
    <w:rsid w:val="000E5517"/>
    <w:rsid w:val="000E5DD2"/>
    <w:rsid w:val="000E6C0B"/>
    <w:rsid w:val="000E767F"/>
    <w:rsid w:val="000F0692"/>
    <w:rsid w:val="000F2958"/>
    <w:rsid w:val="000F3850"/>
    <w:rsid w:val="000F3FD5"/>
    <w:rsid w:val="000F5C6D"/>
    <w:rsid w:val="000F604F"/>
    <w:rsid w:val="001046B4"/>
    <w:rsid w:val="00104E7F"/>
    <w:rsid w:val="00112F11"/>
    <w:rsid w:val="001137EC"/>
    <w:rsid w:val="00114404"/>
    <w:rsid w:val="001152F5"/>
    <w:rsid w:val="00117743"/>
    <w:rsid w:val="00117F5B"/>
    <w:rsid w:val="00123C07"/>
    <w:rsid w:val="00124A46"/>
    <w:rsid w:val="00127715"/>
    <w:rsid w:val="00131042"/>
    <w:rsid w:val="001322B1"/>
    <w:rsid w:val="00132658"/>
    <w:rsid w:val="0013316F"/>
    <w:rsid w:val="00133D88"/>
    <w:rsid w:val="00136DD0"/>
    <w:rsid w:val="00137B69"/>
    <w:rsid w:val="00141E3D"/>
    <w:rsid w:val="00144CF9"/>
    <w:rsid w:val="001466AE"/>
    <w:rsid w:val="00150DC0"/>
    <w:rsid w:val="001525E7"/>
    <w:rsid w:val="00156CD4"/>
    <w:rsid w:val="0016153B"/>
    <w:rsid w:val="00162207"/>
    <w:rsid w:val="00162781"/>
    <w:rsid w:val="00164A3E"/>
    <w:rsid w:val="00166FF6"/>
    <w:rsid w:val="0016788B"/>
    <w:rsid w:val="00167FA2"/>
    <w:rsid w:val="00173EE9"/>
    <w:rsid w:val="001740FA"/>
    <w:rsid w:val="00174A02"/>
    <w:rsid w:val="00176123"/>
    <w:rsid w:val="0018046D"/>
    <w:rsid w:val="00181620"/>
    <w:rsid w:val="001817B2"/>
    <w:rsid w:val="00183C93"/>
    <w:rsid w:val="00183DA9"/>
    <w:rsid w:val="00184EF8"/>
    <w:rsid w:val="001859FF"/>
    <w:rsid w:val="00187130"/>
    <w:rsid w:val="00191CC9"/>
    <w:rsid w:val="00191CDE"/>
    <w:rsid w:val="0019287F"/>
    <w:rsid w:val="001957AD"/>
    <w:rsid w:val="00196F8E"/>
    <w:rsid w:val="001A1514"/>
    <w:rsid w:val="001A2B7F"/>
    <w:rsid w:val="001A3AFD"/>
    <w:rsid w:val="001A496C"/>
    <w:rsid w:val="001A576A"/>
    <w:rsid w:val="001B04A7"/>
    <w:rsid w:val="001B28DA"/>
    <w:rsid w:val="001B2AD5"/>
    <w:rsid w:val="001B2B6C"/>
    <w:rsid w:val="001B43CF"/>
    <w:rsid w:val="001B5E4A"/>
    <w:rsid w:val="001B64C9"/>
    <w:rsid w:val="001B7017"/>
    <w:rsid w:val="001B7856"/>
    <w:rsid w:val="001D01C4"/>
    <w:rsid w:val="001D0F3B"/>
    <w:rsid w:val="001D4F99"/>
    <w:rsid w:val="001D52B0"/>
    <w:rsid w:val="001D5A18"/>
    <w:rsid w:val="001D7CA4"/>
    <w:rsid w:val="001E057F"/>
    <w:rsid w:val="001E14EB"/>
    <w:rsid w:val="001E52DA"/>
    <w:rsid w:val="001F59E6"/>
    <w:rsid w:val="0020082B"/>
    <w:rsid w:val="00203CC1"/>
    <w:rsid w:val="00203F1C"/>
    <w:rsid w:val="00206936"/>
    <w:rsid w:val="00206C6F"/>
    <w:rsid w:val="00206FBD"/>
    <w:rsid w:val="00207239"/>
    <w:rsid w:val="00207746"/>
    <w:rsid w:val="00207E1D"/>
    <w:rsid w:val="002145E6"/>
    <w:rsid w:val="00217D63"/>
    <w:rsid w:val="002209FE"/>
    <w:rsid w:val="00221910"/>
    <w:rsid w:val="0022605A"/>
    <w:rsid w:val="00230031"/>
    <w:rsid w:val="00235C01"/>
    <w:rsid w:val="0023777D"/>
    <w:rsid w:val="00247343"/>
    <w:rsid w:val="002534C3"/>
    <w:rsid w:val="00255003"/>
    <w:rsid w:val="00256359"/>
    <w:rsid w:val="002575A2"/>
    <w:rsid w:val="002605AF"/>
    <w:rsid w:val="00260F10"/>
    <w:rsid w:val="00263759"/>
    <w:rsid w:val="00265C56"/>
    <w:rsid w:val="00266CEA"/>
    <w:rsid w:val="00266F99"/>
    <w:rsid w:val="002716CD"/>
    <w:rsid w:val="00272CA6"/>
    <w:rsid w:val="002740ED"/>
    <w:rsid w:val="00274D4B"/>
    <w:rsid w:val="00275C80"/>
    <w:rsid w:val="0027725B"/>
    <w:rsid w:val="002778D1"/>
    <w:rsid w:val="002806F5"/>
    <w:rsid w:val="002808F1"/>
    <w:rsid w:val="00281577"/>
    <w:rsid w:val="002819A7"/>
    <w:rsid w:val="002852E0"/>
    <w:rsid w:val="00285FBF"/>
    <w:rsid w:val="00290236"/>
    <w:rsid w:val="002926BC"/>
    <w:rsid w:val="00293A72"/>
    <w:rsid w:val="002949A4"/>
    <w:rsid w:val="002958E8"/>
    <w:rsid w:val="00297112"/>
    <w:rsid w:val="002A0160"/>
    <w:rsid w:val="002A04C5"/>
    <w:rsid w:val="002A114F"/>
    <w:rsid w:val="002A30C3"/>
    <w:rsid w:val="002A3237"/>
    <w:rsid w:val="002A6F6A"/>
    <w:rsid w:val="002A7712"/>
    <w:rsid w:val="002B100C"/>
    <w:rsid w:val="002B2440"/>
    <w:rsid w:val="002B30ED"/>
    <w:rsid w:val="002B38F7"/>
    <w:rsid w:val="002B4433"/>
    <w:rsid w:val="002B4F50"/>
    <w:rsid w:val="002B5591"/>
    <w:rsid w:val="002B561A"/>
    <w:rsid w:val="002B6A68"/>
    <w:rsid w:val="002B6AA4"/>
    <w:rsid w:val="002C1FE9"/>
    <w:rsid w:val="002C62C9"/>
    <w:rsid w:val="002D3A57"/>
    <w:rsid w:val="002D4851"/>
    <w:rsid w:val="002D71F6"/>
    <w:rsid w:val="002D7D05"/>
    <w:rsid w:val="002E0BB9"/>
    <w:rsid w:val="002E1724"/>
    <w:rsid w:val="002E20C8"/>
    <w:rsid w:val="002E4290"/>
    <w:rsid w:val="002E4BF5"/>
    <w:rsid w:val="002E5B7C"/>
    <w:rsid w:val="002E62A5"/>
    <w:rsid w:val="002E66A6"/>
    <w:rsid w:val="002F0DB1"/>
    <w:rsid w:val="002F18DB"/>
    <w:rsid w:val="002F214E"/>
    <w:rsid w:val="002F2885"/>
    <w:rsid w:val="002F45A1"/>
    <w:rsid w:val="002F525F"/>
    <w:rsid w:val="002F5C3E"/>
    <w:rsid w:val="00300ABE"/>
    <w:rsid w:val="00301ED6"/>
    <w:rsid w:val="0030203D"/>
    <w:rsid w:val="003032E4"/>
    <w:rsid w:val="003037F9"/>
    <w:rsid w:val="0030583E"/>
    <w:rsid w:val="00305C7C"/>
    <w:rsid w:val="003077A4"/>
    <w:rsid w:val="00307FE1"/>
    <w:rsid w:val="003155E4"/>
    <w:rsid w:val="003164BA"/>
    <w:rsid w:val="00316F99"/>
    <w:rsid w:val="0032323B"/>
    <w:rsid w:val="003258E6"/>
    <w:rsid w:val="003300C6"/>
    <w:rsid w:val="00331548"/>
    <w:rsid w:val="00331D3A"/>
    <w:rsid w:val="00342283"/>
    <w:rsid w:val="0034243B"/>
    <w:rsid w:val="00343A87"/>
    <w:rsid w:val="00344A36"/>
    <w:rsid w:val="003456F4"/>
    <w:rsid w:val="00345FCE"/>
    <w:rsid w:val="003462A0"/>
    <w:rsid w:val="00347EBB"/>
    <w:rsid w:val="00347FB6"/>
    <w:rsid w:val="003504FD"/>
    <w:rsid w:val="00350881"/>
    <w:rsid w:val="0035092D"/>
    <w:rsid w:val="00351411"/>
    <w:rsid w:val="003543F7"/>
    <w:rsid w:val="00357D55"/>
    <w:rsid w:val="00361879"/>
    <w:rsid w:val="00363513"/>
    <w:rsid w:val="003654E1"/>
    <w:rsid w:val="003657E5"/>
    <w:rsid w:val="0036589C"/>
    <w:rsid w:val="00366730"/>
    <w:rsid w:val="00370A6B"/>
    <w:rsid w:val="00370FC1"/>
    <w:rsid w:val="00371312"/>
    <w:rsid w:val="00371DC7"/>
    <w:rsid w:val="00375719"/>
    <w:rsid w:val="00376E2D"/>
    <w:rsid w:val="00377B21"/>
    <w:rsid w:val="0038035D"/>
    <w:rsid w:val="00380E00"/>
    <w:rsid w:val="00382493"/>
    <w:rsid w:val="00386B45"/>
    <w:rsid w:val="00390CE3"/>
    <w:rsid w:val="0039273B"/>
    <w:rsid w:val="00393736"/>
    <w:rsid w:val="003940DD"/>
    <w:rsid w:val="00394876"/>
    <w:rsid w:val="00394AAF"/>
    <w:rsid w:val="00394CE5"/>
    <w:rsid w:val="003A0501"/>
    <w:rsid w:val="003A5077"/>
    <w:rsid w:val="003A6341"/>
    <w:rsid w:val="003A76B0"/>
    <w:rsid w:val="003B0836"/>
    <w:rsid w:val="003B1477"/>
    <w:rsid w:val="003B67FD"/>
    <w:rsid w:val="003B6A61"/>
    <w:rsid w:val="003C1CAA"/>
    <w:rsid w:val="003C25C9"/>
    <w:rsid w:val="003C5FCE"/>
    <w:rsid w:val="003D0F63"/>
    <w:rsid w:val="003D1162"/>
    <w:rsid w:val="003D1969"/>
    <w:rsid w:val="003D42C0"/>
    <w:rsid w:val="003D46ED"/>
    <w:rsid w:val="003D4B52"/>
    <w:rsid w:val="003D5B29"/>
    <w:rsid w:val="003D7818"/>
    <w:rsid w:val="003E2445"/>
    <w:rsid w:val="003E3BB2"/>
    <w:rsid w:val="003E3D6F"/>
    <w:rsid w:val="003E5544"/>
    <w:rsid w:val="003E55E8"/>
    <w:rsid w:val="003E6087"/>
    <w:rsid w:val="003E6127"/>
    <w:rsid w:val="003F3148"/>
    <w:rsid w:val="003F5B58"/>
    <w:rsid w:val="0040222A"/>
    <w:rsid w:val="00402D62"/>
    <w:rsid w:val="004047BC"/>
    <w:rsid w:val="0040557A"/>
    <w:rsid w:val="0040698F"/>
    <w:rsid w:val="00407D2B"/>
    <w:rsid w:val="004100F7"/>
    <w:rsid w:val="00411519"/>
    <w:rsid w:val="004129A0"/>
    <w:rsid w:val="0041366B"/>
    <w:rsid w:val="00414CB3"/>
    <w:rsid w:val="0041563D"/>
    <w:rsid w:val="004208F3"/>
    <w:rsid w:val="0042648E"/>
    <w:rsid w:val="004265ED"/>
    <w:rsid w:val="00426E25"/>
    <w:rsid w:val="00427D9C"/>
    <w:rsid w:val="00427E7E"/>
    <w:rsid w:val="00432B65"/>
    <w:rsid w:val="00432E86"/>
    <w:rsid w:val="0043465D"/>
    <w:rsid w:val="004361A2"/>
    <w:rsid w:val="00440ACC"/>
    <w:rsid w:val="00443B6E"/>
    <w:rsid w:val="0044465B"/>
    <w:rsid w:val="0045420A"/>
    <w:rsid w:val="004554D4"/>
    <w:rsid w:val="00455E75"/>
    <w:rsid w:val="004566E3"/>
    <w:rsid w:val="00456D0D"/>
    <w:rsid w:val="00461744"/>
    <w:rsid w:val="00461DB0"/>
    <w:rsid w:val="00462FC5"/>
    <w:rsid w:val="00466185"/>
    <w:rsid w:val="00466303"/>
    <w:rsid w:val="004668A7"/>
    <w:rsid w:val="00466D96"/>
    <w:rsid w:val="00467747"/>
    <w:rsid w:val="00470017"/>
    <w:rsid w:val="0047105A"/>
    <w:rsid w:val="00473C98"/>
    <w:rsid w:val="0047419A"/>
    <w:rsid w:val="00474965"/>
    <w:rsid w:val="00480017"/>
    <w:rsid w:val="00480CD0"/>
    <w:rsid w:val="00482DF8"/>
    <w:rsid w:val="00483932"/>
    <w:rsid w:val="004864DE"/>
    <w:rsid w:val="00486820"/>
    <w:rsid w:val="004911BB"/>
    <w:rsid w:val="004919EA"/>
    <w:rsid w:val="00494BE5"/>
    <w:rsid w:val="0049561B"/>
    <w:rsid w:val="004A02B2"/>
    <w:rsid w:val="004A07B9"/>
    <w:rsid w:val="004A0EBA"/>
    <w:rsid w:val="004A2538"/>
    <w:rsid w:val="004A2839"/>
    <w:rsid w:val="004A331E"/>
    <w:rsid w:val="004A5B06"/>
    <w:rsid w:val="004B0C15"/>
    <w:rsid w:val="004B2BD7"/>
    <w:rsid w:val="004B35EA"/>
    <w:rsid w:val="004B69E4"/>
    <w:rsid w:val="004C37CA"/>
    <w:rsid w:val="004C3A1F"/>
    <w:rsid w:val="004C3ACC"/>
    <w:rsid w:val="004C6C39"/>
    <w:rsid w:val="004C7AC5"/>
    <w:rsid w:val="004D075F"/>
    <w:rsid w:val="004D1401"/>
    <w:rsid w:val="004D1B76"/>
    <w:rsid w:val="004D249E"/>
    <w:rsid w:val="004D344E"/>
    <w:rsid w:val="004D4FA9"/>
    <w:rsid w:val="004D70E2"/>
    <w:rsid w:val="004E019E"/>
    <w:rsid w:val="004E06EC"/>
    <w:rsid w:val="004E0A3F"/>
    <w:rsid w:val="004E107A"/>
    <w:rsid w:val="004E1DC4"/>
    <w:rsid w:val="004E2CB7"/>
    <w:rsid w:val="004E3184"/>
    <w:rsid w:val="004F016A"/>
    <w:rsid w:val="004F1405"/>
    <w:rsid w:val="00500F94"/>
    <w:rsid w:val="00502FB3"/>
    <w:rsid w:val="00503DE9"/>
    <w:rsid w:val="0050530C"/>
    <w:rsid w:val="00505DEA"/>
    <w:rsid w:val="00507782"/>
    <w:rsid w:val="00510152"/>
    <w:rsid w:val="00510EAE"/>
    <w:rsid w:val="00512A04"/>
    <w:rsid w:val="00514D26"/>
    <w:rsid w:val="00516DAF"/>
    <w:rsid w:val="00517831"/>
    <w:rsid w:val="00520499"/>
    <w:rsid w:val="005207F9"/>
    <w:rsid w:val="005249F5"/>
    <w:rsid w:val="005260F7"/>
    <w:rsid w:val="0052789E"/>
    <w:rsid w:val="005317ED"/>
    <w:rsid w:val="00533267"/>
    <w:rsid w:val="00537586"/>
    <w:rsid w:val="00537B4C"/>
    <w:rsid w:val="00543812"/>
    <w:rsid w:val="00543BD1"/>
    <w:rsid w:val="005457AB"/>
    <w:rsid w:val="005545EA"/>
    <w:rsid w:val="005551A7"/>
    <w:rsid w:val="00556113"/>
    <w:rsid w:val="00556F08"/>
    <w:rsid w:val="00556F78"/>
    <w:rsid w:val="0056061A"/>
    <w:rsid w:val="00561564"/>
    <w:rsid w:val="00563031"/>
    <w:rsid w:val="00564C12"/>
    <w:rsid w:val="005654B8"/>
    <w:rsid w:val="00565E7F"/>
    <w:rsid w:val="005675E3"/>
    <w:rsid w:val="00567E1C"/>
    <w:rsid w:val="0057069C"/>
    <w:rsid w:val="00573CE5"/>
    <w:rsid w:val="005762CC"/>
    <w:rsid w:val="00580772"/>
    <w:rsid w:val="00582BE0"/>
    <w:rsid w:val="00582D3D"/>
    <w:rsid w:val="005857E5"/>
    <w:rsid w:val="005866B2"/>
    <w:rsid w:val="005867D9"/>
    <w:rsid w:val="005879FB"/>
    <w:rsid w:val="00587AC9"/>
    <w:rsid w:val="00590040"/>
    <w:rsid w:val="00592E78"/>
    <w:rsid w:val="00595386"/>
    <w:rsid w:val="005970BB"/>
    <w:rsid w:val="00597234"/>
    <w:rsid w:val="005A0741"/>
    <w:rsid w:val="005A4AC0"/>
    <w:rsid w:val="005A5FDF"/>
    <w:rsid w:val="005A6074"/>
    <w:rsid w:val="005A75F0"/>
    <w:rsid w:val="005B0FB7"/>
    <w:rsid w:val="005B122A"/>
    <w:rsid w:val="005B1FCB"/>
    <w:rsid w:val="005B3315"/>
    <w:rsid w:val="005B437E"/>
    <w:rsid w:val="005B4F36"/>
    <w:rsid w:val="005B535E"/>
    <w:rsid w:val="005B5AC2"/>
    <w:rsid w:val="005B73F8"/>
    <w:rsid w:val="005B7A9D"/>
    <w:rsid w:val="005B7DE2"/>
    <w:rsid w:val="005C09AD"/>
    <w:rsid w:val="005C0F6C"/>
    <w:rsid w:val="005C1F4E"/>
    <w:rsid w:val="005C2833"/>
    <w:rsid w:val="005C5638"/>
    <w:rsid w:val="005C7A51"/>
    <w:rsid w:val="005C7AA3"/>
    <w:rsid w:val="005D4C5B"/>
    <w:rsid w:val="005D6C40"/>
    <w:rsid w:val="005E144D"/>
    <w:rsid w:val="005E1500"/>
    <w:rsid w:val="005E18A8"/>
    <w:rsid w:val="005E3A43"/>
    <w:rsid w:val="005E3FC4"/>
    <w:rsid w:val="005E5151"/>
    <w:rsid w:val="005E5347"/>
    <w:rsid w:val="005E54BC"/>
    <w:rsid w:val="005E5F2C"/>
    <w:rsid w:val="005E728E"/>
    <w:rsid w:val="005F0B17"/>
    <w:rsid w:val="005F147C"/>
    <w:rsid w:val="005F1707"/>
    <w:rsid w:val="005F2298"/>
    <w:rsid w:val="005F480E"/>
    <w:rsid w:val="005F53A8"/>
    <w:rsid w:val="005F581B"/>
    <w:rsid w:val="005F664D"/>
    <w:rsid w:val="005F77C7"/>
    <w:rsid w:val="006007A0"/>
    <w:rsid w:val="006010B3"/>
    <w:rsid w:val="00603130"/>
    <w:rsid w:val="00606857"/>
    <w:rsid w:val="00607DB1"/>
    <w:rsid w:val="00607DDE"/>
    <w:rsid w:val="00610E79"/>
    <w:rsid w:val="00611B42"/>
    <w:rsid w:val="00613C8C"/>
    <w:rsid w:val="00620675"/>
    <w:rsid w:val="00622910"/>
    <w:rsid w:val="0062399E"/>
    <w:rsid w:val="006254B6"/>
    <w:rsid w:val="006266E4"/>
    <w:rsid w:val="00626AC3"/>
    <w:rsid w:val="00627FC8"/>
    <w:rsid w:val="0063000E"/>
    <w:rsid w:val="006347B7"/>
    <w:rsid w:val="00636B87"/>
    <w:rsid w:val="0064093D"/>
    <w:rsid w:val="006433C3"/>
    <w:rsid w:val="00646E18"/>
    <w:rsid w:val="00650F5B"/>
    <w:rsid w:val="0066334C"/>
    <w:rsid w:val="006659F1"/>
    <w:rsid w:val="006666FA"/>
    <w:rsid w:val="006670D7"/>
    <w:rsid w:val="006719EA"/>
    <w:rsid w:val="00671F13"/>
    <w:rsid w:val="0067400A"/>
    <w:rsid w:val="0068102E"/>
    <w:rsid w:val="006814D7"/>
    <w:rsid w:val="006847AD"/>
    <w:rsid w:val="0069114B"/>
    <w:rsid w:val="006926CB"/>
    <w:rsid w:val="006928C9"/>
    <w:rsid w:val="00693100"/>
    <w:rsid w:val="006931C0"/>
    <w:rsid w:val="00693AB7"/>
    <w:rsid w:val="00694222"/>
    <w:rsid w:val="006944C1"/>
    <w:rsid w:val="0069774A"/>
    <w:rsid w:val="006A2444"/>
    <w:rsid w:val="006A2F2D"/>
    <w:rsid w:val="006A6F6D"/>
    <w:rsid w:val="006A756A"/>
    <w:rsid w:val="006B2841"/>
    <w:rsid w:val="006B2D6A"/>
    <w:rsid w:val="006B3920"/>
    <w:rsid w:val="006B446B"/>
    <w:rsid w:val="006B450E"/>
    <w:rsid w:val="006B5E69"/>
    <w:rsid w:val="006B6897"/>
    <w:rsid w:val="006C030E"/>
    <w:rsid w:val="006C462C"/>
    <w:rsid w:val="006C52E6"/>
    <w:rsid w:val="006D2159"/>
    <w:rsid w:val="006D2949"/>
    <w:rsid w:val="006D6223"/>
    <w:rsid w:val="006D66F7"/>
    <w:rsid w:val="006F0C78"/>
    <w:rsid w:val="006F301F"/>
    <w:rsid w:val="006F4F1B"/>
    <w:rsid w:val="006F6C6A"/>
    <w:rsid w:val="00705C9D"/>
    <w:rsid w:val="00705F13"/>
    <w:rsid w:val="00705FBC"/>
    <w:rsid w:val="00714F1D"/>
    <w:rsid w:val="00715225"/>
    <w:rsid w:val="00720C83"/>
    <w:rsid w:val="00720CC6"/>
    <w:rsid w:val="00722489"/>
    <w:rsid w:val="0072265F"/>
    <w:rsid w:val="00722DDB"/>
    <w:rsid w:val="00724728"/>
    <w:rsid w:val="00724F98"/>
    <w:rsid w:val="00725B3E"/>
    <w:rsid w:val="00725EDE"/>
    <w:rsid w:val="00726C4B"/>
    <w:rsid w:val="00730B9B"/>
    <w:rsid w:val="00731634"/>
    <w:rsid w:val="0073182E"/>
    <w:rsid w:val="00731E78"/>
    <w:rsid w:val="00732628"/>
    <w:rsid w:val="00732EE3"/>
    <w:rsid w:val="007332FF"/>
    <w:rsid w:val="00734787"/>
    <w:rsid w:val="007354FE"/>
    <w:rsid w:val="007408F5"/>
    <w:rsid w:val="00741EAE"/>
    <w:rsid w:val="0074313D"/>
    <w:rsid w:val="00743E77"/>
    <w:rsid w:val="00750D2F"/>
    <w:rsid w:val="00755248"/>
    <w:rsid w:val="00755B5A"/>
    <w:rsid w:val="0076167B"/>
    <w:rsid w:val="0076190B"/>
    <w:rsid w:val="00763448"/>
    <w:rsid w:val="0076355D"/>
    <w:rsid w:val="00763A2D"/>
    <w:rsid w:val="0076634D"/>
    <w:rsid w:val="0076692C"/>
    <w:rsid w:val="007670BC"/>
    <w:rsid w:val="007676A4"/>
    <w:rsid w:val="00770E35"/>
    <w:rsid w:val="00772E62"/>
    <w:rsid w:val="00774351"/>
    <w:rsid w:val="00775D76"/>
    <w:rsid w:val="00776C45"/>
    <w:rsid w:val="00777795"/>
    <w:rsid w:val="00780352"/>
    <w:rsid w:val="00781679"/>
    <w:rsid w:val="0078358E"/>
    <w:rsid w:val="007835E8"/>
    <w:rsid w:val="00783A57"/>
    <w:rsid w:val="00784C92"/>
    <w:rsid w:val="007859CD"/>
    <w:rsid w:val="00785C24"/>
    <w:rsid w:val="00790667"/>
    <w:rsid w:val="007907E4"/>
    <w:rsid w:val="007909FA"/>
    <w:rsid w:val="00792ECC"/>
    <w:rsid w:val="007950EC"/>
    <w:rsid w:val="00796461"/>
    <w:rsid w:val="00797778"/>
    <w:rsid w:val="007A6456"/>
    <w:rsid w:val="007A6A4F"/>
    <w:rsid w:val="007A6DE3"/>
    <w:rsid w:val="007A7A85"/>
    <w:rsid w:val="007B03F5"/>
    <w:rsid w:val="007B4D56"/>
    <w:rsid w:val="007B5C09"/>
    <w:rsid w:val="007B5DA2"/>
    <w:rsid w:val="007B5F0D"/>
    <w:rsid w:val="007B6CB5"/>
    <w:rsid w:val="007B709B"/>
    <w:rsid w:val="007B762C"/>
    <w:rsid w:val="007B77E4"/>
    <w:rsid w:val="007C0966"/>
    <w:rsid w:val="007C19E7"/>
    <w:rsid w:val="007C2BEC"/>
    <w:rsid w:val="007C39DD"/>
    <w:rsid w:val="007C4DCF"/>
    <w:rsid w:val="007C5CFD"/>
    <w:rsid w:val="007C63D7"/>
    <w:rsid w:val="007C6D9F"/>
    <w:rsid w:val="007D3C83"/>
    <w:rsid w:val="007D4893"/>
    <w:rsid w:val="007D5630"/>
    <w:rsid w:val="007E002E"/>
    <w:rsid w:val="007E128D"/>
    <w:rsid w:val="007E2245"/>
    <w:rsid w:val="007E40B0"/>
    <w:rsid w:val="007E44EB"/>
    <w:rsid w:val="007E70CF"/>
    <w:rsid w:val="007E74A4"/>
    <w:rsid w:val="007F182E"/>
    <w:rsid w:val="007F1B6F"/>
    <w:rsid w:val="007F263F"/>
    <w:rsid w:val="007F3DA4"/>
    <w:rsid w:val="0080040F"/>
    <w:rsid w:val="008015A8"/>
    <w:rsid w:val="008028DE"/>
    <w:rsid w:val="008061B7"/>
    <w:rsid w:val="0080766E"/>
    <w:rsid w:val="008106A8"/>
    <w:rsid w:val="00811169"/>
    <w:rsid w:val="00815297"/>
    <w:rsid w:val="008170DB"/>
    <w:rsid w:val="00817BA1"/>
    <w:rsid w:val="00822D77"/>
    <w:rsid w:val="00823022"/>
    <w:rsid w:val="00824AF2"/>
    <w:rsid w:val="0082634E"/>
    <w:rsid w:val="008313C4"/>
    <w:rsid w:val="008341A8"/>
    <w:rsid w:val="00835434"/>
    <w:rsid w:val="008358C0"/>
    <w:rsid w:val="008365C8"/>
    <w:rsid w:val="00837116"/>
    <w:rsid w:val="00837842"/>
    <w:rsid w:val="0084043A"/>
    <w:rsid w:val="00840932"/>
    <w:rsid w:val="00842123"/>
    <w:rsid w:val="00842838"/>
    <w:rsid w:val="00844B43"/>
    <w:rsid w:val="008508C2"/>
    <w:rsid w:val="00854DD6"/>
    <w:rsid w:val="00854EC1"/>
    <w:rsid w:val="00855469"/>
    <w:rsid w:val="0085770C"/>
    <w:rsid w:val="0085797F"/>
    <w:rsid w:val="00860615"/>
    <w:rsid w:val="00861DC3"/>
    <w:rsid w:val="0086574B"/>
    <w:rsid w:val="00867019"/>
    <w:rsid w:val="00867DAC"/>
    <w:rsid w:val="00870776"/>
    <w:rsid w:val="00870A45"/>
    <w:rsid w:val="00872EF1"/>
    <w:rsid w:val="008735A9"/>
    <w:rsid w:val="008749F8"/>
    <w:rsid w:val="00875E09"/>
    <w:rsid w:val="00877953"/>
    <w:rsid w:val="00877BC5"/>
    <w:rsid w:val="00877D20"/>
    <w:rsid w:val="00880123"/>
    <w:rsid w:val="008816C0"/>
    <w:rsid w:val="00881A37"/>
    <w:rsid w:val="00881B1F"/>
    <w:rsid w:val="00881C48"/>
    <w:rsid w:val="0088477D"/>
    <w:rsid w:val="008847CA"/>
    <w:rsid w:val="00885B80"/>
    <w:rsid w:val="00885C30"/>
    <w:rsid w:val="00885E9B"/>
    <w:rsid w:val="00886CDD"/>
    <w:rsid w:val="00887EE3"/>
    <w:rsid w:val="00887F0D"/>
    <w:rsid w:val="008918FB"/>
    <w:rsid w:val="0089319B"/>
    <w:rsid w:val="00893C96"/>
    <w:rsid w:val="00894E7A"/>
    <w:rsid w:val="0089500A"/>
    <w:rsid w:val="00897C94"/>
    <w:rsid w:val="008A231B"/>
    <w:rsid w:val="008A3C5E"/>
    <w:rsid w:val="008A7C12"/>
    <w:rsid w:val="008B03CE"/>
    <w:rsid w:val="008B21AD"/>
    <w:rsid w:val="008B49A6"/>
    <w:rsid w:val="008B50FC"/>
    <w:rsid w:val="008B529E"/>
    <w:rsid w:val="008B6792"/>
    <w:rsid w:val="008C0D34"/>
    <w:rsid w:val="008C17FB"/>
    <w:rsid w:val="008C2422"/>
    <w:rsid w:val="008C6E10"/>
    <w:rsid w:val="008C70BB"/>
    <w:rsid w:val="008D1B00"/>
    <w:rsid w:val="008D1D2A"/>
    <w:rsid w:val="008D278B"/>
    <w:rsid w:val="008D46F8"/>
    <w:rsid w:val="008D57B8"/>
    <w:rsid w:val="008E03FC"/>
    <w:rsid w:val="008E17E5"/>
    <w:rsid w:val="008E2ACD"/>
    <w:rsid w:val="008E3799"/>
    <w:rsid w:val="008E510B"/>
    <w:rsid w:val="008F288F"/>
    <w:rsid w:val="008F3410"/>
    <w:rsid w:val="008F422B"/>
    <w:rsid w:val="008F454D"/>
    <w:rsid w:val="009004B8"/>
    <w:rsid w:val="0090091D"/>
    <w:rsid w:val="00901430"/>
    <w:rsid w:val="00902B13"/>
    <w:rsid w:val="0090397E"/>
    <w:rsid w:val="00905DD7"/>
    <w:rsid w:val="00906B5A"/>
    <w:rsid w:val="00911941"/>
    <w:rsid w:val="0091328A"/>
    <w:rsid w:val="0092024D"/>
    <w:rsid w:val="00923329"/>
    <w:rsid w:val="00925146"/>
    <w:rsid w:val="00925F0F"/>
    <w:rsid w:val="00927FC1"/>
    <w:rsid w:val="00930523"/>
    <w:rsid w:val="00932F6B"/>
    <w:rsid w:val="009330E4"/>
    <w:rsid w:val="009348F7"/>
    <w:rsid w:val="0094302C"/>
    <w:rsid w:val="00945FFB"/>
    <w:rsid w:val="00946527"/>
    <w:rsid w:val="009468BC"/>
    <w:rsid w:val="0094710C"/>
    <w:rsid w:val="0094788E"/>
    <w:rsid w:val="00947FAE"/>
    <w:rsid w:val="00950298"/>
    <w:rsid w:val="00953762"/>
    <w:rsid w:val="0095427C"/>
    <w:rsid w:val="00956837"/>
    <w:rsid w:val="009570B1"/>
    <w:rsid w:val="009616DF"/>
    <w:rsid w:val="00963E4F"/>
    <w:rsid w:val="0096542F"/>
    <w:rsid w:val="00967FA7"/>
    <w:rsid w:val="00971645"/>
    <w:rsid w:val="00972A4F"/>
    <w:rsid w:val="009731F8"/>
    <w:rsid w:val="00977067"/>
    <w:rsid w:val="00977919"/>
    <w:rsid w:val="00983000"/>
    <w:rsid w:val="00985996"/>
    <w:rsid w:val="009870FA"/>
    <w:rsid w:val="009921C3"/>
    <w:rsid w:val="0099551D"/>
    <w:rsid w:val="009960F8"/>
    <w:rsid w:val="00996655"/>
    <w:rsid w:val="00996A64"/>
    <w:rsid w:val="009A006C"/>
    <w:rsid w:val="009A110C"/>
    <w:rsid w:val="009A4CAD"/>
    <w:rsid w:val="009A4F90"/>
    <w:rsid w:val="009A5897"/>
    <w:rsid w:val="009A59E3"/>
    <w:rsid w:val="009A5F24"/>
    <w:rsid w:val="009A7675"/>
    <w:rsid w:val="009A7866"/>
    <w:rsid w:val="009B013A"/>
    <w:rsid w:val="009B09FD"/>
    <w:rsid w:val="009B0B3E"/>
    <w:rsid w:val="009B1403"/>
    <w:rsid w:val="009B1913"/>
    <w:rsid w:val="009B42E4"/>
    <w:rsid w:val="009B5025"/>
    <w:rsid w:val="009B5CED"/>
    <w:rsid w:val="009B6088"/>
    <w:rsid w:val="009B6657"/>
    <w:rsid w:val="009B6966"/>
    <w:rsid w:val="009C1C99"/>
    <w:rsid w:val="009C2386"/>
    <w:rsid w:val="009C3563"/>
    <w:rsid w:val="009D0EB5"/>
    <w:rsid w:val="009D14F9"/>
    <w:rsid w:val="009D2B74"/>
    <w:rsid w:val="009D63FF"/>
    <w:rsid w:val="009D790B"/>
    <w:rsid w:val="009E11BE"/>
    <w:rsid w:val="009E175D"/>
    <w:rsid w:val="009E3610"/>
    <w:rsid w:val="009E3CC2"/>
    <w:rsid w:val="009E7C37"/>
    <w:rsid w:val="009F06BD"/>
    <w:rsid w:val="009F2A4D"/>
    <w:rsid w:val="009F360A"/>
    <w:rsid w:val="00A00828"/>
    <w:rsid w:val="00A016BB"/>
    <w:rsid w:val="00A01A50"/>
    <w:rsid w:val="00A03290"/>
    <w:rsid w:val="00A0387E"/>
    <w:rsid w:val="00A05BFD"/>
    <w:rsid w:val="00A07490"/>
    <w:rsid w:val="00A07812"/>
    <w:rsid w:val="00A10655"/>
    <w:rsid w:val="00A1103A"/>
    <w:rsid w:val="00A112A5"/>
    <w:rsid w:val="00A125C3"/>
    <w:rsid w:val="00A12B64"/>
    <w:rsid w:val="00A17E91"/>
    <w:rsid w:val="00A21C4F"/>
    <w:rsid w:val="00A22C38"/>
    <w:rsid w:val="00A25193"/>
    <w:rsid w:val="00A25369"/>
    <w:rsid w:val="00A26E80"/>
    <w:rsid w:val="00A31103"/>
    <w:rsid w:val="00A3141A"/>
    <w:rsid w:val="00A31AE8"/>
    <w:rsid w:val="00A35E17"/>
    <w:rsid w:val="00A36536"/>
    <w:rsid w:val="00A3739D"/>
    <w:rsid w:val="00A37DDA"/>
    <w:rsid w:val="00A45005"/>
    <w:rsid w:val="00A4525D"/>
    <w:rsid w:val="00A475B3"/>
    <w:rsid w:val="00A5132E"/>
    <w:rsid w:val="00A52B55"/>
    <w:rsid w:val="00A55A62"/>
    <w:rsid w:val="00A56749"/>
    <w:rsid w:val="00A62D35"/>
    <w:rsid w:val="00A66857"/>
    <w:rsid w:val="00A66BB3"/>
    <w:rsid w:val="00A76790"/>
    <w:rsid w:val="00A7724E"/>
    <w:rsid w:val="00A80916"/>
    <w:rsid w:val="00A84B58"/>
    <w:rsid w:val="00A8545F"/>
    <w:rsid w:val="00A91443"/>
    <w:rsid w:val="00A925EC"/>
    <w:rsid w:val="00A928D1"/>
    <w:rsid w:val="00A9293F"/>
    <w:rsid w:val="00A929AA"/>
    <w:rsid w:val="00A92B6B"/>
    <w:rsid w:val="00A92EC8"/>
    <w:rsid w:val="00A95484"/>
    <w:rsid w:val="00A963C8"/>
    <w:rsid w:val="00AA52FD"/>
    <w:rsid w:val="00AA541E"/>
    <w:rsid w:val="00AB07E5"/>
    <w:rsid w:val="00AB496A"/>
    <w:rsid w:val="00AB5413"/>
    <w:rsid w:val="00AB7B69"/>
    <w:rsid w:val="00AC6C9E"/>
    <w:rsid w:val="00AD0DA4"/>
    <w:rsid w:val="00AD1364"/>
    <w:rsid w:val="00AD3AB2"/>
    <w:rsid w:val="00AD4169"/>
    <w:rsid w:val="00AE0073"/>
    <w:rsid w:val="00AE0E6B"/>
    <w:rsid w:val="00AE20E5"/>
    <w:rsid w:val="00AE25C6"/>
    <w:rsid w:val="00AE306C"/>
    <w:rsid w:val="00AE4F01"/>
    <w:rsid w:val="00AE6F91"/>
    <w:rsid w:val="00AF28C1"/>
    <w:rsid w:val="00B02EF1"/>
    <w:rsid w:val="00B05BCC"/>
    <w:rsid w:val="00B06652"/>
    <w:rsid w:val="00B07C97"/>
    <w:rsid w:val="00B11C67"/>
    <w:rsid w:val="00B127C7"/>
    <w:rsid w:val="00B12A52"/>
    <w:rsid w:val="00B14C0F"/>
    <w:rsid w:val="00B15754"/>
    <w:rsid w:val="00B2046E"/>
    <w:rsid w:val="00B20E8B"/>
    <w:rsid w:val="00B257E1"/>
    <w:rsid w:val="00B2599A"/>
    <w:rsid w:val="00B27AC4"/>
    <w:rsid w:val="00B30110"/>
    <w:rsid w:val="00B30B18"/>
    <w:rsid w:val="00B33E5A"/>
    <w:rsid w:val="00B343CC"/>
    <w:rsid w:val="00B3459E"/>
    <w:rsid w:val="00B36EFD"/>
    <w:rsid w:val="00B37C9C"/>
    <w:rsid w:val="00B4258F"/>
    <w:rsid w:val="00B43037"/>
    <w:rsid w:val="00B5084A"/>
    <w:rsid w:val="00B606A1"/>
    <w:rsid w:val="00B614F7"/>
    <w:rsid w:val="00B61B26"/>
    <w:rsid w:val="00B61DEB"/>
    <w:rsid w:val="00B6329E"/>
    <w:rsid w:val="00B65E6B"/>
    <w:rsid w:val="00B675B2"/>
    <w:rsid w:val="00B757E2"/>
    <w:rsid w:val="00B80309"/>
    <w:rsid w:val="00B81261"/>
    <w:rsid w:val="00B81904"/>
    <w:rsid w:val="00B81A32"/>
    <w:rsid w:val="00B8223E"/>
    <w:rsid w:val="00B832AE"/>
    <w:rsid w:val="00B83F89"/>
    <w:rsid w:val="00B86678"/>
    <w:rsid w:val="00B87A73"/>
    <w:rsid w:val="00B87BBA"/>
    <w:rsid w:val="00B9024D"/>
    <w:rsid w:val="00B92F9B"/>
    <w:rsid w:val="00B9385A"/>
    <w:rsid w:val="00B93DB1"/>
    <w:rsid w:val="00B941B3"/>
    <w:rsid w:val="00B94DFC"/>
    <w:rsid w:val="00B96513"/>
    <w:rsid w:val="00BA1D47"/>
    <w:rsid w:val="00BA1F64"/>
    <w:rsid w:val="00BA44C4"/>
    <w:rsid w:val="00BA57EA"/>
    <w:rsid w:val="00BA5EC5"/>
    <w:rsid w:val="00BA66F0"/>
    <w:rsid w:val="00BA7006"/>
    <w:rsid w:val="00BB025A"/>
    <w:rsid w:val="00BB221F"/>
    <w:rsid w:val="00BB2239"/>
    <w:rsid w:val="00BB2AE7"/>
    <w:rsid w:val="00BB3746"/>
    <w:rsid w:val="00BB53D4"/>
    <w:rsid w:val="00BB6464"/>
    <w:rsid w:val="00BC030E"/>
    <w:rsid w:val="00BC1BB8"/>
    <w:rsid w:val="00BC2299"/>
    <w:rsid w:val="00BC5A50"/>
    <w:rsid w:val="00BD7180"/>
    <w:rsid w:val="00BD731C"/>
    <w:rsid w:val="00BD7FE1"/>
    <w:rsid w:val="00BE0EB9"/>
    <w:rsid w:val="00BE322A"/>
    <w:rsid w:val="00BE37CA"/>
    <w:rsid w:val="00BE4A3E"/>
    <w:rsid w:val="00BE4ECB"/>
    <w:rsid w:val="00BE6144"/>
    <w:rsid w:val="00BE635A"/>
    <w:rsid w:val="00BF1478"/>
    <w:rsid w:val="00BF17E9"/>
    <w:rsid w:val="00BF2ABB"/>
    <w:rsid w:val="00BF5099"/>
    <w:rsid w:val="00C0051E"/>
    <w:rsid w:val="00C0326E"/>
    <w:rsid w:val="00C10F10"/>
    <w:rsid w:val="00C15D4D"/>
    <w:rsid w:val="00C175DC"/>
    <w:rsid w:val="00C17B74"/>
    <w:rsid w:val="00C17FFA"/>
    <w:rsid w:val="00C26CA0"/>
    <w:rsid w:val="00C30171"/>
    <w:rsid w:val="00C309D8"/>
    <w:rsid w:val="00C322B4"/>
    <w:rsid w:val="00C35610"/>
    <w:rsid w:val="00C357F6"/>
    <w:rsid w:val="00C36C0E"/>
    <w:rsid w:val="00C37263"/>
    <w:rsid w:val="00C37540"/>
    <w:rsid w:val="00C37F0E"/>
    <w:rsid w:val="00C42609"/>
    <w:rsid w:val="00C43519"/>
    <w:rsid w:val="00C45263"/>
    <w:rsid w:val="00C51537"/>
    <w:rsid w:val="00C52BC3"/>
    <w:rsid w:val="00C52D20"/>
    <w:rsid w:val="00C5567A"/>
    <w:rsid w:val="00C55B5A"/>
    <w:rsid w:val="00C5616D"/>
    <w:rsid w:val="00C60EC1"/>
    <w:rsid w:val="00C61455"/>
    <w:rsid w:val="00C61AFA"/>
    <w:rsid w:val="00C61BC4"/>
    <w:rsid w:val="00C61D64"/>
    <w:rsid w:val="00C62099"/>
    <w:rsid w:val="00C62486"/>
    <w:rsid w:val="00C633E4"/>
    <w:rsid w:val="00C64EA3"/>
    <w:rsid w:val="00C70287"/>
    <w:rsid w:val="00C72867"/>
    <w:rsid w:val="00C73A9D"/>
    <w:rsid w:val="00C75E81"/>
    <w:rsid w:val="00C77F69"/>
    <w:rsid w:val="00C80292"/>
    <w:rsid w:val="00C809D1"/>
    <w:rsid w:val="00C817CB"/>
    <w:rsid w:val="00C81914"/>
    <w:rsid w:val="00C826AA"/>
    <w:rsid w:val="00C840A8"/>
    <w:rsid w:val="00C84C8D"/>
    <w:rsid w:val="00C86609"/>
    <w:rsid w:val="00C90BA3"/>
    <w:rsid w:val="00C92625"/>
    <w:rsid w:val="00C92A47"/>
    <w:rsid w:val="00C92A6F"/>
    <w:rsid w:val="00C92B4C"/>
    <w:rsid w:val="00C94CE8"/>
    <w:rsid w:val="00C954F6"/>
    <w:rsid w:val="00C95AED"/>
    <w:rsid w:val="00C96B3C"/>
    <w:rsid w:val="00C97055"/>
    <w:rsid w:val="00CA0308"/>
    <w:rsid w:val="00CA36A0"/>
    <w:rsid w:val="00CA52A2"/>
    <w:rsid w:val="00CA6BC5"/>
    <w:rsid w:val="00CB08DB"/>
    <w:rsid w:val="00CB0F1A"/>
    <w:rsid w:val="00CB1669"/>
    <w:rsid w:val="00CC22C3"/>
    <w:rsid w:val="00CC3474"/>
    <w:rsid w:val="00CC401E"/>
    <w:rsid w:val="00CC571B"/>
    <w:rsid w:val="00CC61CD"/>
    <w:rsid w:val="00CC69C4"/>
    <w:rsid w:val="00CC6C02"/>
    <w:rsid w:val="00CC714E"/>
    <w:rsid w:val="00CC71E8"/>
    <w:rsid w:val="00CC737B"/>
    <w:rsid w:val="00CD4695"/>
    <w:rsid w:val="00CD48BA"/>
    <w:rsid w:val="00CD5011"/>
    <w:rsid w:val="00CD5213"/>
    <w:rsid w:val="00CE00B9"/>
    <w:rsid w:val="00CE0475"/>
    <w:rsid w:val="00CE13BF"/>
    <w:rsid w:val="00CE2B22"/>
    <w:rsid w:val="00CE302B"/>
    <w:rsid w:val="00CE62CD"/>
    <w:rsid w:val="00CE640F"/>
    <w:rsid w:val="00CE76BC"/>
    <w:rsid w:val="00CF088B"/>
    <w:rsid w:val="00CF208D"/>
    <w:rsid w:val="00CF540E"/>
    <w:rsid w:val="00D0163C"/>
    <w:rsid w:val="00D02F07"/>
    <w:rsid w:val="00D03B35"/>
    <w:rsid w:val="00D05474"/>
    <w:rsid w:val="00D10EE5"/>
    <w:rsid w:val="00D1192B"/>
    <w:rsid w:val="00D13831"/>
    <w:rsid w:val="00D15D88"/>
    <w:rsid w:val="00D20A4E"/>
    <w:rsid w:val="00D268EE"/>
    <w:rsid w:val="00D27EBE"/>
    <w:rsid w:val="00D3019D"/>
    <w:rsid w:val="00D3025F"/>
    <w:rsid w:val="00D30DF4"/>
    <w:rsid w:val="00D30E56"/>
    <w:rsid w:val="00D31116"/>
    <w:rsid w:val="00D32656"/>
    <w:rsid w:val="00D35553"/>
    <w:rsid w:val="00D356FF"/>
    <w:rsid w:val="00D36A49"/>
    <w:rsid w:val="00D43FE9"/>
    <w:rsid w:val="00D45EA8"/>
    <w:rsid w:val="00D46C0F"/>
    <w:rsid w:val="00D50543"/>
    <w:rsid w:val="00D517C6"/>
    <w:rsid w:val="00D52EE2"/>
    <w:rsid w:val="00D56736"/>
    <w:rsid w:val="00D60415"/>
    <w:rsid w:val="00D60BC2"/>
    <w:rsid w:val="00D61FD1"/>
    <w:rsid w:val="00D6696A"/>
    <w:rsid w:val="00D719AB"/>
    <w:rsid w:val="00D71D84"/>
    <w:rsid w:val="00D722E3"/>
    <w:rsid w:val="00D72464"/>
    <w:rsid w:val="00D72A57"/>
    <w:rsid w:val="00D75B0B"/>
    <w:rsid w:val="00D7665F"/>
    <w:rsid w:val="00D768EB"/>
    <w:rsid w:val="00D76D7A"/>
    <w:rsid w:val="00D81E17"/>
    <w:rsid w:val="00D828F6"/>
    <w:rsid w:val="00D82D1E"/>
    <w:rsid w:val="00D832D9"/>
    <w:rsid w:val="00D85B46"/>
    <w:rsid w:val="00D9014C"/>
    <w:rsid w:val="00D904AE"/>
    <w:rsid w:val="00D908CD"/>
    <w:rsid w:val="00D90F00"/>
    <w:rsid w:val="00D9217A"/>
    <w:rsid w:val="00D921A3"/>
    <w:rsid w:val="00D975C0"/>
    <w:rsid w:val="00DA199F"/>
    <w:rsid w:val="00DA1E9F"/>
    <w:rsid w:val="00DA2C2F"/>
    <w:rsid w:val="00DA2E18"/>
    <w:rsid w:val="00DA5285"/>
    <w:rsid w:val="00DA5BEA"/>
    <w:rsid w:val="00DA64D3"/>
    <w:rsid w:val="00DA717F"/>
    <w:rsid w:val="00DB191D"/>
    <w:rsid w:val="00DB3670"/>
    <w:rsid w:val="00DB4F91"/>
    <w:rsid w:val="00DB6D0A"/>
    <w:rsid w:val="00DB7B99"/>
    <w:rsid w:val="00DC06BE"/>
    <w:rsid w:val="00DC1F0F"/>
    <w:rsid w:val="00DC3117"/>
    <w:rsid w:val="00DC4BFE"/>
    <w:rsid w:val="00DC5DD9"/>
    <w:rsid w:val="00DC603D"/>
    <w:rsid w:val="00DC6D2D"/>
    <w:rsid w:val="00DC6DA8"/>
    <w:rsid w:val="00DD16E6"/>
    <w:rsid w:val="00DD30E2"/>
    <w:rsid w:val="00DD4E59"/>
    <w:rsid w:val="00DD77B3"/>
    <w:rsid w:val="00DD78DE"/>
    <w:rsid w:val="00DD7E32"/>
    <w:rsid w:val="00DE33B5"/>
    <w:rsid w:val="00DE5E18"/>
    <w:rsid w:val="00DF03B0"/>
    <w:rsid w:val="00DF0487"/>
    <w:rsid w:val="00DF184E"/>
    <w:rsid w:val="00DF2C99"/>
    <w:rsid w:val="00DF5EA4"/>
    <w:rsid w:val="00DF6808"/>
    <w:rsid w:val="00E0118D"/>
    <w:rsid w:val="00E02681"/>
    <w:rsid w:val="00E02792"/>
    <w:rsid w:val="00E034D8"/>
    <w:rsid w:val="00E04CC0"/>
    <w:rsid w:val="00E1023E"/>
    <w:rsid w:val="00E153A0"/>
    <w:rsid w:val="00E15816"/>
    <w:rsid w:val="00E160D5"/>
    <w:rsid w:val="00E239FF"/>
    <w:rsid w:val="00E25A89"/>
    <w:rsid w:val="00E27908"/>
    <w:rsid w:val="00E27D7B"/>
    <w:rsid w:val="00E30556"/>
    <w:rsid w:val="00E30981"/>
    <w:rsid w:val="00E311FE"/>
    <w:rsid w:val="00E32ADC"/>
    <w:rsid w:val="00E33136"/>
    <w:rsid w:val="00E34D7C"/>
    <w:rsid w:val="00E34E97"/>
    <w:rsid w:val="00E353F2"/>
    <w:rsid w:val="00E36941"/>
    <w:rsid w:val="00E3723D"/>
    <w:rsid w:val="00E376AD"/>
    <w:rsid w:val="00E41EA5"/>
    <w:rsid w:val="00E4319C"/>
    <w:rsid w:val="00E44B8A"/>
    <w:rsid w:val="00E44C89"/>
    <w:rsid w:val="00E457A6"/>
    <w:rsid w:val="00E52375"/>
    <w:rsid w:val="00E54A14"/>
    <w:rsid w:val="00E556E8"/>
    <w:rsid w:val="00E61BA2"/>
    <w:rsid w:val="00E62E23"/>
    <w:rsid w:val="00E63158"/>
    <w:rsid w:val="00E63864"/>
    <w:rsid w:val="00E6403F"/>
    <w:rsid w:val="00E67376"/>
    <w:rsid w:val="00E75451"/>
    <w:rsid w:val="00E75616"/>
    <w:rsid w:val="00E761F2"/>
    <w:rsid w:val="00E76AB0"/>
    <w:rsid w:val="00E770C4"/>
    <w:rsid w:val="00E81233"/>
    <w:rsid w:val="00E84C5A"/>
    <w:rsid w:val="00E861DB"/>
    <w:rsid w:val="00E86DED"/>
    <w:rsid w:val="00E908F1"/>
    <w:rsid w:val="00E93406"/>
    <w:rsid w:val="00E9402C"/>
    <w:rsid w:val="00E956C5"/>
    <w:rsid w:val="00E95C39"/>
    <w:rsid w:val="00EA2C39"/>
    <w:rsid w:val="00EA676F"/>
    <w:rsid w:val="00EB0A3C"/>
    <w:rsid w:val="00EB0A96"/>
    <w:rsid w:val="00EB164C"/>
    <w:rsid w:val="00EB1D82"/>
    <w:rsid w:val="00EB5868"/>
    <w:rsid w:val="00EB77F9"/>
    <w:rsid w:val="00EB7A32"/>
    <w:rsid w:val="00EB7D83"/>
    <w:rsid w:val="00EC3B1A"/>
    <w:rsid w:val="00EC46CB"/>
    <w:rsid w:val="00EC4A6B"/>
    <w:rsid w:val="00EC53E0"/>
    <w:rsid w:val="00EC5769"/>
    <w:rsid w:val="00EC76B1"/>
    <w:rsid w:val="00EC7D00"/>
    <w:rsid w:val="00ED0304"/>
    <w:rsid w:val="00ED2A74"/>
    <w:rsid w:val="00ED5B7B"/>
    <w:rsid w:val="00ED5CBB"/>
    <w:rsid w:val="00ED6666"/>
    <w:rsid w:val="00EE2DED"/>
    <w:rsid w:val="00EE38FA"/>
    <w:rsid w:val="00EE3E2C"/>
    <w:rsid w:val="00EE4971"/>
    <w:rsid w:val="00EE5D23"/>
    <w:rsid w:val="00EE6225"/>
    <w:rsid w:val="00EE750D"/>
    <w:rsid w:val="00EF26EE"/>
    <w:rsid w:val="00EF2978"/>
    <w:rsid w:val="00EF3CA4"/>
    <w:rsid w:val="00EF5810"/>
    <w:rsid w:val="00EF6DBA"/>
    <w:rsid w:val="00EF7362"/>
    <w:rsid w:val="00EF76A6"/>
    <w:rsid w:val="00EF7859"/>
    <w:rsid w:val="00F00054"/>
    <w:rsid w:val="00F014DA"/>
    <w:rsid w:val="00F02591"/>
    <w:rsid w:val="00F0783C"/>
    <w:rsid w:val="00F12F87"/>
    <w:rsid w:val="00F13E4A"/>
    <w:rsid w:val="00F14580"/>
    <w:rsid w:val="00F2060C"/>
    <w:rsid w:val="00F20FFE"/>
    <w:rsid w:val="00F27862"/>
    <w:rsid w:val="00F27AE4"/>
    <w:rsid w:val="00F30090"/>
    <w:rsid w:val="00F31FD4"/>
    <w:rsid w:val="00F330DB"/>
    <w:rsid w:val="00F34B10"/>
    <w:rsid w:val="00F34F61"/>
    <w:rsid w:val="00F36C4C"/>
    <w:rsid w:val="00F371D1"/>
    <w:rsid w:val="00F45E37"/>
    <w:rsid w:val="00F46029"/>
    <w:rsid w:val="00F47026"/>
    <w:rsid w:val="00F47800"/>
    <w:rsid w:val="00F47A7C"/>
    <w:rsid w:val="00F5696E"/>
    <w:rsid w:val="00F56FBF"/>
    <w:rsid w:val="00F574CC"/>
    <w:rsid w:val="00F60EFF"/>
    <w:rsid w:val="00F62A12"/>
    <w:rsid w:val="00F673ED"/>
    <w:rsid w:val="00F67D2D"/>
    <w:rsid w:val="00F75D7E"/>
    <w:rsid w:val="00F83A12"/>
    <w:rsid w:val="00F83D4C"/>
    <w:rsid w:val="00F858F2"/>
    <w:rsid w:val="00F860CC"/>
    <w:rsid w:val="00F86410"/>
    <w:rsid w:val="00F86FD1"/>
    <w:rsid w:val="00F90309"/>
    <w:rsid w:val="00F90960"/>
    <w:rsid w:val="00F927A8"/>
    <w:rsid w:val="00F94398"/>
    <w:rsid w:val="00F96270"/>
    <w:rsid w:val="00F9629A"/>
    <w:rsid w:val="00F96724"/>
    <w:rsid w:val="00FA0076"/>
    <w:rsid w:val="00FA13C2"/>
    <w:rsid w:val="00FA1DB2"/>
    <w:rsid w:val="00FA5019"/>
    <w:rsid w:val="00FB2B56"/>
    <w:rsid w:val="00FB37E1"/>
    <w:rsid w:val="00FB4C33"/>
    <w:rsid w:val="00FB55D5"/>
    <w:rsid w:val="00FC12BF"/>
    <w:rsid w:val="00FC1B25"/>
    <w:rsid w:val="00FC26C2"/>
    <w:rsid w:val="00FC2C60"/>
    <w:rsid w:val="00FC2C6D"/>
    <w:rsid w:val="00FC670B"/>
    <w:rsid w:val="00FD2004"/>
    <w:rsid w:val="00FD3E6F"/>
    <w:rsid w:val="00FD51B9"/>
    <w:rsid w:val="00FD5849"/>
    <w:rsid w:val="00FD7EE8"/>
    <w:rsid w:val="00FE2A39"/>
    <w:rsid w:val="00FE460C"/>
    <w:rsid w:val="00FE537D"/>
    <w:rsid w:val="00FF2AEE"/>
    <w:rsid w:val="00FF39CF"/>
    <w:rsid w:val="00FF4F97"/>
    <w:rsid w:val="00FF4FB4"/>
    <w:rsid w:val="00FF5BD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26577-BBFB-4BAF-BBBF-8E827C5A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customStyle="1" w:styleId="Default">
    <w:name w:val="Default"/>
    <w:rsid w:val="00F12F87"/>
    <w:pPr>
      <w:autoSpaceDE w:val="0"/>
      <w:autoSpaceDN w:val="0"/>
      <w:adjustRightInd w:val="0"/>
      <w:spacing w:after="0"/>
    </w:pPr>
    <w:rPr>
      <w:rFonts w:ascii="Calibri" w:hAnsi="Calibri" w:cs="Calibri"/>
      <w:color w:val="000000"/>
      <w:sz w:val="24"/>
      <w:szCs w:val="24"/>
    </w:rPr>
  </w:style>
  <w:style w:type="character" w:styleId="Emphasis">
    <w:name w:val="Emphasis"/>
    <w:basedOn w:val="DefaultParagraphFont"/>
    <w:uiPriority w:val="20"/>
    <w:qFormat/>
    <w:rsid w:val="009C3563"/>
    <w:rPr>
      <w:i/>
      <w:iCs/>
    </w:rPr>
  </w:style>
  <w:style w:type="character" w:styleId="CommentReference">
    <w:name w:val="annotation reference"/>
    <w:basedOn w:val="DefaultParagraphFont"/>
    <w:uiPriority w:val="99"/>
    <w:semiHidden/>
    <w:unhideWhenUsed/>
    <w:rsid w:val="009C3563"/>
    <w:rPr>
      <w:sz w:val="16"/>
      <w:szCs w:val="16"/>
    </w:rPr>
  </w:style>
  <w:style w:type="paragraph" w:styleId="CommentText">
    <w:name w:val="annotation text"/>
    <w:basedOn w:val="Normal"/>
    <w:link w:val="CommentTextChar"/>
    <w:uiPriority w:val="99"/>
    <w:unhideWhenUsed/>
    <w:rsid w:val="009C3563"/>
    <w:rPr>
      <w:sz w:val="20"/>
      <w:szCs w:val="20"/>
    </w:rPr>
  </w:style>
  <w:style w:type="character" w:customStyle="1" w:styleId="CommentTextChar">
    <w:name w:val="Comment Text Char"/>
    <w:basedOn w:val="DefaultParagraphFont"/>
    <w:link w:val="CommentText"/>
    <w:uiPriority w:val="99"/>
    <w:rsid w:val="009C356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C3563"/>
    <w:rPr>
      <w:b/>
      <w:bCs/>
    </w:rPr>
  </w:style>
  <w:style w:type="character" w:customStyle="1" w:styleId="CommentSubjectChar">
    <w:name w:val="Comment Subject Char"/>
    <w:basedOn w:val="CommentTextChar"/>
    <w:link w:val="CommentSubject"/>
    <w:uiPriority w:val="99"/>
    <w:semiHidden/>
    <w:rsid w:val="009C3563"/>
    <w:rPr>
      <w:rFonts w:ascii="Lato" w:hAnsi="Lato"/>
      <w:b/>
      <w:bCs/>
      <w:sz w:val="20"/>
      <w:szCs w:val="20"/>
    </w:rPr>
  </w:style>
  <w:style w:type="character" w:styleId="FollowedHyperlink">
    <w:name w:val="FollowedHyperlink"/>
    <w:basedOn w:val="DefaultParagraphFont"/>
    <w:uiPriority w:val="99"/>
    <w:semiHidden/>
    <w:unhideWhenUsed/>
    <w:rsid w:val="008F288F"/>
    <w:rPr>
      <w:color w:val="8C4799" w:themeColor="followedHyperlink"/>
      <w:u w:val="single"/>
    </w:rPr>
  </w:style>
  <w:style w:type="paragraph" w:customStyle="1" w:styleId="ListBulletIndent">
    <w:name w:val="List Bullet Indent"/>
    <w:basedOn w:val="ListBullet"/>
    <w:uiPriority w:val="9"/>
    <w:qFormat/>
    <w:rsid w:val="007C2BEC"/>
    <w:pPr>
      <w:numPr>
        <w:numId w:val="13"/>
      </w:numPr>
      <w:tabs>
        <w:tab w:val="left" w:pos="357"/>
      </w:tabs>
      <w:spacing w:before="60" w:after="60"/>
    </w:pPr>
    <w:rPr>
      <w:rFonts w:ascii="Calibri" w:eastAsiaTheme="minorHAnsi" w:hAnsi="Calibri" w:cstheme="minorBidi"/>
      <w:color w:val="1E5E5E" w:themeColor="accent6"/>
      <w:szCs w:val="18"/>
    </w:rPr>
  </w:style>
  <w:style w:type="paragraph" w:styleId="Revision">
    <w:name w:val="Revision"/>
    <w:hidden/>
    <w:uiPriority w:val="99"/>
    <w:semiHidden/>
    <w:rsid w:val="007835E8"/>
    <w:pPr>
      <w:spacing w:after="0"/>
    </w:pPr>
    <w:rPr>
      <w:rFonts w:ascii="Lato" w:hAnsi="Lato"/>
    </w:rPr>
  </w:style>
  <w:style w:type="character" w:customStyle="1" w:styleId="ListParagraphChar">
    <w:name w:val="List Paragraph Char"/>
    <w:basedOn w:val="DefaultParagraphFont"/>
    <w:link w:val="ListParagraph"/>
    <w:uiPriority w:val="34"/>
    <w:rsid w:val="00A1103A"/>
    <w:rPr>
      <w:rFonts w:ascii="Lato" w:eastAsiaTheme="minorEastAsia" w:hAnsi="Lato"/>
      <w:iCs/>
    </w:rPr>
  </w:style>
  <w:style w:type="character" w:customStyle="1" w:styleId="normaltextrun">
    <w:name w:val="normaltextrun"/>
    <w:basedOn w:val="DefaultParagraphFont"/>
    <w:rsid w:val="00DD16E6"/>
  </w:style>
  <w:style w:type="character" w:customStyle="1" w:styleId="eop">
    <w:name w:val="eop"/>
    <w:basedOn w:val="DefaultParagraphFont"/>
    <w:rsid w:val="00DD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1190">
      <w:bodyDiv w:val="1"/>
      <w:marLeft w:val="0"/>
      <w:marRight w:val="0"/>
      <w:marTop w:val="0"/>
      <w:marBottom w:val="0"/>
      <w:divBdr>
        <w:top w:val="none" w:sz="0" w:space="0" w:color="auto"/>
        <w:left w:val="none" w:sz="0" w:space="0" w:color="auto"/>
        <w:bottom w:val="none" w:sz="0" w:space="0" w:color="auto"/>
        <w:right w:val="none" w:sz="0" w:space="0" w:color="auto"/>
      </w:divBdr>
      <w:divsChild>
        <w:div w:id="1031077918">
          <w:marLeft w:val="274"/>
          <w:marRight w:val="0"/>
          <w:marTop w:val="0"/>
          <w:marBottom w:val="0"/>
          <w:divBdr>
            <w:top w:val="none" w:sz="0" w:space="0" w:color="auto"/>
            <w:left w:val="none" w:sz="0" w:space="0" w:color="auto"/>
            <w:bottom w:val="none" w:sz="0" w:space="0" w:color="auto"/>
            <w:right w:val="none" w:sz="0" w:space="0" w:color="auto"/>
          </w:divBdr>
        </w:div>
        <w:div w:id="873617529">
          <w:marLeft w:val="274"/>
          <w:marRight w:val="0"/>
          <w:marTop w:val="0"/>
          <w:marBottom w:val="0"/>
          <w:divBdr>
            <w:top w:val="none" w:sz="0" w:space="0" w:color="auto"/>
            <w:left w:val="none" w:sz="0" w:space="0" w:color="auto"/>
            <w:bottom w:val="none" w:sz="0" w:space="0" w:color="auto"/>
            <w:right w:val="none" w:sz="0" w:space="0" w:color="auto"/>
          </w:divBdr>
        </w:div>
        <w:div w:id="766003992">
          <w:marLeft w:val="274"/>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36295849">
      <w:bodyDiv w:val="1"/>
      <w:marLeft w:val="0"/>
      <w:marRight w:val="0"/>
      <w:marTop w:val="0"/>
      <w:marBottom w:val="0"/>
      <w:divBdr>
        <w:top w:val="none" w:sz="0" w:space="0" w:color="auto"/>
        <w:left w:val="none" w:sz="0" w:space="0" w:color="auto"/>
        <w:bottom w:val="none" w:sz="0" w:space="0" w:color="auto"/>
        <w:right w:val="none" w:sz="0" w:space="0" w:color="auto"/>
      </w:divBdr>
    </w:div>
    <w:div w:id="468329880">
      <w:bodyDiv w:val="1"/>
      <w:marLeft w:val="0"/>
      <w:marRight w:val="0"/>
      <w:marTop w:val="0"/>
      <w:marBottom w:val="0"/>
      <w:divBdr>
        <w:top w:val="none" w:sz="0" w:space="0" w:color="auto"/>
        <w:left w:val="none" w:sz="0" w:space="0" w:color="auto"/>
        <w:bottom w:val="none" w:sz="0" w:space="0" w:color="auto"/>
        <w:right w:val="none" w:sz="0" w:space="0" w:color="auto"/>
      </w:divBdr>
    </w:div>
    <w:div w:id="666371621">
      <w:bodyDiv w:val="1"/>
      <w:marLeft w:val="0"/>
      <w:marRight w:val="0"/>
      <w:marTop w:val="0"/>
      <w:marBottom w:val="0"/>
      <w:divBdr>
        <w:top w:val="none" w:sz="0" w:space="0" w:color="auto"/>
        <w:left w:val="none" w:sz="0" w:space="0" w:color="auto"/>
        <w:bottom w:val="none" w:sz="0" w:space="0" w:color="auto"/>
        <w:right w:val="none" w:sz="0" w:space="0" w:color="auto"/>
      </w:divBdr>
      <w:divsChild>
        <w:div w:id="1072193149">
          <w:marLeft w:val="274"/>
          <w:marRight w:val="0"/>
          <w:marTop w:val="0"/>
          <w:marBottom w:val="0"/>
          <w:divBdr>
            <w:top w:val="none" w:sz="0" w:space="0" w:color="auto"/>
            <w:left w:val="none" w:sz="0" w:space="0" w:color="auto"/>
            <w:bottom w:val="none" w:sz="0" w:space="0" w:color="auto"/>
            <w:right w:val="none" w:sz="0" w:space="0" w:color="auto"/>
          </w:divBdr>
        </w:div>
        <w:div w:id="1360932319">
          <w:marLeft w:val="274"/>
          <w:marRight w:val="0"/>
          <w:marTop w:val="0"/>
          <w:marBottom w:val="0"/>
          <w:divBdr>
            <w:top w:val="none" w:sz="0" w:space="0" w:color="auto"/>
            <w:left w:val="none" w:sz="0" w:space="0" w:color="auto"/>
            <w:bottom w:val="none" w:sz="0" w:space="0" w:color="auto"/>
            <w:right w:val="none" w:sz="0" w:space="0" w:color="auto"/>
          </w:divBdr>
        </w:div>
        <w:div w:id="1321084298">
          <w:marLeft w:val="274"/>
          <w:marRight w:val="0"/>
          <w:marTop w:val="0"/>
          <w:marBottom w:val="0"/>
          <w:divBdr>
            <w:top w:val="none" w:sz="0" w:space="0" w:color="auto"/>
            <w:left w:val="none" w:sz="0" w:space="0" w:color="auto"/>
            <w:bottom w:val="none" w:sz="0" w:space="0" w:color="auto"/>
            <w:right w:val="none" w:sz="0" w:space="0" w:color="auto"/>
          </w:divBdr>
        </w:div>
        <w:div w:id="1706756991">
          <w:marLeft w:val="274"/>
          <w:marRight w:val="0"/>
          <w:marTop w:val="0"/>
          <w:marBottom w:val="0"/>
          <w:divBdr>
            <w:top w:val="none" w:sz="0" w:space="0" w:color="auto"/>
            <w:left w:val="none" w:sz="0" w:space="0" w:color="auto"/>
            <w:bottom w:val="none" w:sz="0" w:space="0" w:color="auto"/>
            <w:right w:val="none" w:sz="0" w:space="0" w:color="auto"/>
          </w:divBdr>
        </w:div>
        <w:div w:id="1342967787">
          <w:marLeft w:val="274"/>
          <w:marRight w:val="0"/>
          <w:marTop w:val="0"/>
          <w:marBottom w:val="0"/>
          <w:divBdr>
            <w:top w:val="none" w:sz="0" w:space="0" w:color="auto"/>
            <w:left w:val="none" w:sz="0" w:space="0" w:color="auto"/>
            <w:bottom w:val="none" w:sz="0" w:space="0" w:color="auto"/>
            <w:right w:val="none" w:sz="0" w:space="0" w:color="auto"/>
          </w:divBdr>
        </w:div>
      </w:divsChild>
    </w:div>
    <w:div w:id="911281925">
      <w:bodyDiv w:val="1"/>
      <w:marLeft w:val="0"/>
      <w:marRight w:val="0"/>
      <w:marTop w:val="0"/>
      <w:marBottom w:val="0"/>
      <w:divBdr>
        <w:top w:val="none" w:sz="0" w:space="0" w:color="auto"/>
        <w:left w:val="none" w:sz="0" w:space="0" w:color="auto"/>
        <w:bottom w:val="none" w:sz="0" w:space="0" w:color="auto"/>
        <w:right w:val="none" w:sz="0" w:space="0" w:color="auto"/>
      </w:divBdr>
    </w:div>
    <w:div w:id="936861428">
      <w:bodyDiv w:val="1"/>
      <w:marLeft w:val="0"/>
      <w:marRight w:val="0"/>
      <w:marTop w:val="0"/>
      <w:marBottom w:val="0"/>
      <w:divBdr>
        <w:top w:val="none" w:sz="0" w:space="0" w:color="auto"/>
        <w:left w:val="none" w:sz="0" w:space="0" w:color="auto"/>
        <w:bottom w:val="none" w:sz="0" w:space="0" w:color="auto"/>
        <w:right w:val="none" w:sz="0" w:space="0" w:color="auto"/>
      </w:divBdr>
    </w:div>
    <w:div w:id="939606198">
      <w:bodyDiv w:val="1"/>
      <w:marLeft w:val="0"/>
      <w:marRight w:val="0"/>
      <w:marTop w:val="0"/>
      <w:marBottom w:val="0"/>
      <w:divBdr>
        <w:top w:val="none" w:sz="0" w:space="0" w:color="auto"/>
        <w:left w:val="none" w:sz="0" w:space="0" w:color="auto"/>
        <w:bottom w:val="none" w:sz="0" w:space="0" w:color="auto"/>
        <w:right w:val="none" w:sz="0" w:space="0" w:color="auto"/>
      </w:divBdr>
      <w:divsChild>
        <w:div w:id="1957057573">
          <w:marLeft w:val="274"/>
          <w:marRight w:val="0"/>
          <w:marTop w:val="0"/>
          <w:marBottom w:val="0"/>
          <w:divBdr>
            <w:top w:val="none" w:sz="0" w:space="0" w:color="auto"/>
            <w:left w:val="none" w:sz="0" w:space="0" w:color="auto"/>
            <w:bottom w:val="none" w:sz="0" w:space="0" w:color="auto"/>
            <w:right w:val="none" w:sz="0" w:space="0" w:color="auto"/>
          </w:divBdr>
        </w:div>
        <w:div w:id="929705002">
          <w:marLeft w:val="274"/>
          <w:marRight w:val="0"/>
          <w:marTop w:val="0"/>
          <w:marBottom w:val="0"/>
          <w:divBdr>
            <w:top w:val="none" w:sz="0" w:space="0" w:color="auto"/>
            <w:left w:val="none" w:sz="0" w:space="0" w:color="auto"/>
            <w:bottom w:val="none" w:sz="0" w:space="0" w:color="auto"/>
            <w:right w:val="none" w:sz="0" w:space="0" w:color="auto"/>
          </w:divBdr>
        </w:div>
        <w:div w:id="70585743">
          <w:marLeft w:val="274"/>
          <w:marRight w:val="0"/>
          <w:marTop w:val="0"/>
          <w:marBottom w:val="0"/>
          <w:divBdr>
            <w:top w:val="none" w:sz="0" w:space="0" w:color="auto"/>
            <w:left w:val="none" w:sz="0" w:space="0" w:color="auto"/>
            <w:bottom w:val="none" w:sz="0" w:space="0" w:color="auto"/>
            <w:right w:val="none" w:sz="0" w:space="0" w:color="auto"/>
          </w:divBdr>
        </w:div>
        <w:div w:id="518390509">
          <w:marLeft w:val="274"/>
          <w:marRight w:val="0"/>
          <w:marTop w:val="0"/>
          <w:marBottom w:val="0"/>
          <w:divBdr>
            <w:top w:val="none" w:sz="0" w:space="0" w:color="auto"/>
            <w:left w:val="none" w:sz="0" w:space="0" w:color="auto"/>
            <w:bottom w:val="none" w:sz="0" w:space="0" w:color="auto"/>
            <w:right w:val="none" w:sz="0" w:space="0" w:color="auto"/>
          </w:divBdr>
        </w:div>
      </w:divsChild>
    </w:div>
    <w:div w:id="1110784648">
      <w:bodyDiv w:val="1"/>
      <w:marLeft w:val="0"/>
      <w:marRight w:val="0"/>
      <w:marTop w:val="0"/>
      <w:marBottom w:val="0"/>
      <w:divBdr>
        <w:top w:val="none" w:sz="0" w:space="0" w:color="auto"/>
        <w:left w:val="none" w:sz="0" w:space="0" w:color="auto"/>
        <w:bottom w:val="none" w:sz="0" w:space="0" w:color="auto"/>
        <w:right w:val="none" w:sz="0" w:space="0" w:color="auto"/>
      </w:divBdr>
    </w:div>
    <w:div w:id="1123502687">
      <w:bodyDiv w:val="1"/>
      <w:marLeft w:val="0"/>
      <w:marRight w:val="0"/>
      <w:marTop w:val="0"/>
      <w:marBottom w:val="0"/>
      <w:divBdr>
        <w:top w:val="none" w:sz="0" w:space="0" w:color="auto"/>
        <w:left w:val="none" w:sz="0" w:space="0" w:color="auto"/>
        <w:bottom w:val="none" w:sz="0" w:space="0" w:color="auto"/>
        <w:right w:val="none" w:sz="0" w:space="0" w:color="auto"/>
      </w:divBdr>
    </w:div>
    <w:div w:id="1126657643">
      <w:bodyDiv w:val="1"/>
      <w:marLeft w:val="0"/>
      <w:marRight w:val="0"/>
      <w:marTop w:val="0"/>
      <w:marBottom w:val="0"/>
      <w:divBdr>
        <w:top w:val="none" w:sz="0" w:space="0" w:color="auto"/>
        <w:left w:val="none" w:sz="0" w:space="0" w:color="auto"/>
        <w:bottom w:val="none" w:sz="0" w:space="0" w:color="auto"/>
        <w:right w:val="none" w:sz="0" w:space="0" w:color="auto"/>
      </w:divBdr>
    </w:div>
    <w:div w:id="1235050146">
      <w:bodyDiv w:val="1"/>
      <w:marLeft w:val="0"/>
      <w:marRight w:val="0"/>
      <w:marTop w:val="0"/>
      <w:marBottom w:val="0"/>
      <w:divBdr>
        <w:top w:val="none" w:sz="0" w:space="0" w:color="auto"/>
        <w:left w:val="none" w:sz="0" w:space="0" w:color="auto"/>
        <w:bottom w:val="none" w:sz="0" w:space="0" w:color="auto"/>
        <w:right w:val="none" w:sz="0" w:space="0" w:color="auto"/>
      </w:divBdr>
    </w:div>
    <w:div w:id="1258951938">
      <w:bodyDiv w:val="1"/>
      <w:marLeft w:val="0"/>
      <w:marRight w:val="0"/>
      <w:marTop w:val="0"/>
      <w:marBottom w:val="0"/>
      <w:divBdr>
        <w:top w:val="none" w:sz="0" w:space="0" w:color="auto"/>
        <w:left w:val="none" w:sz="0" w:space="0" w:color="auto"/>
        <w:bottom w:val="none" w:sz="0" w:space="0" w:color="auto"/>
        <w:right w:val="none" w:sz="0" w:space="0" w:color="auto"/>
      </w:divBdr>
      <w:divsChild>
        <w:div w:id="2002197966">
          <w:marLeft w:val="274"/>
          <w:marRight w:val="0"/>
          <w:marTop w:val="0"/>
          <w:marBottom w:val="0"/>
          <w:divBdr>
            <w:top w:val="none" w:sz="0" w:space="0" w:color="auto"/>
            <w:left w:val="none" w:sz="0" w:space="0" w:color="auto"/>
            <w:bottom w:val="none" w:sz="0" w:space="0" w:color="auto"/>
            <w:right w:val="none" w:sz="0" w:space="0" w:color="auto"/>
          </w:divBdr>
        </w:div>
        <w:div w:id="1651598752">
          <w:marLeft w:val="274"/>
          <w:marRight w:val="0"/>
          <w:marTop w:val="0"/>
          <w:marBottom w:val="0"/>
          <w:divBdr>
            <w:top w:val="none" w:sz="0" w:space="0" w:color="auto"/>
            <w:left w:val="none" w:sz="0" w:space="0" w:color="auto"/>
            <w:bottom w:val="none" w:sz="0" w:space="0" w:color="auto"/>
            <w:right w:val="none" w:sz="0" w:space="0" w:color="auto"/>
          </w:divBdr>
        </w:div>
        <w:div w:id="2100053734">
          <w:marLeft w:val="274"/>
          <w:marRight w:val="0"/>
          <w:marTop w:val="0"/>
          <w:marBottom w:val="0"/>
          <w:divBdr>
            <w:top w:val="none" w:sz="0" w:space="0" w:color="auto"/>
            <w:left w:val="none" w:sz="0" w:space="0" w:color="auto"/>
            <w:bottom w:val="none" w:sz="0" w:space="0" w:color="auto"/>
            <w:right w:val="none" w:sz="0" w:space="0" w:color="auto"/>
          </w:divBdr>
        </w:div>
        <w:div w:id="924147507">
          <w:marLeft w:val="274"/>
          <w:marRight w:val="0"/>
          <w:marTop w:val="0"/>
          <w:marBottom w:val="0"/>
          <w:divBdr>
            <w:top w:val="none" w:sz="0" w:space="0" w:color="auto"/>
            <w:left w:val="none" w:sz="0" w:space="0" w:color="auto"/>
            <w:bottom w:val="none" w:sz="0" w:space="0" w:color="auto"/>
            <w:right w:val="none" w:sz="0" w:space="0" w:color="auto"/>
          </w:divBdr>
        </w:div>
        <w:div w:id="2022969740">
          <w:marLeft w:val="274"/>
          <w:marRight w:val="0"/>
          <w:marTop w:val="0"/>
          <w:marBottom w:val="0"/>
          <w:divBdr>
            <w:top w:val="none" w:sz="0" w:space="0" w:color="auto"/>
            <w:left w:val="none" w:sz="0" w:space="0" w:color="auto"/>
            <w:bottom w:val="none" w:sz="0" w:space="0" w:color="auto"/>
            <w:right w:val="none" w:sz="0" w:space="0" w:color="auto"/>
          </w:divBdr>
        </w:div>
        <w:div w:id="1647316511">
          <w:marLeft w:val="274"/>
          <w:marRight w:val="0"/>
          <w:marTop w:val="0"/>
          <w:marBottom w:val="0"/>
          <w:divBdr>
            <w:top w:val="none" w:sz="0" w:space="0" w:color="auto"/>
            <w:left w:val="none" w:sz="0" w:space="0" w:color="auto"/>
            <w:bottom w:val="none" w:sz="0" w:space="0" w:color="auto"/>
            <w:right w:val="none" w:sz="0" w:space="0" w:color="auto"/>
          </w:divBdr>
        </w:div>
      </w:divsChild>
    </w:div>
    <w:div w:id="132516337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9450184">
      <w:bodyDiv w:val="1"/>
      <w:marLeft w:val="0"/>
      <w:marRight w:val="0"/>
      <w:marTop w:val="0"/>
      <w:marBottom w:val="0"/>
      <w:divBdr>
        <w:top w:val="none" w:sz="0" w:space="0" w:color="auto"/>
        <w:left w:val="none" w:sz="0" w:space="0" w:color="auto"/>
        <w:bottom w:val="none" w:sz="0" w:space="0" w:color="auto"/>
        <w:right w:val="none" w:sz="0" w:space="0" w:color="auto"/>
      </w:divBdr>
    </w:div>
    <w:div w:id="1916238839">
      <w:bodyDiv w:val="1"/>
      <w:marLeft w:val="0"/>
      <w:marRight w:val="0"/>
      <w:marTop w:val="0"/>
      <w:marBottom w:val="0"/>
      <w:divBdr>
        <w:top w:val="none" w:sz="0" w:space="0" w:color="auto"/>
        <w:left w:val="none" w:sz="0" w:space="0" w:color="auto"/>
        <w:bottom w:val="none" w:sz="0" w:space="0" w:color="auto"/>
        <w:right w:val="none" w:sz="0" w:space="0" w:color="auto"/>
      </w:divBdr>
      <w:divsChild>
        <w:div w:id="76025592">
          <w:marLeft w:val="274"/>
          <w:marRight w:val="0"/>
          <w:marTop w:val="0"/>
          <w:marBottom w:val="0"/>
          <w:divBdr>
            <w:top w:val="none" w:sz="0" w:space="0" w:color="auto"/>
            <w:left w:val="none" w:sz="0" w:space="0" w:color="auto"/>
            <w:bottom w:val="none" w:sz="0" w:space="0" w:color="auto"/>
            <w:right w:val="none" w:sz="0" w:space="0" w:color="auto"/>
          </w:divBdr>
        </w:div>
        <w:div w:id="708410882">
          <w:marLeft w:val="274"/>
          <w:marRight w:val="0"/>
          <w:marTop w:val="0"/>
          <w:marBottom w:val="0"/>
          <w:divBdr>
            <w:top w:val="none" w:sz="0" w:space="0" w:color="auto"/>
            <w:left w:val="none" w:sz="0" w:space="0" w:color="auto"/>
            <w:bottom w:val="none" w:sz="0" w:space="0" w:color="auto"/>
            <w:right w:val="none" w:sz="0" w:space="0" w:color="auto"/>
          </w:divBdr>
        </w:div>
        <w:div w:id="446124153">
          <w:marLeft w:val="274"/>
          <w:marRight w:val="0"/>
          <w:marTop w:val="0"/>
          <w:marBottom w:val="0"/>
          <w:divBdr>
            <w:top w:val="none" w:sz="0" w:space="0" w:color="auto"/>
            <w:left w:val="none" w:sz="0" w:space="0" w:color="auto"/>
            <w:bottom w:val="none" w:sz="0" w:space="0" w:color="auto"/>
            <w:right w:val="none" w:sz="0" w:space="0" w:color="auto"/>
          </w:divBdr>
        </w:div>
        <w:div w:id="1105224721">
          <w:marLeft w:val="274"/>
          <w:marRight w:val="0"/>
          <w:marTop w:val="0"/>
          <w:marBottom w:val="0"/>
          <w:divBdr>
            <w:top w:val="none" w:sz="0" w:space="0" w:color="auto"/>
            <w:left w:val="none" w:sz="0" w:space="0" w:color="auto"/>
            <w:bottom w:val="none" w:sz="0" w:space="0" w:color="auto"/>
            <w:right w:val="none" w:sz="0" w:space="0" w:color="auto"/>
          </w:divBdr>
        </w:div>
        <w:div w:id="1578977520">
          <w:marLeft w:val="274"/>
          <w:marRight w:val="0"/>
          <w:marTop w:val="0"/>
          <w:marBottom w:val="0"/>
          <w:divBdr>
            <w:top w:val="none" w:sz="0" w:space="0" w:color="auto"/>
            <w:left w:val="none" w:sz="0" w:space="0" w:color="auto"/>
            <w:bottom w:val="none" w:sz="0" w:space="0" w:color="auto"/>
            <w:right w:val="none" w:sz="0" w:space="0" w:color="auto"/>
          </w:divBdr>
        </w:div>
        <w:div w:id="1964577212">
          <w:marLeft w:val="274"/>
          <w:marRight w:val="0"/>
          <w:marTop w:val="0"/>
          <w:marBottom w:val="0"/>
          <w:divBdr>
            <w:top w:val="none" w:sz="0" w:space="0" w:color="auto"/>
            <w:left w:val="none" w:sz="0" w:space="0" w:color="auto"/>
            <w:bottom w:val="none" w:sz="0" w:space="0" w:color="auto"/>
            <w:right w:val="none" w:sz="0" w:space="0" w:color="auto"/>
          </w:divBdr>
        </w:div>
        <w:div w:id="1149788481">
          <w:marLeft w:val="274"/>
          <w:marRight w:val="0"/>
          <w:marTop w:val="0"/>
          <w:marBottom w:val="0"/>
          <w:divBdr>
            <w:top w:val="none" w:sz="0" w:space="0" w:color="auto"/>
            <w:left w:val="none" w:sz="0" w:space="0" w:color="auto"/>
            <w:bottom w:val="none" w:sz="0" w:space="0" w:color="auto"/>
            <w:right w:val="none" w:sz="0" w:space="0" w:color="auto"/>
          </w:divBdr>
        </w:div>
        <w:div w:id="729040744">
          <w:marLeft w:val="274"/>
          <w:marRight w:val="0"/>
          <w:marTop w:val="0"/>
          <w:marBottom w:val="0"/>
          <w:divBdr>
            <w:top w:val="none" w:sz="0" w:space="0" w:color="auto"/>
            <w:left w:val="none" w:sz="0" w:space="0" w:color="auto"/>
            <w:bottom w:val="none" w:sz="0" w:space="0" w:color="auto"/>
            <w:right w:val="none" w:sz="0" w:space="0" w:color="auto"/>
          </w:divBdr>
        </w:div>
      </w:divsChild>
    </w:div>
    <w:div w:id="19949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RMF.DITT@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TRMF.DITT@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procurement/how-procurement-works/buy-local-plan"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mailto:NTRMF.DIT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nvironment.gov.au/protection/waste/publications/national-waste-policy-action-plan" TargetMode="External"/><Relationship Id="rId14" Type="http://schemas.openxmlformats.org/officeDocument/2006/relationships/hyperlink" Target="https://business.nt.gov.au/publications/policies/privacy-polic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88263D-DD90-4A5F-9CC7-9C4853CB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5140</Words>
  <Characters>29299</Characters>
  <Application>Microsoft Office Word</Application>
  <DocSecurity>2</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Industry, Tourism and Trade</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Valaree Lola Chuah</cp:lastModifiedBy>
  <cp:revision>4</cp:revision>
  <cp:lastPrinted>2022-03-03T22:32:00Z</cp:lastPrinted>
  <dcterms:created xsi:type="dcterms:W3CDTF">2022-11-09T05:12:00Z</dcterms:created>
  <dcterms:modified xsi:type="dcterms:W3CDTF">2022-11-15T01:31:00Z</dcterms:modified>
</cp:coreProperties>
</file>