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13" w:rsidRDefault="00264313" w:rsidP="00E01348">
      <w:pPr>
        <w:rPr>
          <w:noProof/>
        </w:rPr>
      </w:pPr>
      <w:bookmarkStart w:id="0" w:name="_GoBack"/>
      <w:bookmarkEnd w:id="0"/>
    </w:p>
    <w:p w:rsidR="000B744F" w:rsidRPr="00011A0E" w:rsidRDefault="000B744F" w:rsidP="00011A0E"/>
    <w:p w:rsidR="007A5A09" w:rsidRPr="003C03BC" w:rsidRDefault="00BA5CCC" w:rsidP="006414C4">
      <w:pPr>
        <w:pStyle w:val="Reporttitle"/>
      </w:pPr>
      <w:r w:rsidRPr="003C03BC">
        <w:t>Guideline for</w:t>
      </w:r>
      <w:r w:rsidR="00AA542C" w:rsidRPr="003C03BC">
        <w:t xml:space="preserve"> Applying for or</w:t>
      </w:r>
      <w:r w:rsidRPr="003C03BC">
        <w:t xml:space="preserve"> Renewing a </w:t>
      </w:r>
      <w:r w:rsidR="00AA542C" w:rsidRPr="003C03BC">
        <w:t>Retention Licence</w:t>
      </w:r>
    </w:p>
    <w:p w:rsidR="00165EEF" w:rsidRPr="00165EEF" w:rsidRDefault="00165EEF" w:rsidP="006414C4">
      <w:pPr>
        <w:pStyle w:val="NoSpacing"/>
      </w:pPr>
    </w:p>
    <w:p w:rsidR="00165EEF" w:rsidRDefault="00165EEF" w:rsidP="006414C4">
      <w:pPr>
        <w:pStyle w:val="NoSpacing"/>
      </w:pPr>
    </w:p>
    <w:p w:rsidR="00EC386F" w:rsidRPr="006414C4" w:rsidRDefault="00E01348" w:rsidP="000B744F">
      <w:pPr>
        <w:pStyle w:val="DateVersion"/>
        <w:jc w:val="left"/>
        <w:rPr>
          <w:rFonts w:ascii="Lato" w:hAnsi="Lato"/>
        </w:rPr>
      </w:pPr>
      <w:r w:rsidRPr="006414C4">
        <w:rPr>
          <w:rFonts w:ascii="Lato" w:hAnsi="Lato"/>
        </w:rPr>
        <w:fldChar w:fldCharType="begin"/>
      </w:r>
      <w:r w:rsidRPr="006414C4">
        <w:rPr>
          <w:rFonts w:ascii="Lato" w:hAnsi="Lato"/>
        </w:rPr>
        <w:instrText xml:space="preserve"> FILLIN  "Document Date"  \* MERGEFORMAT </w:instrText>
      </w:r>
      <w:r w:rsidRPr="006414C4">
        <w:rPr>
          <w:rFonts w:ascii="Lato" w:hAnsi="Lato"/>
        </w:rPr>
        <w:fldChar w:fldCharType="separate"/>
      </w:r>
      <w:r w:rsidR="00D37A26">
        <w:rPr>
          <w:rFonts w:ascii="Lato" w:hAnsi="Lato"/>
        </w:rPr>
        <w:t>5 October</w:t>
      </w:r>
      <w:r w:rsidR="00E428D4">
        <w:rPr>
          <w:rFonts w:ascii="Lato" w:hAnsi="Lato"/>
        </w:rPr>
        <w:t xml:space="preserve"> 2018</w:t>
      </w:r>
      <w:r w:rsidRPr="006414C4">
        <w:rPr>
          <w:rFonts w:ascii="Lato" w:hAnsi="Lato"/>
        </w:rPr>
        <w:fldChar w:fldCharType="end"/>
      </w:r>
      <w:r w:rsidR="00EC386F" w:rsidRPr="006414C4">
        <w:rPr>
          <w:rFonts w:ascii="Lato" w:hAnsi="Lato"/>
        </w:rPr>
        <w:br/>
        <w:t xml:space="preserve">Version </w:t>
      </w:r>
      <w:r w:rsidR="00D37A26">
        <w:rPr>
          <w:rFonts w:ascii="Lato" w:hAnsi="Lato"/>
        </w:rPr>
        <w:t>4</w:t>
      </w:r>
    </w:p>
    <w:p w:rsidR="00A455AF" w:rsidRPr="006414C4" w:rsidRDefault="00A455AF" w:rsidP="006414C4">
      <w:pPr>
        <w:pStyle w:val="NoSpacing"/>
        <w:sectPr w:rsidR="00A455AF" w:rsidRPr="006414C4" w:rsidSect="002155A1">
          <w:footerReference w:type="default" r:id="rId13"/>
          <w:pgSz w:w="11906" w:h="16838"/>
          <w:pgMar w:top="2268" w:right="1134" w:bottom="1701" w:left="1134" w:header="709" w:footer="465" w:gutter="0"/>
          <w:cols w:space="708"/>
          <w:docGrid w:linePitch="360"/>
        </w:sectPr>
      </w:pPr>
    </w:p>
    <w:tbl>
      <w:tblPr>
        <w:tblStyle w:val="TableGrid"/>
        <w:tblW w:w="0" w:type="auto"/>
        <w:tblCellMar>
          <w:top w:w="57" w:type="dxa"/>
          <w:bottom w:w="57" w:type="dxa"/>
        </w:tblCellMar>
        <w:tblLook w:val="06A0" w:firstRow="1" w:lastRow="0" w:firstColumn="1" w:lastColumn="0" w:noHBand="1" w:noVBand="1"/>
        <w:tblDescription w:val="Document details showing document title, contact details, version, date issued, approved by, date approved and document review"/>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lastRenderedPageBreak/>
              <w:t>Document details</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Document title</w:t>
            </w:r>
          </w:p>
        </w:tc>
        <w:tc>
          <w:tcPr>
            <w:tcW w:w="7194" w:type="dxa"/>
          </w:tcPr>
          <w:p w:rsidR="00B879E4" w:rsidRPr="0068114B" w:rsidRDefault="006724BD" w:rsidP="006414C4">
            <w:pPr>
              <w:pStyle w:val="NoSpacing"/>
            </w:pPr>
            <w:r>
              <w:t>Guideline</w:t>
            </w:r>
            <w:r w:rsidR="003458A5">
              <w:t xml:space="preserve"> for Applying for or Renewing a Retention Licence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Contact details</w:t>
            </w:r>
          </w:p>
        </w:tc>
        <w:tc>
          <w:tcPr>
            <w:tcW w:w="7194" w:type="dxa"/>
          </w:tcPr>
          <w:p w:rsidR="00B879E4" w:rsidRDefault="00AC6656" w:rsidP="006414C4">
            <w:pPr>
              <w:pStyle w:val="NoSpacing"/>
            </w:pPr>
            <w:r>
              <w:t>Petroleum Operations</w:t>
            </w:r>
            <w:r>
              <w:tab/>
              <w:t xml:space="preserve">(08) 8999 </w:t>
            </w:r>
            <w:r w:rsidR="00E02210">
              <w:t>5388</w:t>
            </w:r>
          </w:p>
          <w:p w:rsidR="00AC6656" w:rsidRPr="0068114B" w:rsidRDefault="00AC6656" w:rsidP="006414C4">
            <w:pPr>
              <w:pStyle w:val="NoSpacing"/>
            </w:pPr>
            <w:r>
              <w:t>Energy Titles</w:t>
            </w:r>
            <w:r>
              <w:tab/>
            </w:r>
            <w:r>
              <w:tab/>
            </w:r>
            <w:r>
              <w:tab/>
              <w:t>(08) 8999 7112</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and version</w:t>
            </w:r>
          </w:p>
        </w:tc>
        <w:tc>
          <w:tcPr>
            <w:tcW w:w="7194" w:type="dxa"/>
          </w:tcPr>
          <w:p w:rsidR="00B879E4" w:rsidRPr="0068114B" w:rsidRDefault="00C10A65" w:rsidP="00356F0A">
            <w:pPr>
              <w:pStyle w:val="NoSpacing"/>
            </w:pPr>
            <w:r>
              <w:rPr>
                <w:noProof/>
              </w:rPr>
              <w:fldChar w:fldCharType="begin"/>
            </w:r>
            <w:r>
              <w:rPr>
                <w:noProof/>
              </w:rPr>
              <w:instrText xml:space="preserve"> STYLEREF  "Date &amp; Version"  \* MERGEFORMAT </w:instrText>
            </w:r>
            <w:r>
              <w:rPr>
                <w:noProof/>
              </w:rPr>
              <w:fldChar w:fldCharType="separate"/>
            </w:r>
            <w:r w:rsidR="003C03BC">
              <w:rPr>
                <w:noProof/>
              </w:rPr>
              <w:t>5 October 2018</w:t>
            </w:r>
            <w:r w:rsidR="003C03BC">
              <w:rPr>
                <w:noProof/>
              </w:rPr>
              <w:br/>
              <w:t>Version 4</w:t>
            </w:r>
            <w:r>
              <w:rPr>
                <w:noProof/>
              </w:rPr>
              <w:fldChar w:fldCharType="end"/>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Approved by</w:t>
            </w:r>
          </w:p>
        </w:tc>
        <w:tc>
          <w:tcPr>
            <w:tcW w:w="7194" w:type="dxa"/>
          </w:tcPr>
          <w:p w:rsidR="00B879E4" w:rsidRPr="0068114B" w:rsidRDefault="00312DFA" w:rsidP="006414C4">
            <w:pPr>
              <w:pStyle w:val="NoSpacing"/>
            </w:pPr>
            <w:r>
              <w:t>Rod Applegate</w:t>
            </w:r>
          </w:p>
        </w:tc>
      </w:tr>
      <w:tr w:rsidR="00B879E4" w:rsidRPr="0068114B" w:rsidTr="00B05DC2">
        <w:trPr>
          <w:cantSplit/>
        </w:trPr>
        <w:tc>
          <w:tcPr>
            <w:tcW w:w="2376" w:type="dxa"/>
          </w:tcPr>
          <w:p w:rsidR="00B879E4" w:rsidRPr="006414C4" w:rsidRDefault="00B879E4" w:rsidP="006414C4">
            <w:pPr>
              <w:pStyle w:val="NoSpacing"/>
              <w:rPr>
                <w:rFonts w:ascii="Lato Black" w:hAnsi="Lato Black"/>
              </w:rPr>
            </w:pPr>
            <w:r w:rsidRPr="006414C4">
              <w:rPr>
                <w:rFonts w:ascii="Lato Black" w:hAnsi="Lato Black"/>
              </w:rPr>
              <w:t>Date approved</w:t>
            </w:r>
          </w:p>
        </w:tc>
        <w:tc>
          <w:tcPr>
            <w:tcW w:w="7194" w:type="dxa"/>
          </w:tcPr>
          <w:p w:rsidR="00B879E4" w:rsidRPr="0068114B" w:rsidRDefault="00A435F1" w:rsidP="006414C4">
            <w:pPr>
              <w:pStyle w:val="NoSpacing"/>
            </w:pPr>
            <w:r w:rsidRPr="00A435F1">
              <w:t>14 January 2019</w:t>
            </w:r>
          </w:p>
        </w:tc>
      </w:tr>
      <w:tr w:rsidR="00B879E4" w:rsidRPr="0068114B" w:rsidTr="00B05DC2">
        <w:trPr>
          <w:cantSplit/>
        </w:trPr>
        <w:tc>
          <w:tcPr>
            <w:tcW w:w="2376" w:type="dxa"/>
          </w:tcPr>
          <w:p w:rsidR="00B879E4" w:rsidRPr="0068114B" w:rsidRDefault="00B879E4" w:rsidP="006414C4">
            <w:pPr>
              <w:pStyle w:val="NoSpacing"/>
            </w:pPr>
            <w:r w:rsidRPr="006414C4">
              <w:rPr>
                <w:rFonts w:ascii="Lato Black" w:hAnsi="Lato Black"/>
                <w:b/>
              </w:rPr>
              <w:t>Document review</w:t>
            </w:r>
            <w:r w:rsidRPr="0068114B">
              <w:br/>
              <w:t xml:space="preserve">(for </w:t>
            </w:r>
            <w:r w:rsidRPr="006414C4">
              <w:t>example</w:t>
            </w:r>
            <w:r w:rsidRPr="0068114B">
              <w:t>, annually)</w:t>
            </w:r>
          </w:p>
        </w:tc>
        <w:tc>
          <w:tcPr>
            <w:tcW w:w="7194" w:type="dxa"/>
          </w:tcPr>
          <w:p w:rsidR="00B879E4" w:rsidRPr="0068114B" w:rsidRDefault="00931514" w:rsidP="006414C4">
            <w:pPr>
              <w:pStyle w:val="NoSpacing"/>
            </w:pPr>
            <w:r>
              <w:t>Annually</w:t>
            </w:r>
          </w:p>
        </w:tc>
      </w:tr>
    </w:tbl>
    <w:p w:rsidR="00B879E4" w:rsidRPr="0068114B" w:rsidRDefault="00B879E4" w:rsidP="00E01348"/>
    <w:tbl>
      <w:tblPr>
        <w:tblStyle w:val="TableGrid"/>
        <w:tblW w:w="9606" w:type="dxa"/>
        <w:tblCellMar>
          <w:top w:w="57" w:type="dxa"/>
          <w:bottom w:w="57" w:type="dxa"/>
        </w:tblCellMar>
        <w:tblLook w:val="0620" w:firstRow="1" w:lastRow="0" w:firstColumn="0" w:lastColumn="0" w:noHBand="1" w:noVBand="1"/>
        <w:tblDescription w:val="Document change history showing version, date, author and change details"/>
      </w:tblPr>
      <w:tblGrid>
        <w:gridCol w:w="1199"/>
        <w:gridCol w:w="2124"/>
        <w:gridCol w:w="2511"/>
        <w:gridCol w:w="3772"/>
      </w:tblGrid>
      <w:tr w:rsidR="00B879E4" w:rsidRPr="006414C4" w:rsidTr="00B05DC2">
        <w:trPr>
          <w:cantSplit/>
          <w:tblHeader/>
        </w:trPr>
        <w:tc>
          <w:tcPr>
            <w:tcW w:w="9606" w:type="dxa"/>
            <w:gridSpan w:val="4"/>
            <w:shd w:val="clear" w:color="auto" w:fill="BFBFBF" w:themeFill="background1" w:themeFillShade="BF"/>
          </w:tcPr>
          <w:p w:rsidR="00B879E4" w:rsidRPr="006414C4" w:rsidRDefault="00B879E4" w:rsidP="006414C4">
            <w:pPr>
              <w:pStyle w:val="NoSpacing"/>
              <w:rPr>
                <w:rFonts w:ascii="Lato Black" w:hAnsi="Lato Black"/>
              </w:rPr>
            </w:pPr>
            <w:r w:rsidRPr="006414C4">
              <w:rPr>
                <w:rFonts w:ascii="Lato Black" w:hAnsi="Lato Black"/>
              </w:rPr>
              <w:t>Change history</w:t>
            </w:r>
          </w:p>
        </w:tc>
      </w:tr>
      <w:tr w:rsidR="00B879E4" w:rsidRPr="006414C4" w:rsidTr="00D37A26">
        <w:trPr>
          <w:cantSplit/>
        </w:trPr>
        <w:tc>
          <w:tcPr>
            <w:tcW w:w="1199" w:type="dxa"/>
          </w:tcPr>
          <w:p w:rsidR="00B879E4" w:rsidRPr="006414C4" w:rsidRDefault="00B879E4" w:rsidP="006414C4">
            <w:pPr>
              <w:pStyle w:val="NoSpacing"/>
              <w:rPr>
                <w:rFonts w:ascii="Lato Black" w:hAnsi="Lato Black"/>
              </w:rPr>
            </w:pPr>
            <w:r w:rsidRPr="006414C4">
              <w:rPr>
                <w:rFonts w:ascii="Lato Black" w:hAnsi="Lato Black"/>
              </w:rPr>
              <w:t>Version</w:t>
            </w:r>
          </w:p>
        </w:tc>
        <w:tc>
          <w:tcPr>
            <w:tcW w:w="2124" w:type="dxa"/>
          </w:tcPr>
          <w:p w:rsidR="00B879E4" w:rsidRPr="006414C4" w:rsidRDefault="00B879E4" w:rsidP="006414C4">
            <w:pPr>
              <w:pStyle w:val="NoSpacing"/>
              <w:rPr>
                <w:rFonts w:ascii="Lato Black" w:hAnsi="Lato Black"/>
              </w:rPr>
            </w:pPr>
            <w:r w:rsidRPr="006414C4">
              <w:rPr>
                <w:rFonts w:ascii="Lato Black" w:hAnsi="Lato Black"/>
              </w:rPr>
              <w:t>Date</w:t>
            </w:r>
          </w:p>
        </w:tc>
        <w:tc>
          <w:tcPr>
            <w:tcW w:w="2511" w:type="dxa"/>
          </w:tcPr>
          <w:p w:rsidR="00B879E4" w:rsidRPr="006414C4" w:rsidRDefault="00B879E4" w:rsidP="006414C4">
            <w:pPr>
              <w:pStyle w:val="NoSpacing"/>
              <w:rPr>
                <w:rFonts w:ascii="Lato Black" w:hAnsi="Lato Black"/>
              </w:rPr>
            </w:pPr>
            <w:r w:rsidRPr="006414C4">
              <w:rPr>
                <w:rFonts w:ascii="Lato Black" w:hAnsi="Lato Black"/>
              </w:rPr>
              <w:t>Author</w:t>
            </w:r>
          </w:p>
        </w:tc>
        <w:tc>
          <w:tcPr>
            <w:tcW w:w="3772" w:type="dxa"/>
          </w:tcPr>
          <w:p w:rsidR="00B879E4" w:rsidRPr="006414C4" w:rsidRDefault="00B879E4" w:rsidP="006414C4">
            <w:pPr>
              <w:pStyle w:val="NoSpacing"/>
              <w:rPr>
                <w:rFonts w:ascii="Lato Black" w:hAnsi="Lato Black"/>
              </w:rPr>
            </w:pPr>
            <w:r w:rsidRPr="006414C4">
              <w:rPr>
                <w:rFonts w:ascii="Lato Black" w:hAnsi="Lato Black"/>
              </w:rPr>
              <w:t>Change details</w:t>
            </w:r>
          </w:p>
        </w:tc>
      </w:tr>
      <w:tr w:rsidR="00B879E4" w:rsidRPr="002155A1" w:rsidTr="00D37A26">
        <w:trPr>
          <w:cantSplit/>
          <w:trHeight w:val="523"/>
        </w:trPr>
        <w:tc>
          <w:tcPr>
            <w:tcW w:w="1199" w:type="dxa"/>
          </w:tcPr>
          <w:p w:rsidR="00B879E4" w:rsidRPr="002155A1" w:rsidRDefault="00B879E4" w:rsidP="006414C4">
            <w:pPr>
              <w:pStyle w:val="NoSpacing"/>
            </w:pPr>
            <w:r w:rsidRPr="002155A1">
              <w:t>1.0</w:t>
            </w:r>
          </w:p>
        </w:tc>
        <w:tc>
          <w:tcPr>
            <w:tcW w:w="2124" w:type="dxa"/>
          </w:tcPr>
          <w:p w:rsidR="00B879E4" w:rsidRPr="002155A1" w:rsidRDefault="001226D7" w:rsidP="006414C4">
            <w:pPr>
              <w:pStyle w:val="NoSpacing"/>
            </w:pPr>
            <w:r>
              <w:t>14 Dec 2017</w:t>
            </w:r>
          </w:p>
        </w:tc>
        <w:tc>
          <w:tcPr>
            <w:tcW w:w="2511" w:type="dxa"/>
          </w:tcPr>
          <w:p w:rsidR="00B879E4" w:rsidRPr="002155A1" w:rsidRDefault="00E428D4" w:rsidP="006414C4">
            <w:pPr>
              <w:pStyle w:val="NoSpacing"/>
            </w:pPr>
            <w:r>
              <w:t>Mehrdad Rezazadeh</w:t>
            </w:r>
          </w:p>
        </w:tc>
        <w:tc>
          <w:tcPr>
            <w:tcW w:w="3772" w:type="dxa"/>
          </w:tcPr>
          <w:p w:rsidR="00B879E4" w:rsidRPr="002155A1" w:rsidRDefault="00AC6656" w:rsidP="006414C4">
            <w:pPr>
              <w:pStyle w:val="NoSpacing"/>
            </w:pPr>
            <w:r>
              <w:t>NA</w:t>
            </w:r>
          </w:p>
        </w:tc>
      </w:tr>
      <w:tr w:rsidR="001226D7" w:rsidRPr="002155A1" w:rsidTr="00D37A26">
        <w:trPr>
          <w:cantSplit/>
          <w:trHeight w:val="523"/>
        </w:trPr>
        <w:tc>
          <w:tcPr>
            <w:tcW w:w="1199" w:type="dxa"/>
          </w:tcPr>
          <w:p w:rsidR="001226D7" w:rsidRDefault="001226D7" w:rsidP="006414C4">
            <w:pPr>
              <w:pStyle w:val="NoSpacing"/>
            </w:pPr>
            <w:r>
              <w:t>1.1</w:t>
            </w:r>
          </w:p>
        </w:tc>
        <w:tc>
          <w:tcPr>
            <w:tcW w:w="2124" w:type="dxa"/>
          </w:tcPr>
          <w:p w:rsidR="001226D7" w:rsidRDefault="001226D7" w:rsidP="006414C4">
            <w:pPr>
              <w:pStyle w:val="NoSpacing"/>
            </w:pPr>
            <w:r>
              <w:t>9 April 2018</w:t>
            </w:r>
          </w:p>
        </w:tc>
        <w:tc>
          <w:tcPr>
            <w:tcW w:w="2511" w:type="dxa"/>
          </w:tcPr>
          <w:p w:rsidR="001226D7" w:rsidRDefault="001226D7" w:rsidP="006414C4">
            <w:pPr>
              <w:pStyle w:val="NoSpacing"/>
            </w:pPr>
            <w:r>
              <w:t>Mehrdad Rezazadeh</w:t>
            </w:r>
          </w:p>
        </w:tc>
        <w:tc>
          <w:tcPr>
            <w:tcW w:w="3772" w:type="dxa"/>
          </w:tcPr>
          <w:p w:rsidR="001226D7" w:rsidRDefault="001226D7" w:rsidP="006414C4">
            <w:pPr>
              <w:pStyle w:val="NoSpacing"/>
            </w:pPr>
            <w:r>
              <w:t>Update post review</w:t>
            </w:r>
          </w:p>
        </w:tc>
      </w:tr>
      <w:tr w:rsidR="00E428D4" w:rsidRPr="002155A1" w:rsidTr="00D37A26">
        <w:trPr>
          <w:cantSplit/>
          <w:trHeight w:val="523"/>
        </w:trPr>
        <w:tc>
          <w:tcPr>
            <w:tcW w:w="1199" w:type="dxa"/>
          </w:tcPr>
          <w:p w:rsidR="00E428D4" w:rsidRPr="002155A1" w:rsidRDefault="00E428D4" w:rsidP="006414C4">
            <w:pPr>
              <w:pStyle w:val="NoSpacing"/>
            </w:pPr>
            <w:r>
              <w:t>2.0</w:t>
            </w:r>
          </w:p>
        </w:tc>
        <w:tc>
          <w:tcPr>
            <w:tcW w:w="2124" w:type="dxa"/>
          </w:tcPr>
          <w:p w:rsidR="00E428D4" w:rsidRDefault="00931514" w:rsidP="006414C4">
            <w:pPr>
              <w:pStyle w:val="NoSpacing"/>
            </w:pPr>
            <w:r>
              <w:t>21 May 2018</w:t>
            </w:r>
          </w:p>
        </w:tc>
        <w:tc>
          <w:tcPr>
            <w:tcW w:w="2511" w:type="dxa"/>
          </w:tcPr>
          <w:p w:rsidR="00E428D4" w:rsidRDefault="00E428D4" w:rsidP="006414C4">
            <w:pPr>
              <w:pStyle w:val="NoSpacing"/>
            </w:pPr>
            <w:r>
              <w:t>Mehrdad Rezazadeh</w:t>
            </w:r>
          </w:p>
        </w:tc>
        <w:tc>
          <w:tcPr>
            <w:tcW w:w="3772" w:type="dxa"/>
          </w:tcPr>
          <w:p w:rsidR="00E428D4" w:rsidRDefault="00931514" w:rsidP="006414C4">
            <w:pPr>
              <w:pStyle w:val="NoSpacing"/>
            </w:pPr>
            <w:r>
              <w:t>Update post-review</w:t>
            </w:r>
          </w:p>
        </w:tc>
      </w:tr>
      <w:tr w:rsidR="00E428D4" w:rsidRPr="002155A1" w:rsidTr="00D37A26">
        <w:trPr>
          <w:cantSplit/>
          <w:trHeight w:val="523"/>
        </w:trPr>
        <w:tc>
          <w:tcPr>
            <w:tcW w:w="1199" w:type="dxa"/>
          </w:tcPr>
          <w:p w:rsidR="00E428D4" w:rsidRDefault="00E428D4" w:rsidP="006414C4">
            <w:pPr>
              <w:pStyle w:val="NoSpacing"/>
            </w:pPr>
            <w:r>
              <w:t>3.0</w:t>
            </w:r>
          </w:p>
        </w:tc>
        <w:tc>
          <w:tcPr>
            <w:tcW w:w="2124" w:type="dxa"/>
          </w:tcPr>
          <w:p w:rsidR="00E428D4" w:rsidRDefault="00356F0A" w:rsidP="006414C4">
            <w:pPr>
              <w:pStyle w:val="NoSpacing"/>
            </w:pPr>
            <w:r>
              <w:t>10</w:t>
            </w:r>
            <w:r w:rsidR="00E428D4">
              <w:t xml:space="preserve"> August 2018</w:t>
            </w:r>
          </w:p>
        </w:tc>
        <w:tc>
          <w:tcPr>
            <w:tcW w:w="2511" w:type="dxa"/>
          </w:tcPr>
          <w:p w:rsidR="00E428D4" w:rsidRDefault="00E428D4" w:rsidP="006414C4">
            <w:pPr>
              <w:pStyle w:val="NoSpacing"/>
            </w:pPr>
            <w:r>
              <w:t>Christine Cakebread</w:t>
            </w:r>
          </w:p>
        </w:tc>
        <w:tc>
          <w:tcPr>
            <w:tcW w:w="3772" w:type="dxa"/>
          </w:tcPr>
          <w:p w:rsidR="00E428D4" w:rsidRDefault="00931514" w:rsidP="006414C4">
            <w:pPr>
              <w:pStyle w:val="NoSpacing"/>
            </w:pPr>
            <w:r>
              <w:t>Formatting</w:t>
            </w:r>
          </w:p>
        </w:tc>
      </w:tr>
      <w:tr w:rsidR="00D37A26" w:rsidRPr="002155A1" w:rsidTr="00D37A26">
        <w:trPr>
          <w:cantSplit/>
          <w:trHeight w:val="523"/>
        </w:trPr>
        <w:tc>
          <w:tcPr>
            <w:tcW w:w="1199" w:type="dxa"/>
          </w:tcPr>
          <w:p w:rsidR="00D37A26" w:rsidRPr="00BA4966" w:rsidRDefault="00D37A26" w:rsidP="00D37A26">
            <w:pPr>
              <w:pStyle w:val="NoSpacing"/>
            </w:pPr>
            <w:r w:rsidRPr="00BA4966">
              <w:t>4.0</w:t>
            </w:r>
          </w:p>
        </w:tc>
        <w:tc>
          <w:tcPr>
            <w:tcW w:w="2124" w:type="dxa"/>
          </w:tcPr>
          <w:p w:rsidR="00D37A26" w:rsidRPr="00BA4966" w:rsidRDefault="00D37A26" w:rsidP="00D37A26">
            <w:pPr>
              <w:pStyle w:val="NoSpacing"/>
            </w:pPr>
            <w:r w:rsidRPr="00BA4966">
              <w:t>5 October 2018</w:t>
            </w:r>
          </w:p>
        </w:tc>
        <w:tc>
          <w:tcPr>
            <w:tcW w:w="2511" w:type="dxa"/>
          </w:tcPr>
          <w:p w:rsidR="00D37A26" w:rsidRPr="00BA4966" w:rsidRDefault="00D37A26" w:rsidP="00D37A26">
            <w:pPr>
              <w:pStyle w:val="NoSpacing"/>
            </w:pPr>
            <w:r w:rsidRPr="00BA4966">
              <w:t>Mehrdad Rezazadeh</w:t>
            </w:r>
          </w:p>
        </w:tc>
        <w:tc>
          <w:tcPr>
            <w:tcW w:w="3772" w:type="dxa"/>
          </w:tcPr>
          <w:p w:rsidR="00D37A26" w:rsidRDefault="00D37A26" w:rsidP="00D37A26">
            <w:pPr>
              <w:pStyle w:val="NoSpacing"/>
            </w:pPr>
            <w:r w:rsidRPr="00BA4966">
              <w:t>Update post-review</w:t>
            </w:r>
          </w:p>
        </w:tc>
      </w:tr>
    </w:tbl>
    <w:p w:rsidR="00B879E4" w:rsidRPr="0068114B" w:rsidRDefault="00B879E4" w:rsidP="00E01348"/>
    <w:tbl>
      <w:tblPr>
        <w:tblStyle w:val="TableGrid"/>
        <w:tblW w:w="0" w:type="auto"/>
        <w:tblCellMar>
          <w:top w:w="57" w:type="dxa"/>
          <w:bottom w:w="57" w:type="dxa"/>
        </w:tblCellMar>
        <w:tblLook w:val="06A0" w:firstRow="1" w:lastRow="0" w:firstColumn="1" w:lastColumn="0" w:noHBand="1" w:noVBand="1"/>
        <w:tblDescription w:val="Acronyms used in the document showing Acronym and full form"/>
      </w:tblPr>
      <w:tblGrid>
        <w:gridCol w:w="2376"/>
        <w:gridCol w:w="7194"/>
      </w:tblGrid>
      <w:tr w:rsidR="00B879E4" w:rsidRPr="0068114B" w:rsidTr="00B05DC2">
        <w:trPr>
          <w:cantSplit/>
          <w:tblHeader/>
        </w:trPr>
        <w:tc>
          <w:tcPr>
            <w:tcW w:w="9570" w:type="dxa"/>
            <w:gridSpan w:val="2"/>
            <w:shd w:val="clear" w:color="auto" w:fill="BFBFBF" w:themeFill="background1" w:themeFillShade="BF"/>
          </w:tcPr>
          <w:p w:rsidR="00B879E4" w:rsidRPr="0068114B" w:rsidRDefault="00B879E4" w:rsidP="006414C4">
            <w:pPr>
              <w:pStyle w:val="NoSpacing"/>
              <w:rPr>
                <w:b/>
              </w:rPr>
            </w:pPr>
            <w:r w:rsidRPr="006414C4">
              <w:rPr>
                <w:rFonts w:ascii="Lato Black" w:hAnsi="Lato Black"/>
                <w:b/>
              </w:rPr>
              <w:t>Acronyms</w:t>
            </w:r>
            <w:r w:rsidRPr="006414C4">
              <w:rPr>
                <w:rFonts w:ascii="Lato Black" w:hAnsi="Lato Black"/>
                <w:b/>
              </w:rPr>
              <w:br/>
            </w:r>
            <w:r w:rsidRPr="0068114B">
              <w:t>The following acronyms are used in this document</w:t>
            </w:r>
          </w:p>
        </w:tc>
      </w:tr>
      <w:tr w:rsidR="00B879E4" w:rsidRPr="0068114B" w:rsidTr="00B05DC2">
        <w:trPr>
          <w:cantSplit/>
        </w:trPr>
        <w:tc>
          <w:tcPr>
            <w:tcW w:w="2376" w:type="dxa"/>
          </w:tcPr>
          <w:p w:rsidR="00B879E4" w:rsidRPr="0068114B" w:rsidRDefault="00B76447" w:rsidP="006414C4">
            <w:pPr>
              <w:pStyle w:val="NoSpacing"/>
            </w:pPr>
            <w:r>
              <w:t>Department</w:t>
            </w:r>
          </w:p>
        </w:tc>
        <w:tc>
          <w:tcPr>
            <w:tcW w:w="7194" w:type="dxa"/>
          </w:tcPr>
          <w:p w:rsidR="00B879E4" w:rsidRPr="0068114B" w:rsidRDefault="00B76447" w:rsidP="006414C4">
            <w:pPr>
              <w:pStyle w:val="NoSpacing"/>
            </w:pPr>
            <w:r>
              <w:t>Department of Primary Industry and Resources</w:t>
            </w:r>
          </w:p>
        </w:tc>
      </w:tr>
      <w:tr w:rsidR="00DD27A3" w:rsidRPr="0068114B" w:rsidTr="00B05DC2">
        <w:trPr>
          <w:cantSplit/>
        </w:trPr>
        <w:tc>
          <w:tcPr>
            <w:tcW w:w="2376" w:type="dxa"/>
          </w:tcPr>
          <w:p w:rsidR="00DD27A3" w:rsidRDefault="00DD27A3" w:rsidP="006414C4">
            <w:pPr>
              <w:pStyle w:val="NoSpacing"/>
            </w:pPr>
            <w:r>
              <w:t>NPV</w:t>
            </w:r>
          </w:p>
        </w:tc>
        <w:tc>
          <w:tcPr>
            <w:tcW w:w="7194" w:type="dxa"/>
          </w:tcPr>
          <w:p w:rsidR="00DD27A3" w:rsidRDefault="00DD27A3" w:rsidP="006414C4">
            <w:pPr>
              <w:pStyle w:val="NoSpacing"/>
            </w:pPr>
            <w:r>
              <w:t>Net Present Value</w:t>
            </w:r>
          </w:p>
        </w:tc>
      </w:tr>
      <w:tr w:rsidR="00DD2DC7" w:rsidRPr="0068114B" w:rsidTr="00B05DC2">
        <w:trPr>
          <w:cantSplit/>
        </w:trPr>
        <w:tc>
          <w:tcPr>
            <w:tcW w:w="2376" w:type="dxa"/>
          </w:tcPr>
          <w:p w:rsidR="00DD2DC7" w:rsidRDefault="00DD2DC7" w:rsidP="006414C4">
            <w:pPr>
              <w:pStyle w:val="NoSpacing"/>
            </w:pPr>
            <w:r>
              <w:t>IRR</w:t>
            </w:r>
          </w:p>
        </w:tc>
        <w:tc>
          <w:tcPr>
            <w:tcW w:w="7194" w:type="dxa"/>
          </w:tcPr>
          <w:p w:rsidR="00DD2DC7" w:rsidRDefault="00DD2DC7" w:rsidP="006414C4">
            <w:pPr>
              <w:pStyle w:val="NoSpacing"/>
            </w:pPr>
            <w:r>
              <w:t>Internal rate of return</w:t>
            </w:r>
          </w:p>
        </w:tc>
      </w:tr>
      <w:tr w:rsidR="007319AA" w:rsidRPr="0068114B" w:rsidTr="00B05DC2">
        <w:trPr>
          <w:cantSplit/>
        </w:trPr>
        <w:tc>
          <w:tcPr>
            <w:tcW w:w="2376" w:type="dxa"/>
          </w:tcPr>
          <w:p w:rsidR="007319AA" w:rsidRDefault="007319AA" w:rsidP="006414C4">
            <w:pPr>
              <w:pStyle w:val="NoSpacing"/>
            </w:pPr>
            <w:r>
              <w:t>VIR</w:t>
            </w:r>
          </w:p>
        </w:tc>
        <w:tc>
          <w:tcPr>
            <w:tcW w:w="7194" w:type="dxa"/>
          </w:tcPr>
          <w:p w:rsidR="007319AA" w:rsidRDefault="007319AA" w:rsidP="006414C4">
            <w:pPr>
              <w:pStyle w:val="NoSpacing"/>
            </w:pPr>
            <w:r>
              <w:t>Value Investment Ratio</w:t>
            </w:r>
          </w:p>
        </w:tc>
      </w:tr>
      <w:tr w:rsidR="00B879E4" w:rsidRPr="0068114B" w:rsidTr="00B05DC2">
        <w:trPr>
          <w:cantSplit/>
        </w:trPr>
        <w:tc>
          <w:tcPr>
            <w:tcW w:w="2376" w:type="dxa"/>
          </w:tcPr>
          <w:p w:rsidR="00B879E4" w:rsidRPr="0068114B" w:rsidRDefault="00B76447" w:rsidP="006414C4">
            <w:pPr>
              <w:pStyle w:val="NoSpacing"/>
            </w:pPr>
            <w:r>
              <w:t>NTG</w:t>
            </w:r>
          </w:p>
        </w:tc>
        <w:tc>
          <w:tcPr>
            <w:tcW w:w="7194" w:type="dxa"/>
          </w:tcPr>
          <w:p w:rsidR="00B879E4" w:rsidRPr="0068114B" w:rsidRDefault="00B76447" w:rsidP="006414C4">
            <w:pPr>
              <w:pStyle w:val="NoSpacing"/>
            </w:pPr>
            <w:r>
              <w:t>Northern Territory Government</w:t>
            </w:r>
          </w:p>
        </w:tc>
      </w:tr>
    </w:tbl>
    <w:p w:rsidR="00B879E4" w:rsidRDefault="004F3DD3" w:rsidP="00E01348">
      <w:pPr>
        <w:pStyle w:val="TOCHeading"/>
      </w:pPr>
      <w:r>
        <w:br w:type="page"/>
      </w:r>
    </w:p>
    <w:sdt>
      <w:sdtPr>
        <w:rPr>
          <w:rFonts w:ascii="Lato" w:eastAsia="Times New Roman" w:hAnsi="Lato" w:cs="Times New Roman"/>
          <w:b/>
          <w:bCs w:val="0"/>
          <w:sz w:val="22"/>
          <w:szCs w:val="20"/>
          <w:lang w:val="en-AU" w:eastAsia="en-AU"/>
        </w:rPr>
        <w:id w:val="-88318220"/>
        <w:docPartObj>
          <w:docPartGallery w:val="Table of Contents"/>
          <w:docPartUnique/>
        </w:docPartObj>
      </w:sdtPr>
      <w:sdtEndPr>
        <w:rPr>
          <w:rFonts w:cs="Arial"/>
          <w:b w:val="0"/>
          <w:noProof/>
        </w:rPr>
      </w:sdtEndPr>
      <w:sdtContent>
        <w:p w:rsidR="00B879E4" w:rsidRPr="00E01348" w:rsidRDefault="00B879E4" w:rsidP="00E01348">
          <w:pPr>
            <w:pStyle w:val="TOCHeading"/>
          </w:pPr>
          <w:r w:rsidRPr="00E01348">
            <w:t>Contents</w:t>
          </w:r>
        </w:p>
        <w:p w:rsidR="007319AA" w:rsidRDefault="00B879E4">
          <w:pPr>
            <w:pStyle w:val="TOC1"/>
            <w:rPr>
              <w:rFonts w:asciiTheme="minorHAnsi" w:eastAsiaTheme="minorEastAsia" w:hAnsiTheme="minorHAnsi" w:cstheme="minorBidi"/>
              <w:b w:val="0"/>
              <w:noProof/>
              <w:szCs w:val="22"/>
            </w:rPr>
          </w:pPr>
          <w:r w:rsidRPr="00E01348">
            <w:fldChar w:fldCharType="begin"/>
          </w:r>
          <w:r w:rsidRPr="00E01348">
            <w:instrText xml:space="preserve"> TOC \o "1-3" \h \z \u </w:instrText>
          </w:r>
          <w:r w:rsidRPr="00E01348">
            <w:fldChar w:fldCharType="separate"/>
          </w:r>
          <w:hyperlink w:anchor="_Toc526941798" w:history="1">
            <w:r w:rsidR="007319AA" w:rsidRPr="006C7512">
              <w:rPr>
                <w:rStyle w:val="Hyperlink"/>
                <w:noProof/>
              </w:rPr>
              <w:t>Purpose</w:t>
            </w:r>
            <w:r w:rsidR="007319AA">
              <w:rPr>
                <w:noProof/>
                <w:webHidden/>
              </w:rPr>
              <w:tab/>
            </w:r>
            <w:r w:rsidR="007319AA">
              <w:rPr>
                <w:noProof/>
                <w:webHidden/>
              </w:rPr>
              <w:fldChar w:fldCharType="begin"/>
            </w:r>
            <w:r w:rsidR="007319AA">
              <w:rPr>
                <w:noProof/>
                <w:webHidden/>
              </w:rPr>
              <w:instrText xml:space="preserve"> PAGEREF _Toc526941798 \h </w:instrText>
            </w:r>
            <w:r w:rsidR="007319AA">
              <w:rPr>
                <w:noProof/>
                <w:webHidden/>
              </w:rPr>
            </w:r>
            <w:r w:rsidR="007319AA">
              <w:rPr>
                <w:noProof/>
                <w:webHidden/>
              </w:rPr>
              <w:fldChar w:fldCharType="separate"/>
            </w:r>
            <w:r w:rsidR="003C03BC">
              <w:rPr>
                <w:noProof/>
                <w:webHidden/>
              </w:rPr>
              <w:t>4</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799" w:history="1">
            <w:r w:rsidR="007319AA" w:rsidRPr="006C7512">
              <w:rPr>
                <w:rStyle w:val="Hyperlink"/>
                <w:noProof/>
              </w:rPr>
              <w:t>Applying for a Retention Licence</w:t>
            </w:r>
            <w:r w:rsidR="007319AA">
              <w:rPr>
                <w:noProof/>
                <w:webHidden/>
              </w:rPr>
              <w:tab/>
            </w:r>
            <w:r w:rsidR="007319AA">
              <w:rPr>
                <w:noProof/>
                <w:webHidden/>
              </w:rPr>
              <w:fldChar w:fldCharType="begin"/>
            </w:r>
            <w:r w:rsidR="007319AA">
              <w:rPr>
                <w:noProof/>
                <w:webHidden/>
              </w:rPr>
              <w:instrText xml:space="preserve"> PAGEREF _Toc526941799 \h </w:instrText>
            </w:r>
            <w:r w:rsidR="007319AA">
              <w:rPr>
                <w:noProof/>
                <w:webHidden/>
              </w:rPr>
            </w:r>
            <w:r w:rsidR="007319AA">
              <w:rPr>
                <w:noProof/>
                <w:webHidden/>
              </w:rPr>
              <w:fldChar w:fldCharType="separate"/>
            </w:r>
            <w:r w:rsidR="003C03BC">
              <w:rPr>
                <w:noProof/>
                <w:webHidden/>
              </w:rPr>
              <w:t>4</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800" w:history="1">
            <w:r w:rsidR="007319AA" w:rsidRPr="006C7512">
              <w:rPr>
                <w:rStyle w:val="Hyperlink"/>
                <w:noProof/>
              </w:rPr>
              <w:t>Commercial Viability</w:t>
            </w:r>
            <w:r w:rsidR="007319AA">
              <w:rPr>
                <w:noProof/>
                <w:webHidden/>
              </w:rPr>
              <w:tab/>
            </w:r>
            <w:r w:rsidR="007319AA">
              <w:rPr>
                <w:noProof/>
                <w:webHidden/>
              </w:rPr>
              <w:fldChar w:fldCharType="begin"/>
            </w:r>
            <w:r w:rsidR="007319AA">
              <w:rPr>
                <w:noProof/>
                <w:webHidden/>
              </w:rPr>
              <w:instrText xml:space="preserve"> PAGEREF _Toc526941800 \h </w:instrText>
            </w:r>
            <w:r w:rsidR="007319AA">
              <w:rPr>
                <w:noProof/>
                <w:webHidden/>
              </w:rPr>
            </w:r>
            <w:r w:rsidR="007319AA">
              <w:rPr>
                <w:noProof/>
                <w:webHidden/>
              </w:rPr>
              <w:fldChar w:fldCharType="separate"/>
            </w:r>
            <w:r w:rsidR="003C03BC">
              <w:rPr>
                <w:noProof/>
                <w:webHidden/>
              </w:rPr>
              <w:t>5</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801" w:history="1">
            <w:r w:rsidR="007319AA" w:rsidRPr="006C7512">
              <w:rPr>
                <w:rStyle w:val="Hyperlink"/>
                <w:noProof/>
              </w:rPr>
              <w:t>Economic Assessment of Commercial Viability</w:t>
            </w:r>
            <w:r w:rsidR="007319AA">
              <w:rPr>
                <w:noProof/>
                <w:webHidden/>
              </w:rPr>
              <w:tab/>
            </w:r>
            <w:r w:rsidR="007319AA">
              <w:rPr>
                <w:noProof/>
                <w:webHidden/>
              </w:rPr>
              <w:fldChar w:fldCharType="begin"/>
            </w:r>
            <w:r w:rsidR="007319AA">
              <w:rPr>
                <w:noProof/>
                <w:webHidden/>
              </w:rPr>
              <w:instrText xml:space="preserve"> PAGEREF _Toc526941801 \h </w:instrText>
            </w:r>
            <w:r w:rsidR="007319AA">
              <w:rPr>
                <w:noProof/>
                <w:webHidden/>
              </w:rPr>
            </w:r>
            <w:r w:rsidR="007319AA">
              <w:rPr>
                <w:noProof/>
                <w:webHidden/>
              </w:rPr>
              <w:fldChar w:fldCharType="separate"/>
            </w:r>
            <w:r w:rsidR="003C03BC">
              <w:rPr>
                <w:noProof/>
                <w:webHidden/>
              </w:rPr>
              <w:t>6</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802" w:history="1">
            <w:r w:rsidR="007319AA" w:rsidRPr="006C7512">
              <w:rPr>
                <w:rStyle w:val="Hyperlink"/>
                <w:noProof/>
              </w:rPr>
              <w:t>Technical Work Program</w:t>
            </w:r>
            <w:r w:rsidR="007319AA">
              <w:rPr>
                <w:noProof/>
                <w:webHidden/>
              </w:rPr>
              <w:tab/>
            </w:r>
            <w:r w:rsidR="007319AA">
              <w:rPr>
                <w:noProof/>
                <w:webHidden/>
              </w:rPr>
              <w:fldChar w:fldCharType="begin"/>
            </w:r>
            <w:r w:rsidR="007319AA">
              <w:rPr>
                <w:noProof/>
                <w:webHidden/>
              </w:rPr>
              <w:instrText xml:space="preserve"> PAGEREF _Toc526941802 \h </w:instrText>
            </w:r>
            <w:r w:rsidR="007319AA">
              <w:rPr>
                <w:noProof/>
                <w:webHidden/>
              </w:rPr>
            </w:r>
            <w:r w:rsidR="007319AA">
              <w:rPr>
                <w:noProof/>
                <w:webHidden/>
              </w:rPr>
              <w:fldChar w:fldCharType="separate"/>
            </w:r>
            <w:r w:rsidR="003C03BC">
              <w:rPr>
                <w:noProof/>
                <w:webHidden/>
              </w:rPr>
              <w:t>6</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803" w:history="1">
            <w:r w:rsidR="007319AA" w:rsidRPr="006C7512">
              <w:rPr>
                <w:rStyle w:val="Hyperlink"/>
                <w:noProof/>
              </w:rPr>
              <w:t>Renewal of a Retention Licence</w:t>
            </w:r>
            <w:r w:rsidR="007319AA">
              <w:rPr>
                <w:noProof/>
                <w:webHidden/>
              </w:rPr>
              <w:tab/>
            </w:r>
            <w:r w:rsidR="007319AA">
              <w:rPr>
                <w:noProof/>
                <w:webHidden/>
              </w:rPr>
              <w:fldChar w:fldCharType="begin"/>
            </w:r>
            <w:r w:rsidR="007319AA">
              <w:rPr>
                <w:noProof/>
                <w:webHidden/>
              </w:rPr>
              <w:instrText xml:space="preserve"> PAGEREF _Toc526941803 \h </w:instrText>
            </w:r>
            <w:r w:rsidR="007319AA">
              <w:rPr>
                <w:noProof/>
                <w:webHidden/>
              </w:rPr>
            </w:r>
            <w:r w:rsidR="007319AA">
              <w:rPr>
                <w:noProof/>
                <w:webHidden/>
              </w:rPr>
              <w:fldChar w:fldCharType="separate"/>
            </w:r>
            <w:r w:rsidR="003C03BC">
              <w:rPr>
                <w:noProof/>
                <w:webHidden/>
              </w:rPr>
              <w:t>7</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804" w:history="1">
            <w:r w:rsidR="007319AA" w:rsidRPr="006C7512">
              <w:rPr>
                <w:rStyle w:val="Hyperlink"/>
                <w:noProof/>
              </w:rPr>
              <w:t>Related legislation</w:t>
            </w:r>
            <w:r w:rsidR="007319AA">
              <w:rPr>
                <w:noProof/>
                <w:webHidden/>
              </w:rPr>
              <w:tab/>
            </w:r>
            <w:r w:rsidR="007319AA">
              <w:rPr>
                <w:noProof/>
                <w:webHidden/>
              </w:rPr>
              <w:fldChar w:fldCharType="begin"/>
            </w:r>
            <w:r w:rsidR="007319AA">
              <w:rPr>
                <w:noProof/>
                <w:webHidden/>
              </w:rPr>
              <w:instrText xml:space="preserve"> PAGEREF _Toc526941804 \h </w:instrText>
            </w:r>
            <w:r w:rsidR="007319AA">
              <w:rPr>
                <w:noProof/>
                <w:webHidden/>
              </w:rPr>
            </w:r>
            <w:r w:rsidR="007319AA">
              <w:rPr>
                <w:noProof/>
                <w:webHidden/>
              </w:rPr>
              <w:fldChar w:fldCharType="separate"/>
            </w:r>
            <w:r w:rsidR="003C03BC">
              <w:rPr>
                <w:noProof/>
                <w:webHidden/>
              </w:rPr>
              <w:t>7</w:t>
            </w:r>
            <w:r w:rsidR="007319AA">
              <w:rPr>
                <w:noProof/>
                <w:webHidden/>
              </w:rPr>
              <w:fldChar w:fldCharType="end"/>
            </w:r>
          </w:hyperlink>
        </w:p>
        <w:p w:rsidR="007319AA" w:rsidRDefault="00C13E02">
          <w:pPr>
            <w:pStyle w:val="TOC1"/>
            <w:rPr>
              <w:rFonts w:asciiTheme="minorHAnsi" w:eastAsiaTheme="minorEastAsia" w:hAnsiTheme="minorHAnsi" w:cstheme="minorBidi"/>
              <w:b w:val="0"/>
              <w:noProof/>
              <w:szCs w:val="22"/>
            </w:rPr>
          </w:pPr>
          <w:hyperlink w:anchor="_Toc526941805" w:history="1">
            <w:r w:rsidR="007319AA" w:rsidRPr="006C7512">
              <w:rPr>
                <w:rStyle w:val="Hyperlink"/>
                <w:noProof/>
              </w:rPr>
              <w:t>Further information</w:t>
            </w:r>
            <w:r w:rsidR="007319AA">
              <w:rPr>
                <w:noProof/>
                <w:webHidden/>
              </w:rPr>
              <w:tab/>
            </w:r>
            <w:r w:rsidR="007319AA">
              <w:rPr>
                <w:noProof/>
                <w:webHidden/>
              </w:rPr>
              <w:fldChar w:fldCharType="begin"/>
            </w:r>
            <w:r w:rsidR="007319AA">
              <w:rPr>
                <w:noProof/>
                <w:webHidden/>
              </w:rPr>
              <w:instrText xml:space="preserve"> PAGEREF _Toc526941805 \h </w:instrText>
            </w:r>
            <w:r w:rsidR="007319AA">
              <w:rPr>
                <w:noProof/>
                <w:webHidden/>
              </w:rPr>
            </w:r>
            <w:r w:rsidR="007319AA">
              <w:rPr>
                <w:noProof/>
                <w:webHidden/>
              </w:rPr>
              <w:fldChar w:fldCharType="separate"/>
            </w:r>
            <w:r w:rsidR="003C03BC">
              <w:rPr>
                <w:noProof/>
                <w:webHidden/>
              </w:rPr>
              <w:t>7</w:t>
            </w:r>
            <w:r w:rsidR="007319AA">
              <w:rPr>
                <w:noProof/>
                <w:webHidden/>
              </w:rPr>
              <w:fldChar w:fldCharType="end"/>
            </w:r>
          </w:hyperlink>
        </w:p>
        <w:p w:rsidR="00B879E4" w:rsidRPr="00E01348" w:rsidRDefault="00B879E4" w:rsidP="00E01348">
          <w:pPr>
            <w:rPr>
              <w:noProof/>
            </w:rPr>
          </w:pPr>
          <w:r w:rsidRPr="00E01348">
            <w:rPr>
              <w:b/>
              <w:bCs/>
              <w:noProof/>
              <w:sz w:val="24"/>
              <w:szCs w:val="24"/>
            </w:rPr>
            <w:fldChar w:fldCharType="end"/>
          </w:r>
        </w:p>
      </w:sdtContent>
    </w:sdt>
    <w:p w:rsidR="00B879E4" w:rsidRDefault="00B879E4" w:rsidP="00E01348">
      <w:r>
        <w:br w:type="page"/>
      </w:r>
    </w:p>
    <w:p w:rsidR="00B879E4" w:rsidRPr="00E01348" w:rsidRDefault="00B879E4" w:rsidP="00E01348">
      <w:pPr>
        <w:pStyle w:val="Heading1"/>
      </w:pPr>
      <w:bookmarkStart w:id="1" w:name="_Toc526941798"/>
      <w:r w:rsidRPr="00E01348">
        <w:lastRenderedPageBreak/>
        <w:t>Purpose</w:t>
      </w:r>
      <w:bookmarkEnd w:id="1"/>
    </w:p>
    <w:p w:rsidR="00312DFA" w:rsidRDefault="00312DFA" w:rsidP="00312DFA">
      <w:r w:rsidRPr="00E01348">
        <w:t xml:space="preserve">This </w:t>
      </w:r>
      <w:r>
        <w:t>guideline</w:t>
      </w:r>
      <w:r w:rsidRPr="00E01348">
        <w:t xml:space="preserve"> aims to ensure that</w:t>
      </w:r>
      <w:r>
        <w:t xml:space="preserve"> the</w:t>
      </w:r>
      <w:r w:rsidRPr="00E01348">
        <w:t xml:space="preserve"> Northern Territory Government (</w:t>
      </w:r>
      <w:smartTag w:uri="urn:schemas-microsoft-com:office:smarttags" w:element="stockticker">
        <w:r w:rsidRPr="00E01348">
          <w:t>NTG</w:t>
        </w:r>
      </w:smartTag>
      <w:r w:rsidRPr="00E01348">
        <w:t>)</w:t>
      </w:r>
      <w:r>
        <w:t xml:space="preserve"> continues to assist oil and gas explorers to carry out effective exploration and to ultimately develop petroleum </w:t>
      </w:r>
      <w:r w:rsidR="00E02210">
        <w:t>resources</w:t>
      </w:r>
      <w:r>
        <w:t xml:space="preserve"> for the benefit of the Territory economy</w:t>
      </w:r>
      <w:r w:rsidRPr="00E01348">
        <w:t>, while still meeting legislative requirements and providing t</w:t>
      </w:r>
      <w:r>
        <w:t>ransparency and accountability.</w:t>
      </w:r>
    </w:p>
    <w:p w:rsidR="00312DFA" w:rsidRDefault="00312DFA" w:rsidP="00312DFA">
      <w:r w:rsidRPr="00E01348">
        <w:t xml:space="preserve">The </w:t>
      </w:r>
      <w:r>
        <w:t>guideline</w:t>
      </w:r>
      <w:r w:rsidRPr="00E01348">
        <w:t xml:space="preserve"> applies to all </w:t>
      </w:r>
      <w:r>
        <w:t>exploration permit or retention licence holders or their representatives who wish to apply for or renew a retention licence</w:t>
      </w:r>
      <w:r w:rsidRPr="00E01348">
        <w:t>.</w:t>
      </w:r>
    </w:p>
    <w:p w:rsidR="00312DFA" w:rsidRPr="00E01348" w:rsidRDefault="00312DFA" w:rsidP="00312DFA">
      <w:r>
        <w:t>By following the requirements in this guideline you will ensure that your application is processed in a timely way with minimal disruption to you.</w:t>
      </w:r>
    </w:p>
    <w:p w:rsidR="00B879E4" w:rsidRPr="0068114B" w:rsidRDefault="000F0C32" w:rsidP="00E01348">
      <w:pPr>
        <w:pStyle w:val="Heading1"/>
      </w:pPr>
      <w:bookmarkStart w:id="2" w:name="_Toc526941799"/>
      <w:r>
        <w:t xml:space="preserve">Applying for </w:t>
      </w:r>
      <w:r w:rsidR="00C872FA">
        <w:t>a Retention Licence</w:t>
      </w:r>
      <w:bookmarkEnd w:id="2"/>
    </w:p>
    <w:p w:rsidR="00B76447" w:rsidRDefault="00C872FA" w:rsidP="00C872FA">
      <w:r>
        <w:t>You can apply for the grant of a retention licence</w:t>
      </w:r>
      <w:r w:rsidR="007223F8">
        <w:t xml:space="preserve"> over a petroleum discovery that is not currently commercially viable</w:t>
      </w:r>
      <w:r w:rsidR="00356F0A">
        <w:t>,</w:t>
      </w:r>
      <w:r w:rsidR="00C30EB3">
        <w:t xml:space="preserve"> but is likely to be within 15 years</w:t>
      </w:r>
      <w:r w:rsidR="007223F8">
        <w:t>.</w:t>
      </w:r>
    </w:p>
    <w:p w:rsidR="00B879E4" w:rsidRDefault="00B76447" w:rsidP="00C872FA">
      <w:r>
        <w:t>You must have already reported the discovery to the department and established that it is potentially of a commercial quality and quantity.</w:t>
      </w:r>
    </w:p>
    <w:p w:rsidR="00B76447" w:rsidRDefault="00B76447" w:rsidP="00C872FA">
      <w:r>
        <w:t xml:space="preserve">A retention licence </w:t>
      </w:r>
      <w:r w:rsidR="00C30EB3">
        <w:t>remains in force</w:t>
      </w:r>
      <w:r>
        <w:t xml:space="preserve"> for five years and can be renewed for further periods of five years</w:t>
      </w:r>
      <w:r w:rsidR="00E47D40">
        <w:t>,</w:t>
      </w:r>
      <w:r w:rsidR="00C30EB3">
        <w:t xml:space="preserve"> if the resource still meets the non-commercial criteria</w:t>
      </w:r>
      <w:r>
        <w:t>.</w:t>
      </w:r>
    </w:p>
    <w:p w:rsidR="00C30EB3" w:rsidRDefault="00E47D40" w:rsidP="00C872FA">
      <w:r>
        <w:t>You can apply for more than one retention licence over your exploration permit, however each licence area can only be a maximum of 12 blocks.</w:t>
      </w:r>
    </w:p>
    <w:p w:rsidR="007223F8" w:rsidRDefault="00C30EB3" w:rsidP="00C872FA">
      <w:r>
        <w:t>Your application should include the following information:</w:t>
      </w:r>
    </w:p>
    <w:p w:rsidR="00C30EB3" w:rsidRDefault="00356F0A" w:rsidP="00C30EB3">
      <w:pPr>
        <w:pStyle w:val="ListParagraph"/>
        <w:numPr>
          <w:ilvl w:val="0"/>
          <w:numId w:val="4"/>
        </w:numPr>
        <w:spacing w:after="120"/>
        <w:ind w:left="1077" w:hanging="357"/>
        <w:contextualSpacing w:val="0"/>
      </w:pPr>
      <w:r>
        <w:t>n</w:t>
      </w:r>
      <w:r w:rsidR="00757D5D">
        <w:t>ame and address</w:t>
      </w:r>
    </w:p>
    <w:p w:rsidR="00757D5D" w:rsidRDefault="00356F0A" w:rsidP="00C30EB3">
      <w:pPr>
        <w:pStyle w:val="ListParagraph"/>
        <w:numPr>
          <w:ilvl w:val="0"/>
          <w:numId w:val="4"/>
        </w:numPr>
        <w:spacing w:after="120"/>
        <w:ind w:left="1077" w:hanging="357"/>
        <w:contextualSpacing w:val="0"/>
      </w:pPr>
      <w:r>
        <w:t>t</w:t>
      </w:r>
      <w:r w:rsidR="00757D5D">
        <w:t>he number of blocks</w:t>
      </w:r>
    </w:p>
    <w:p w:rsidR="00757D5D" w:rsidRDefault="00356F0A" w:rsidP="00C30EB3">
      <w:pPr>
        <w:pStyle w:val="ListParagraph"/>
        <w:numPr>
          <w:ilvl w:val="0"/>
          <w:numId w:val="4"/>
        </w:numPr>
        <w:spacing w:after="120"/>
        <w:ind w:left="1077" w:hanging="357"/>
        <w:contextualSpacing w:val="0"/>
      </w:pPr>
      <w:r>
        <w:t>a</w:t>
      </w:r>
      <w:r w:rsidR="00757D5D">
        <w:t xml:space="preserve"> map clearly showing the application area and the boundary of the existing exploration permit</w:t>
      </w:r>
    </w:p>
    <w:p w:rsidR="002563A1" w:rsidRDefault="00356F0A" w:rsidP="00C30EB3">
      <w:pPr>
        <w:pStyle w:val="ListParagraph"/>
        <w:numPr>
          <w:ilvl w:val="0"/>
          <w:numId w:val="4"/>
        </w:numPr>
        <w:spacing w:after="120"/>
        <w:ind w:left="1077" w:hanging="357"/>
        <w:contextualSpacing w:val="0"/>
      </w:pPr>
      <w:r>
        <w:t>e</w:t>
      </w:r>
      <w:r w:rsidR="002563A1">
        <w:t>vidence that you are the permittee of the application area, that you have previously notified the department of the discovery, and that production is not currently commercially viable</w:t>
      </w:r>
    </w:p>
    <w:p w:rsidR="007F1CA7" w:rsidRDefault="00356F0A" w:rsidP="00C30EB3">
      <w:pPr>
        <w:pStyle w:val="ListParagraph"/>
        <w:numPr>
          <w:ilvl w:val="0"/>
          <w:numId w:val="4"/>
        </w:numPr>
        <w:spacing w:after="120"/>
        <w:ind w:left="1077" w:hanging="357"/>
        <w:contextualSpacing w:val="0"/>
      </w:pPr>
      <w:r>
        <w:t>a</w:t>
      </w:r>
      <w:r w:rsidR="007F1CA7">
        <w:t xml:space="preserve">n analysis of the commercial viability of the prospective development including your assumptions, methodology and conclusions reached. The analysis should demonstrate that your assumptions and methodology are realistic and will lead to an outcome or </w:t>
      </w:r>
      <w:r>
        <w:t xml:space="preserve">a </w:t>
      </w:r>
      <w:r w:rsidR="007F1CA7">
        <w:t>range of outcomes. Reasonable alternative assumptions should also be identified and assessed</w:t>
      </w:r>
      <w:r>
        <w:t>,</w:t>
      </w:r>
      <w:r w:rsidR="007F1CA7">
        <w:t xml:space="preserve"> and the department will determine whether there is reasonable grounds for adopting them.</w:t>
      </w:r>
    </w:p>
    <w:p w:rsidR="002563A1" w:rsidRDefault="00356F0A" w:rsidP="00C30EB3">
      <w:pPr>
        <w:pStyle w:val="ListParagraph"/>
        <w:numPr>
          <w:ilvl w:val="0"/>
          <w:numId w:val="4"/>
        </w:numPr>
        <w:spacing w:after="120"/>
        <w:ind w:left="1077" w:hanging="357"/>
        <w:contextualSpacing w:val="0"/>
      </w:pPr>
      <w:r>
        <w:t>a</w:t>
      </w:r>
      <w:r w:rsidR="002563A1">
        <w:t xml:space="preserve"> technical work program for the exploration, appraisal and development of petroleum in the application area, including an economic appraisal of the resource for the period of the licence</w:t>
      </w:r>
    </w:p>
    <w:p w:rsidR="002563A1" w:rsidRDefault="00356F0A" w:rsidP="00C30EB3">
      <w:pPr>
        <w:pStyle w:val="ListParagraph"/>
        <w:numPr>
          <w:ilvl w:val="0"/>
          <w:numId w:val="4"/>
        </w:numPr>
        <w:spacing w:after="120"/>
        <w:ind w:left="1077" w:hanging="357"/>
        <w:contextualSpacing w:val="0"/>
      </w:pPr>
      <w:r>
        <w:t>e</w:t>
      </w:r>
      <w:r w:rsidR="002563A1">
        <w:t>vidence of your technical and financial capacity to carry out the technical work program</w:t>
      </w:r>
      <w:r w:rsidR="00EA3D6E">
        <w:t xml:space="preserve"> and to comply with the legislation</w:t>
      </w:r>
    </w:p>
    <w:p w:rsidR="00EA3D6E" w:rsidRDefault="00356F0A" w:rsidP="00C30EB3">
      <w:pPr>
        <w:pStyle w:val="ListParagraph"/>
        <w:numPr>
          <w:ilvl w:val="0"/>
          <w:numId w:val="4"/>
        </w:numPr>
        <w:spacing w:after="120"/>
        <w:ind w:left="1077" w:hanging="357"/>
        <w:contextualSpacing w:val="0"/>
      </w:pPr>
      <w:r>
        <w:t>t</w:t>
      </w:r>
      <w:r w:rsidR="00EA3D6E">
        <w:t>he proposed sharing arrangements where the application is made by two or more parties</w:t>
      </w:r>
    </w:p>
    <w:p w:rsidR="00EA3D6E" w:rsidRDefault="00356F0A" w:rsidP="00C30EB3">
      <w:pPr>
        <w:pStyle w:val="ListParagraph"/>
        <w:numPr>
          <w:ilvl w:val="0"/>
          <w:numId w:val="4"/>
        </w:numPr>
        <w:spacing w:after="120"/>
        <w:ind w:left="1077" w:hanging="357"/>
        <w:contextualSpacing w:val="0"/>
      </w:pPr>
      <w:r>
        <w:lastRenderedPageBreak/>
        <w:t>a</w:t>
      </w:r>
      <w:r w:rsidR="00EA3D6E">
        <w:t xml:space="preserve"> statement detailing the reasons why you believe that an appraisal of the application area cannot be carried out during the remaining term of your exploration permit and why you have not applied for a production licence</w:t>
      </w:r>
    </w:p>
    <w:p w:rsidR="00EA3D6E" w:rsidRDefault="00356F0A" w:rsidP="00C30EB3">
      <w:pPr>
        <w:pStyle w:val="ListParagraph"/>
        <w:numPr>
          <w:ilvl w:val="0"/>
          <w:numId w:val="4"/>
        </w:numPr>
        <w:spacing w:after="120"/>
        <w:ind w:left="1077" w:hanging="357"/>
        <w:contextualSpacing w:val="0"/>
      </w:pPr>
      <w:r>
        <w:t>a</w:t>
      </w:r>
      <w:r w:rsidR="00EA3D6E">
        <w:t>ny other information you think will support your application.</w:t>
      </w:r>
    </w:p>
    <w:p w:rsidR="00995DCD" w:rsidRDefault="00995DCD" w:rsidP="00995DCD">
      <w:pPr>
        <w:spacing w:after="120"/>
      </w:pPr>
      <w:r>
        <w:t>Your application should also identify the circumstances in which the resource would become commercially viable and the likelihood that they will occur within the next 15 years. Evidence should be provided to substantiate that the change in circumstances will make the project viable. Include all relevant information including research and the development of technology.</w:t>
      </w:r>
    </w:p>
    <w:p w:rsidR="00E00882" w:rsidRDefault="00E00882" w:rsidP="00E00882">
      <w:pPr>
        <w:pStyle w:val="Heading1"/>
      </w:pPr>
      <w:bookmarkStart w:id="3" w:name="_Toc526941800"/>
      <w:r>
        <w:t>Commercial Viability</w:t>
      </w:r>
      <w:bookmarkEnd w:id="3"/>
    </w:p>
    <w:p w:rsidR="00E00882" w:rsidRDefault="00213639" w:rsidP="00E00882">
      <w:pPr>
        <w:spacing w:after="120"/>
      </w:pPr>
      <w:r>
        <w:t>A petroleum discovery that is potentially of a commercial quality and quantity means that the petroleum could be developed:</w:t>
      </w:r>
    </w:p>
    <w:p w:rsidR="00213639" w:rsidRDefault="00E46ED2" w:rsidP="00213639">
      <w:pPr>
        <w:pStyle w:val="ListParagraph"/>
        <w:numPr>
          <w:ilvl w:val="0"/>
          <w:numId w:val="4"/>
        </w:numPr>
        <w:spacing w:after="120"/>
        <w:ind w:left="1077" w:hanging="357"/>
        <w:contextualSpacing w:val="0"/>
      </w:pPr>
      <w:r>
        <w:t>g</w:t>
      </w:r>
      <w:r w:rsidR="00213639">
        <w:t>iven the existing knowledge of the field</w:t>
      </w:r>
    </w:p>
    <w:p w:rsidR="00213639" w:rsidRDefault="00E46ED2" w:rsidP="00213639">
      <w:pPr>
        <w:pStyle w:val="ListParagraph"/>
        <w:numPr>
          <w:ilvl w:val="0"/>
          <w:numId w:val="4"/>
        </w:numPr>
        <w:spacing w:after="120"/>
        <w:ind w:left="1077" w:hanging="357"/>
        <w:contextualSpacing w:val="0"/>
      </w:pPr>
      <w:r>
        <w:t>h</w:t>
      </w:r>
      <w:r w:rsidR="00213639">
        <w:t>aving regard to the prevailing market conditions</w:t>
      </w:r>
    </w:p>
    <w:p w:rsidR="00213639" w:rsidRDefault="00E46ED2" w:rsidP="00213639">
      <w:pPr>
        <w:pStyle w:val="ListParagraph"/>
        <w:numPr>
          <w:ilvl w:val="0"/>
          <w:numId w:val="4"/>
        </w:numPr>
        <w:spacing w:after="120"/>
        <w:ind w:left="1077" w:hanging="357"/>
        <w:contextualSpacing w:val="0"/>
      </w:pPr>
      <w:r>
        <w:t>u</w:t>
      </w:r>
      <w:r w:rsidR="00213639">
        <w:t>sing proven technology that is readily available</w:t>
      </w:r>
    </w:p>
    <w:p w:rsidR="00213639" w:rsidRDefault="00933789" w:rsidP="00E00882">
      <w:pPr>
        <w:spacing w:after="120"/>
      </w:pPr>
      <w:r>
        <w:t>such that</w:t>
      </w:r>
      <w:r w:rsidR="00F35A16">
        <w:t xml:space="preserve"> the </w:t>
      </w:r>
      <w:r w:rsidR="00DD27A3">
        <w:t>economic parameters, such as net present value (NPV), internal rate of return (IRR) or value investment ratio (VIR),</w:t>
      </w:r>
      <w:r w:rsidR="00213639" w:rsidRPr="00213639">
        <w:t xml:space="preserve"> meet or exceed the minimum return for </w:t>
      </w:r>
      <w:r w:rsidR="00F35A16">
        <w:t>this</w:t>
      </w:r>
      <w:r w:rsidR="00213639" w:rsidRPr="00213639">
        <w:t xml:space="preserve"> type of project</w:t>
      </w:r>
      <w:r w:rsidR="00731D36">
        <w:t>,</w:t>
      </w:r>
      <w:r w:rsidR="00213639" w:rsidRPr="00213639">
        <w:t xml:space="preserve"> </w:t>
      </w:r>
      <w:r w:rsidR="00F35A16">
        <w:t xml:space="preserve">as </w:t>
      </w:r>
      <w:r w:rsidR="00F35A16" w:rsidRPr="00213639">
        <w:t xml:space="preserve">considered acceptable </w:t>
      </w:r>
      <w:r w:rsidR="00213639" w:rsidRPr="00213639">
        <w:t>by a reaso</w:t>
      </w:r>
      <w:r w:rsidR="00F35A16">
        <w:t>nable petroleum developer and</w:t>
      </w:r>
      <w:r w:rsidR="00213639" w:rsidRPr="00213639">
        <w:t xml:space="preserve"> investors or lenders to the industry (i.e. an acceptable </w:t>
      </w:r>
      <w:r w:rsidR="00DD27A3">
        <w:t xml:space="preserve">net present value or </w:t>
      </w:r>
      <w:r w:rsidR="00213639" w:rsidRPr="00213639">
        <w:t>rate of return</w:t>
      </w:r>
      <w:r w:rsidR="007319AA">
        <w:t xml:space="preserve"> or value investment ratio</w:t>
      </w:r>
      <w:r w:rsidR="00213639" w:rsidRPr="00213639">
        <w:t>).</w:t>
      </w:r>
      <w:r w:rsidR="00DD27A3">
        <w:t xml:space="preserve"> </w:t>
      </w:r>
    </w:p>
    <w:p w:rsidR="00E00882" w:rsidRDefault="00213639" w:rsidP="00E00882">
      <w:pPr>
        <w:spacing w:after="120"/>
      </w:pPr>
      <w:r w:rsidRPr="00213639">
        <w:t>Existing knowledge of the field includes mapping and resource estimates at proved, probable and possible probability levels.</w:t>
      </w:r>
    </w:p>
    <w:p w:rsidR="00B87E7B" w:rsidRDefault="00B87E7B" w:rsidP="00B87E7B">
      <w:pPr>
        <w:spacing w:after="120"/>
      </w:pPr>
      <w:r>
        <w:t>Your inability or unwillingness to acquire or apply readily available proven technology is not considered an adequate reason for claiming a discovery is not commercially viable.</w:t>
      </w:r>
    </w:p>
    <w:p w:rsidR="008F1AF4" w:rsidRDefault="008F1AF4" w:rsidP="00B87E7B">
      <w:pPr>
        <w:spacing w:after="120"/>
      </w:pPr>
      <w:r>
        <w:t xml:space="preserve">Where commercial viability is dependent on a joint venture </w:t>
      </w:r>
      <w:r w:rsidR="00D453A3">
        <w:t>arrangement</w:t>
      </w:r>
      <w:r>
        <w:t xml:space="preserve"> to develop the resource or an agreement to access facilities or technology,</w:t>
      </w:r>
      <w:r w:rsidR="00D453A3">
        <w:t xml:space="preserve"> an</w:t>
      </w:r>
      <w:r>
        <w:t xml:space="preserve"> inability to finalise the agreement may be considered a valid reason to claim lack of viability</w:t>
      </w:r>
      <w:r w:rsidR="00E315B3">
        <w:t>,</w:t>
      </w:r>
      <w:r>
        <w:t xml:space="preserve"> where these factors are shown to impact the acceptable</w:t>
      </w:r>
      <w:r w:rsidR="000C4DA8">
        <w:t xml:space="preserve"> economic parameter</w:t>
      </w:r>
      <w:r>
        <w:t>.</w:t>
      </w:r>
    </w:p>
    <w:p w:rsidR="00E315B3" w:rsidRDefault="00BD2708" w:rsidP="00B87E7B">
      <w:pPr>
        <w:spacing w:after="120"/>
      </w:pPr>
      <w:r>
        <w:t>Market factors, including market access, price and timing, may</w:t>
      </w:r>
      <w:r w:rsidR="00D453A3">
        <w:t xml:space="preserve"> similarly</w:t>
      </w:r>
      <w:r>
        <w:t xml:space="preserve"> impact the commercial viability of a discovery. The market for natural gas is often characterised by large, long term contracts, specifying particular rates, periods of supply and quality. A project may be considered </w:t>
      </w:r>
      <w:r w:rsidR="00D453A3">
        <w:t>un</w:t>
      </w:r>
      <w:r>
        <w:t>viable due to an inability to obtain a contract, in</w:t>
      </w:r>
      <w:r w:rsidR="00E46ED2">
        <w:t xml:space="preserve"> the</w:t>
      </w:r>
      <w:r w:rsidR="00D453A3">
        <w:t xml:space="preserve"> </w:t>
      </w:r>
      <w:r>
        <w:t xml:space="preserve">prevailing market conditions, </w:t>
      </w:r>
      <w:r w:rsidR="00D453A3">
        <w:t>which</w:t>
      </w:r>
      <w:r>
        <w:t xml:space="preserve"> </w:t>
      </w:r>
      <w:r w:rsidR="00D453A3">
        <w:t xml:space="preserve">adequately </w:t>
      </w:r>
      <w:r>
        <w:t>support</w:t>
      </w:r>
      <w:r w:rsidR="00D453A3">
        <w:t>s</w:t>
      </w:r>
      <w:r>
        <w:t xml:space="preserve"> development. Also, the amount of the resource, even if substantial, may be insufficient to take advantage of any currently available market oppor</w:t>
      </w:r>
      <w:r w:rsidR="00E46ED2">
        <w:t>tunities</w:t>
      </w:r>
      <w:r>
        <w:t>.</w:t>
      </w:r>
    </w:p>
    <w:p w:rsidR="00E00882" w:rsidRDefault="001C7954" w:rsidP="00E00882">
      <w:pPr>
        <w:spacing w:after="120"/>
      </w:pPr>
      <w:r>
        <w:t xml:space="preserve">Favourable consideration will be given to </w:t>
      </w:r>
      <w:r w:rsidR="00CF6768">
        <w:t>your</w:t>
      </w:r>
      <w:r>
        <w:t xml:space="preserve"> application if you can demonstrate that you have attempted in good faith to obtain gas supply contracts, for an otherwise commercially viable resource, but have been unsuccessful. You should provide evidence of your efforts to obtain a market for your gas and that the project is viable i</w:t>
      </w:r>
      <w:r w:rsidR="006816AD">
        <w:t>n the current market conditions</w:t>
      </w:r>
      <w:r>
        <w:t xml:space="preserve"> in your application.</w:t>
      </w:r>
      <w:r w:rsidR="008A0E3A">
        <w:t xml:space="preserve"> Prior to doing this you should </w:t>
      </w:r>
      <w:r w:rsidR="006816AD">
        <w:t>assess</w:t>
      </w:r>
      <w:r w:rsidR="008A0E3A">
        <w:t xml:space="preserve"> whether further defining the resource to demonstrate supply capability to potential buyers, </w:t>
      </w:r>
      <w:r w:rsidR="00E46ED2">
        <w:t>would</w:t>
      </w:r>
      <w:r w:rsidR="008A0E3A">
        <w:t xml:space="preserve"> improve marketability.</w:t>
      </w:r>
    </w:p>
    <w:p w:rsidR="00E00882" w:rsidRDefault="00E00882" w:rsidP="00E00882">
      <w:pPr>
        <w:pStyle w:val="Heading1"/>
      </w:pPr>
      <w:bookmarkStart w:id="4" w:name="_Toc526941801"/>
      <w:r>
        <w:lastRenderedPageBreak/>
        <w:t>Economic Assessment of Commercial Viability</w:t>
      </w:r>
      <w:bookmarkEnd w:id="4"/>
    </w:p>
    <w:p w:rsidR="00E00882" w:rsidRDefault="00CF6768" w:rsidP="00E00882">
      <w:pPr>
        <w:spacing w:after="120"/>
      </w:pPr>
      <w:r>
        <w:t>An economic assessment of the commercial viability of your resource should include:</w:t>
      </w:r>
    </w:p>
    <w:p w:rsidR="00CF6768" w:rsidRDefault="00880651" w:rsidP="00CF6768">
      <w:pPr>
        <w:pStyle w:val="ListParagraph"/>
        <w:numPr>
          <w:ilvl w:val="0"/>
          <w:numId w:val="6"/>
        </w:numPr>
        <w:spacing w:after="120"/>
        <w:ind w:left="1077" w:hanging="357"/>
        <w:contextualSpacing w:val="0"/>
      </w:pPr>
      <w:r>
        <w:t>e</w:t>
      </w:r>
      <w:r w:rsidR="00CF6768">
        <w:t xml:space="preserve">stimated recoverable and in-situ resources (especially the 50% and 90% probability levels or other appropriate information) with more detail if these are critical to determining whether the criteria </w:t>
      </w:r>
      <w:r w:rsidR="00B16CB5">
        <w:t xml:space="preserve">for viability </w:t>
      </w:r>
      <w:r w:rsidR="00CF6768">
        <w:t>are met</w:t>
      </w:r>
    </w:p>
    <w:p w:rsidR="00CF6768" w:rsidRDefault="00880651" w:rsidP="00CF6768">
      <w:pPr>
        <w:pStyle w:val="ListParagraph"/>
        <w:numPr>
          <w:ilvl w:val="0"/>
          <w:numId w:val="6"/>
        </w:numPr>
        <w:spacing w:after="120"/>
        <w:ind w:left="1077" w:hanging="357"/>
        <w:contextualSpacing w:val="0"/>
      </w:pPr>
      <w:r>
        <w:t>e</w:t>
      </w:r>
      <w:r w:rsidR="00CF6768">
        <w:t>stimated annual capital costs (including appraisal and production d</w:t>
      </w:r>
      <w:r w:rsidR="00B16CB5">
        <w:t xml:space="preserve">rilling, facilities costs etc.) </w:t>
      </w:r>
      <w:r w:rsidR="00CF6768">
        <w:t>if the project were to proceed</w:t>
      </w:r>
    </w:p>
    <w:p w:rsidR="00CF6768" w:rsidRDefault="00880651" w:rsidP="00CF6768">
      <w:pPr>
        <w:pStyle w:val="ListParagraph"/>
        <w:numPr>
          <w:ilvl w:val="0"/>
          <w:numId w:val="6"/>
        </w:numPr>
        <w:spacing w:after="120"/>
        <w:ind w:left="1077" w:hanging="357"/>
        <w:contextualSpacing w:val="0"/>
      </w:pPr>
      <w:r>
        <w:t>e</w:t>
      </w:r>
      <w:r w:rsidR="00CF6768">
        <w:t xml:space="preserve">stimated annual operating </w:t>
      </w:r>
      <w:r w:rsidR="00B16CB5">
        <w:t>costs</w:t>
      </w:r>
      <w:r w:rsidR="00CF6768">
        <w:t xml:space="preserve"> if the project were to proceed</w:t>
      </w:r>
    </w:p>
    <w:p w:rsidR="00CF6768" w:rsidRDefault="00880651" w:rsidP="00CF6768">
      <w:pPr>
        <w:pStyle w:val="ListParagraph"/>
        <w:numPr>
          <w:ilvl w:val="0"/>
          <w:numId w:val="6"/>
        </w:numPr>
        <w:spacing w:after="120"/>
        <w:ind w:left="1077" w:hanging="357"/>
        <w:contextualSpacing w:val="0"/>
      </w:pPr>
      <w:r>
        <w:t>e</w:t>
      </w:r>
      <w:r w:rsidR="00CF6768">
        <w:t>stimated annual production volumes, product prices and estimated annual</w:t>
      </w:r>
      <w:r w:rsidR="00B16CB5">
        <w:t xml:space="preserve"> revenues from sales of product</w:t>
      </w:r>
      <w:r w:rsidR="00CF6768">
        <w:t xml:space="preserve"> if the project were to proceed</w:t>
      </w:r>
    </w:p>
    <w:p w:rsidR="00CF6768" w:rsidRDefault="00880651" w:rsidP="00CF6768">
      <w:pPr>
        <w:pStyle w:val="ListParagraph"/>
        <w:numPr>
          <w:ilvl w:val="0"/>
          <w:numId w:val="6"/>
        </w:numPr>
        <w:spacing w:after="120"/>
        <w:ind w:left="1077" w:hanging="357"/>
        <w:contextualSpacing w:val="0"/>
      </w:pPr>
      <w:r>
        <w:t>e</w:t>
      </w:r>
      <w:r w:rsidR="00CF6768">
        <w:t>stimated annual resource taxation payable (royalty etc.)</w:t>
      </w:r>
    </w:p>
    <w:p w:rsidR="00CF6768" w:rsidRDefault="00880651" w:rsidP="00CF6768">
      <w:pPr>
        <w:pStyle w:val="ListParagraph"/>
        <w:numPr>
          <w:ilvl w:val="0"/>
          <w:numId w:val="6"/>
        </w:numPr>
        <w:spacing w:after="120"/>
        <w:ind w:left="1077" w:hanging="357"/>
        <w:contextualSpacing w:val="0"/>
      </w:pPr>
      <w:r>
        <w:t>i</w:t>
      </w:r>
      <w:r w:rsidR="00CF6768">
        <w:t>nflation rates, exchange rates, depreciation and company tax provisions used in the financial analyses</w:t>
      </w:r>
    </w:p>
    <w:p w:rsidR="00CF6768" w:rsidRDefault="00880651" w:rsidP="00CF6768">
      <w:pPr>
        <w:pStyle w:val="ListParagraph"/>
        <w:numPr>
          <w:ilvl w:val="0"/>
          <w:numId w:val="6"/>
        </w:numPr>
        <w:spacing w:after="120"/>
        <w:ind w:left="1077" w:hanging="357"/>
        <w:contextualSpacing w:val="0"/>
      </w:pPr>
      <w:r>
        <w:t>a</w:t>
      </w:r>
      <w:r w:rsidR="00CF6768">
        <w:t>ll numbers should be clearly identified as either in nominal or real dollars</w:t>
      </w:r>
    </w:p>
    <w:p w:rsidR="00CF6768" w:rsidRDefault="00880651" w:rsidP="00CF6768">
      <w:pPr>
        <w:pStyle w:val="ListParagraph"/>
        <w:numPr>
          <w:ilvl w:val="0"/>
          <w:numId w:val="6"/>
        </w:numPr>
        <w:spacing w:after="120"/>
        <w:ind w:left="1077" w:hanging="357"/>
        <w:contextualSpacing w:val="0"/>
      </w:pPr>
      <w:r>
        <w:t>e</w:t>
      </w:r>
      <w:r w:rsidR="00CF6768">
        <w:t xml:space="preserve">stimated pre- and post-company tax </w:t>
      </w:r>
      <w:r w:rsidR="00DD27A3">
        <w:t xml:space="preserve">net present value (NPV) and </w:t>
      </w:r>
      <w:r w:rsidR="00CF6768">
        <w:t>internal rate of return (IRR) for the project and justification of</w:t>
      </w:r>
      <w:r w:rsidR="00B16CB5">
        <w:t xml:space="preserve"> the</w:t>
      </w:r>
      <w:r w:rsidR="00CF6768">
        <w:t xml:space="preserve"> minimum (or hurdle) rates of return or other criteria used to assess commerciality, including whether they reflect the level of risk for such a project and the degree of confidence (‘optimism’ or ‘pessimism’) associated with the other assumptions</w:t>
      </w:r>
    </w:p>
    <w:p w:rsidR="00CF6768" w:rsidRDefault="00880651" w:rsidP="00CF6768">
      <w:pPr>
        <w:pStyle w:val="ListParagraph"/>
        <w:numPr>
          <w:ilvl w:val="0"/>
          <w:numId w:val="6"/>
        </w:numPr>
        <w:spacing w:after="120"/>
        <w:ind w:left="1077" w:hanging="357"/>
        <w:contextualSpacing w:val="0"/>
      </w:pPr>
      <w:r>
        <w:t>w</w:t>
      </w:r>
      <w:r w:rsidR="00CF6768">
        <w:t xml:space="preserve">here that </w:t>
      </w:r>
      <w:r w:rsidR="000C4DA8">
        <w:t xml:space="preserve">the economic </w:t>
      </w:r>
      <w:proofErr w:type="spellStart"/>
      <w:r w:rsidR="000C4DA8">
        <w:t>paramter</w:t>
      </w:r>
      <w:proofErr w:type="spellEnd"/>
      <w:r w:rsidR="00CF6768">
        <w:t xml:space="preserve"> is sufficient for the project to proceed under prevailing market conditions, evidence that there are other factors preventing commercial development of the discovery (e.g. market issues)</w:t>
      </w:r>
    </w:p>
    <w:p w:rsidR="00CF6768" w:rsidRDefault="00880651" w:rsidP="00CF6768">
      <w:pPr>
        <w:pStyle w:val="ListParagraph"/>
        <w:numPr>
          <w:ilvl w:val="0"/>
          <w:numId w:val="6"/>
        </w:numPr>
        <w:spacing w:after="120"/>
        <w:ind w:left="1077" w:hanging="357"/>
        <w:contextualSpacing w:val="0"/>
      </w:pPr>
      <w:r>
        <w:t>i</w:t>
      </w:r>
      <w:r w:rsidR="00CF6768">
        <w:t>dentification of all relevant environmental and other factors that may impact on commerciality</w:t>
      </w:r>
    </w:p>
    <w:p w:rsidR="00CF6768" w:rsidRDefault="00880651" w:rsidP="00CF6768">
      <w:pPr>
        <w:pStyle w:val="ListParagraph"/>
        <w:numPr>
          <w:ilvl w:val="0"/>
          <w:numId w:val="6"/>
        </w:numPr>
        <w:spacing w:after="120"/>
        <w:ind w:left="1077" w:hanging="357"/>
        <w:contextualSpacing w:val="0"/>
      </w:pPr>
      <w:r>
        <w:t>t</w:t>
      </w:r>
      <w:r w:rsidR="00CF6768">
        <w:t xml:space="preserve">he treatment of secondary taxes (royalty and income </w:t>
      </w:r>
      <w:r>
        <w:t>tax) in the economic assessment</w:t>
      </w:r>
    </w:p>
    <w:p w:rsidR="00CF6768" w:rsidRDefault="00880651" w:rsidP="00CF6768">
      <w:pPr>
        <w:pStyle w:val="ListParagraph"/>
        <w:numPr>
          <w:ilvl w:val="0"/>
          <w:numId w:val="6"/>
        </w:numPr>
        <w:spacing w:after="120"/>
        <w:ind w:left="1077" w:hanging="357"/>
        <w:contextualSpacing w:val="0"/>
      </w:pPr>
      <w:r>
        <w:t>a</w:t>
      </w:r>
      <w:r w:rsidR="00CF6768">
        <w:t xml:space="preserve">ny other matter </w:t>
      </w:r>
      <w:r>
        <w:t>that</w:t>
      </w:r>
      <w:r w:rsidR="00CF6768">
        <w:t xml:space="preserve"> </w:t>
      </w:r>
      <w:r>
        <w:t>you</w:t>
      </w:r>
      <w:r w:rsidR="00CF6768">
        <w:t xml:space="preserve"> consider is relevant to the current commercial viability of the development of the discovery</w:t>
      </w:r>
      <w:r>
        <w:t>.</w:t>
      </w:r>
    </w:p>
    <w:p w:rsidR="00CF6768" w:rsidRDefault="008C590B" w:rsidP="008C590B">
      <w:pPr>
        <w:spacing w:after="120"/>
        <w:ind w:left="720"/>
      </w:pPr>
      <w:r>
        <w:t>You should e</w:t>
      </w:r>
      <w:r w:rsidR="00CF6768">
        <w:t>nsure that the basis of any model and assumptions used to assess the commercial viability can be justified and, where relevant, ensure the impacts of reasonable alternative assumptions and methodologies on the conclusions are assessed.</w:t>
      </w:r>
    </w:p>
    <w:p w:rsidR="00E00882" w:rsidRDefault="00BB6526" w:rsidP="00BB6526">
      <w:pPr>
        <w:pStyle w:val="Heading1"/>
      </w:pPr>
      <w:bookmarkStart w:id="5" w:name="_Toc526941802"/>
      <w:r>
        <w:t>Technical Work Program</w:t>
      </w:r>
      <w:bookmarkEnd w:id="5"/>
    </w:p>
    <w:p w:rsidR="00BB6526" w:rsidRDefault="0035335B" w:rsidP="00E00882">
      <w:pPr>
        <w:spacing w:after="120"/>
      </w:pPr>
      <w:r>
        <w:t xml:space="preserve">As you are expected to actively pursue the commercial viability of a field, you need to include in your application details of your work program </w:t>
      </w:r>
      <w:r w:rsidR="00880651">
        <w:t>detailing</w:t>
      </w:r>
      <w:r>
        <w:t xml:space="preserve"> your plans to do so, including the factors that are currently inhibiting the commercial development of the resource.</w:t>
      </w:r>
    </w:p>
    <w:p w:rsidR="00BB6526" w:rsidRDefault="0035335B" w:rsidP="00E00882">
      <w:pPr>
        <w:spacing w:after="120"/>
      </w:pPr>
      <w:r>
        <w:t>Your work plan may include:</w:t>
      </w:r>
    </w:p>
    <w:p w:rsidR="0035335B" w:rsidRDefault="00880651" w:rsidP="00880651">
      <w:pPr>
        <w:pStyle w:val="ListParagraph"/>
        <w:numPr>
          <w:ilvl w:val="0"/>
          <w:numId w:val="8"/>
        </w:numPr>
        <w:spacing w:after="120"/>
        <w:ind w:left="1077" w:hanging="357"/>
        <w:contextualSpacing w:val="0"/>
      </w:pPr>
      <w:r>
        <w:t>p</w:t>
      </w:r>
      <w:r w:rsidR="0035335B">
        <w:t>roject feasibility reports</w:t>
      </w:r>
    </w:p>
    <w:p w:rsidR="0035335B" w:rsidRDefault="00880651" w:rsidP="00880651">
      <w:pPr>
        <w:pStyle w:val="ListParagraph"/>
        <w:numPr>
          <w:ilvl w:val="0"/>
          <w:numId w:val="8"/>
        </w:numPr>
        <w:spacing w:after="120"/>
        <w:ind w:left="1077" w:hanging="357"/>
        <w:contextualSpacing w:val="0"/>
      </w:pPr>
      <w:r>
        <w:t>r</w:t>
      </w:r>
      <w:r w:rsidR="0035335B">
        <w:t>eports of reviews of exploration data</w:t>
      </w:r>
    </w:p>
    <w:p w:rsidR="0035335B" w:rsidRDefault="00880651" w:rsidP="00880651">
      <w:pPr>
        <w:pStyle w:val="ListParagraph"/>
        <w:numPr>
          <w:ilvl w:val="0"/>
          <w:numId w:val="8"/>
        </w:numPr>
        <w:spacing w:after="120"/>
        <w:ind w:left="1077" w:hanging="357"/>
        <w:contextualSpacing w:val="0"/>
      </w:pPr>
      <w:r>
        <w:lastRenderedPageBreak/>
        <w:t>p</w:t>
      </w:r>
      <w:r w:rsidR="0035335B">
        <w:t>roposals to undertake seismic surveys, drill wells and flow testing.</w:t>
      </w:r>
    </w:p>
    <w:p w:rsidR="0035335B" w:rsidRDefault="00135519" w:rsidP="00E00882">
      <w:pPr>
        <w:spacing w:after="120"/>
      </w:pPr>
      <w:r>
        <w:t>You</w:t>
      </w:r>
      <w:r w:rsidR="0046278C">
        <w:t xml:space="preserve"> should provide estimates of expenditure in nominal dollars.</w:t>
      </w:r>
    </w:p>
    <w:p w:rsidR="0046278C" w:rsidRDefault="0046278C" w:rsidP="00E00882">
      <w:pPr>
        <w:spacing w:after="120"/>
      </w:pPr>
      <w:r>
        <w:t>It is not necessary to include the years the work program activities wi</w:t>
      </w:r>
      <w:r w:rsidR="00135519">
        <w:t>ll be conducted, however the program must be completed and results analysed prior to lodging an application for renewal.</w:t>
      </w:r>
    </w:p>
    <w:p w:rsidR="00C12710" w:rsidRDefault="00C12710" w:rsidP="00E00882">
      <w:pPr>
        <w:spacing w:after="120"/>
      </w:pPr>
      <w:r>
        <w:t>You can apply to vary, suspend or waive your technical work program commitment however, unlike an exploration permit, you cannot apply for an extension.</w:t>
      </w:r>
    </w:p>
    <w:p w:rsidR="00C12710" w:rsidRDefault="00C12710" w:rsidP="00E00882">
      <w:pPr>
        <w:spacing w:after="120"/>
      </w:pPr>
      <w:r>
        <w:t>The time required to assess your application will depend on the complexity of the variation, suspension or waiver proposed and whether all necessary information has been provided.</w:t>
      </w:r>
    </w:p>
    <w:p w:rsidR="00BB6526" w:rsidRDefault="00BB6526" w:rsidP="00BB6526">
      <w:pPr>
        <w:pStyle w:val="Heading1"/>
      </w:pPr>
      <w:bookmarkStart w:id="6" w:name="_Toc526941803"/>
      <w:r>
        <w:t>Renewal of a Retention Licence</w:t>
      </w:r>
      <w:bookmarkEnd w:id="6"/>
    </w:p>
    <w:p w:rsidR="00DF3183" w:rsidRPr="001C3051" w:rsidRDefault="00DF3183" w:rsidP="00DF3183">
      <w:r>
        <w:t>You can apply to renew a retention licence</w:t>
      </w:r>
      <w:r w:rsidRPr="001C3051">
        <w:t xml:space="preserve"> bef</w:t>
      </w:r>
      <w:r>
        <w:t>ore it expires.</w:t>
      </w:r>
    </w:p>
    <w:p w:rsidR="00DF3183" w:rsidRPr="001C3051" w:rsidRDefault="00DF3183" w:rsidP="00DF3183">
      <w:r w:rsidRPr="001C3051">
        <w:t>You must apply between three and six months before the expiry date, although applications up to but no later than the expiry date may be accepted in some circumstances.</w:t>
      </w:r>
    </w:p>
    <w:p w:rsidR="00DF3183" w:rsidRPr="001C3051" w:rsidRDefault="00DF3183" w:rsidP="00DF3183">
      <w:r w:rsidRPr="001C3051">
        <w:t xml:space="preserve">The </w:t>
      </w:r>
      <w:r>
        <w:t>licence</w:t>
      </w:r>
      <w:r w:rsidRPr="001C3051">
        <w:t xml:space="preserve"> will lapse if you don't submit a renewal application before the end of its term.</w:t>
      </w:r>
    </w:p>
    <w:p w:rsidR="00DF3183" w:rsidRDefault="00DF3183" w:rsidP="00DF3183">
      <w:r w:rsidRPr="001C3051">
        <w:t xml:space="preserve">Once you have applied to renew a </w:t>
      </w:r>
      <w:r>
        <w:t>licence</w:t>
      </w:r>
      <w:r w:rsidRPr="001C3051">
        <w:t xml:space="preserve">, the existing </w:t>
      </w:r>
      <w:r>
        <w:t>licence will</w:t>
      </w:r>
      <w:r w:rsidRPr="001C3051">
        <w:t xml:space="preserve"> re</w:t>
      </w:r>
      <w:r>
        <w:t>main</w:t>
      </w:r>
      <w:r w:rsidRPr="001C3051">
        <w:t xml:space="preserve"> valid until the department makes a decision about the renewal.</w:t>
      </w:r>
    </w:p>
    <w:p w:rsidR="00BB6526" w:rsidRDefault="00DF3183" w:rsidP="00E00882">
      <w:pPr>
        <w:spacing w:after="120"/>
      </w:pPr>
      <w:r>
        <w:t>Your renewal application should include:</w:t>
      </w:r>
    </w:p>
    <w:p w:rsidR="00DF3183" w:rsidRDefault="00DF3183" w:rsidP="00880651">
      <w:pPr>
        <w:pStyle w:val="ListParagraph"/>
        <w:numPr>
          <w:ilvl w:val="0"/>
          <w:numId w:val="9"/>
        </w:numPr>
        <w:spacing w:after="120"/>
        <w:ind w:left="1077" w:hanging="357"/>
        <w:contextualSpacing w:val="0"/>
      </w:pPr>
      <w:r>
        <w:t>An analysis of the work undertaken and expenditure incurred during the licence term and details of the results</w:t>
      </w:r>
    </w:p>
    <w:p w:rsidR="00DF3183" w:rsidRDefault="00DF3183" w:rsidP="00880651">
      <w:pPr>
        <w:pStyle w:val="ListParagraph"/>
        <w:numPr>
          <w:ilvl w:val="0"/>
          <w:numId w:val="9"/>
        </w:numPr>
        <w:spacing w:after="120"/>
        <w:ind w:left="1077" w:hanging="357"/>
        <w:contextualSpacing w:val="0"/>
      </w:pPr>
      <w:r>
        <w:t>A statement of reasons stating why you have not applied for a production licence over the licence area</w:t>
      </w:r>
      <w:r w:rsidR="00AF5B47">
        <w:t>, including an economic assessment demonstrating that the discovery is not commercially viable</w:t>
      </w:r>
    </w:p>
    <w:p w:rsidR="00DF3183" w:rsidRDefault="00DF3183" w:rsidP="00880651">
      <w:pPr>
        <w:pStyle w:val="ListParagraph"/>
        <w:numPr>
          <w:ilvl w:val="0"/>
          <w:numId w:val="9"/>
        </w:numPr>
        <w:spacing w:after="120"/>
        <w:ind w:left="1077" w:hanging="357"/>
        <w:contextualSpacing w:val="0"/>
      </w:pPr>
      <w:r>
        <w:t>A technical work program for the renewal period</w:t>
      </w:r>
    </w:p>
    <w:p w:rsidR="00DF3183" w:rsidRDefault="00DF3183" w:rsidP="00880651">
      <w:pPr>
        <w:pStyle w:val="ListParagraph"/>
        <w:numPr>
          <w:ilvl w:val="0"/>
          <w:numId w:val="9"/>
        </w:numPr>
        <w:spacing w:after="120"/>
        <w:ind w:left="1077" w:hanging="357"/>
        <w:contextualSpacing w:val="0"/>
      </w:pPr>
      <w:r>
        <w:t>Any other information you think will support the assessment of your application</w:t>
      </w:r>
      <w:r w:rsidR="00880651">
        <w:t>.</w:t>
      </w:r>
    </w:p>
    <w:p w:rsidR="00DF3183" w:rsidRDefault="00DF3183" w:rsidP="00DF3183">
      <w:pPr>
        <w:spacing w:after="120"/>
        <w:ind w:left="720"/>
      </w:pPr>
      <w:r>
        <w:t>You may be asked to provide additional information to support your application.</w:t>
      </w:r>
    </w:p>
    <w:p w:rsidR="00AF5B47" w:rsidRPr="0068114B" w:rsidRDefault="00893164" w:rsidP="00DF3183">
      <w:pPr>
        <w:spacing w:after="120"/>
        <w:ind w:left="720"/>
      </w:pPr>
      <w:r>
        <w:t>Your c</w:t>
      </w:r>
      <w:r w:rsidR="00AF5B47">
        <w:t xml:space="preserve">ompliance with the conditions of </w:t>
      </w:r>
      <w:r>
        <w:t>your</w:t>
      </w:r>
      <w:r w:rsidR="00AF5B47">
        <w:t xml:space="preserve"> previous retention licence, the legislation and any direct</w:t>
      </w:r>
      <w:r>
        <w:t>ions issued to you will be taken into account when considering whether to grant a renewal or not</w:t>
      </w:r>
      <w:r w:rsidR="00AF5B47">
        <w:t>.</w:t>
      </w:r>
    </w:p>
    <w:p w:rsidR="00B879E4" w:rsidRPr="0068114B" w:rsidRDefault="00B879E4" w:rsidP="00E01348">
      <w:pPr>
        <w:pStyle w:val="Heading1"/>
      </w:pPr>
      <w:bookmarkStart w:id="7" w:name="_Toc526941804"/>
      <w:r w:rsidRPr="0068114B">
        <w:t>Related legislation</w:t>
      </w:r>
      <w:bookmarkEnd w:id="7"/>
    </w:p>
    <w:p w:rsidR="00A33178" w:rsidRPr="00E02210" w:rsidRDefault="00C13E02" w:rsidP="00880651">
      <w:pPr>
        <w:pStyle w:val="ListParagraph"/>
        <w:numPr>
          <w:ilvl w:val="0"/>
          <w:numId w:val="3"/>
        </w:numPr>
        <w:spacing w:after="120"/>
        <w:ind w:left="1077" w:hanging="357"/>
        <w:contextualSpacing w:val="0"/>
        <w:rPr>
          <w:i/>
        </w:rPr>
      </w:pPr>
      <w:hyperlink r:id="rId14" w:history="1">
        <w:r w:rsidR="00A33178" w:rsidRPr="00E02210">
          <w:rPr>
            <w:rStyle w:val="Hyperlink"/>
            <w:i/>
            <w:u w:val="none"/>
          </w:rPr>
          <w:t>Petroleum Act</w:t>
        </w:r>
      </w:hyperlink>
    </w:p>
    <w:p w:rsidR="00A33178" w:rsidRPr="00E02210" w:rsidRDefault="00C13E02" w:rsidP="00880651">
      <w:pPr>
        <w:pStyle w:val="ListParagraph"/>
        <w:numPr>
          <w:ilvl w:val="0"/>
          <w:numId w:val="3"/>
        </w:numPr>
        <w:spacing w:after="120"/>
        <w:ind w:left="1077" w:hanging="357"/>
        <w:contextualSpacing w:val="0"/>
      </w:pPr>
      <w:hyperlink r:id="rId15" w:history="1">
        <w:r w:rsidR="00A33178" w:rsidRPr="00E02210">
          <w:rPr>
            <w:rStyle w:val="Hyperlink"/>
            <w:u w:val="none"/>
          </w:rPr>
          <w:t>Petroleum Regulations</w:t>
        </w:r>
      </w:hyperlink>
    </w:p>
    <w:p w:rsidR="00B879E4" w:rsidRPr="0068114B" w:rsidRDefault="00B879E4" w:rsidP="00E01348">
      <w:pPr>
        <w:pStyle w:val="Heading1"/>
      </w:pPr>
      <w:bookmarkStart w:id="8" w:name="_Toc526941805"/>
      <w:r w:rsidRPr="0068114B">
        <w:t>Further information</w:t>
      </w:r>
      <w:bookmarkEnd w:id="8"/>
    </w:p>
    <w:p w:rsidR="00A33178" w:rsidRPr="00E01348" w:rsidRDefault="00A33178" w:rsidP="00A33178">
      <w:pPr>
        <w:rPr>
          <w:rStyle w:val="Hyperlink"/>
        </w:rPr>
      </w:pPr>
      <w:r w:rsidRPr="00E01348">
        <w:t xml:space="preserve">Email </w:t>
      </w:r>
      <w:hyperlink r:id="rId16" w:history="1">
        <w:r w:rsidRPr="00410B61">
          <w:rPr>
            <w:rStyle w:val="Hyperlink"/>
          </w:rPr>
          <w:t>petroleum.operations@nt.gov.au</w:t>
        </w:r>
      </w:hyperlink>
    </w:p>
    <w:p w:rsidR="00B25A81" w:rsidRPr="0068114B" w:rsidRDefault="00B25A81" w:rsidP="00E01348"/>
    <w:sectPr w:rsidR="00B25A81" w:rsidRPr="0068114B" w:rsidSect="00B25A81">
      <w:footerReference w:type="default" r:id="rId17"/>
      <w:pgSz w:w="11906" w:h="16838"/>
      <w:pgMar w:top="1375" w:right="1134" w:bottom="170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02" w:rsidRDefault="00C13E02" w:rsidP="00E01348">
      <w:r>
        <w:separator/>
      </w:r>
    </w:p>
  </w:endnote>
  <w:endnote w:type="continuationSeparator" w:id="0">
    <w:p w:rsidR="00C13E02" w:rsidRDefault="00C13E02" w:rsidP="00E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EB" w:rsidRPr="006414C4" w:rsidRDefault="000B744F" w:rsidP="006414C4">
    <w:pPr>
      <w:pStyle w:val="Footer"/>
      <w:rPr>
        <w:sz w:val="16"/>
        <w:szCs w:val="16"/>
      </w:rPr>
    </w:pPr>
    <w:r w:rsidRPr="006414C4">
      <w:rPr>
        <w:sz w:val="16"/>
        <w:szCs w:val="16"/>
      </w:rPr>
      <w:drawing>
        <wp:anchor distT="0" distB="0" distL="114300" distR="114300" simplePos="0" relativeHeight="251670528" behindDoc="1" locked="0" layoutInCell="1" allowOverlap="1" wp14:anchorId="1A405B9E" wp14:editId="1A405B9F">
          <wp:simplePos x="0" y="0"/>
          <wp:positionH relativeFrom="column">
            <wp:posOffset>4947585</wp:posOffset>
          </wp:positionH>
          <wp:positionV relativeFrom="paragraph">
            <wp:posOffset>222885</wp:posOffset>
          </wp:positionV>
          <wp:extent cx="1348740" cy="477520"/>
          <wp:effectExtent l="0" t="0" r="3810" b="0"/>
          <wp:wrapNone/>
          <wp:docPr id="6" name="Picture 6" descr="NTG Logo"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740" cy="477520"/>
                  </a:xfrm>
                  <a:prstGeom prst="rect">
                    <a:avLst/>
                  </a:prstGeom>
                </pic:spPr>
              </pic:pic>
            </a:graphicData>
          </a:graphic>
          <wp14:sizeRelH relativeFrom="page">
            <wp14:pctWidth>0</wp14:pctWidth>
          </wp14:sizeRelH>
          <wp14:sizeRelV relativeFrom="page">
            <wp14:pctHeight>0</wp14:pctHeight>
          </wp14:sizeRelV>
        </wp:anchor>
      </w:drawing>
    </w:r>
  </w:p>
  <w:p w:rsidR="005129EB" w:rsidRPr="006414C4" w:rsidRDefault="005129EB" w:rsidP="006414C4">
    <w:pPr>
      <w:pStyle w:val="Footer"/>
      <w:rPr>
        <w:sz w:val="16"/>
        <w:szCs w:val="16"/>
      </w:rPr>
    </w:pPr>
    <w:r w:rsidRPr="006414C4">
      <w:rPr>
        <w:sz w:val="16"/>
        <w:szCs w:val="16"/>
      </w:rPr>
      <w:t xml:space="preserve">DEPARTMENT OF </w:t>
    </w:r>
    <w:r w:rsidR="001A3E7D">
      <w:rPr>
        <w:rFonts w:ascii="Lato Black" w:hAnsi="Lato Black"/>
        <w:sz w:val="16"/>
        <w:szCs w:val="16"/>
      </w:rPr>
      <w:t xml:space="preserve">PRIMARY INDUSTRY AND </w:t>
    </w:r>
    <w:r w:rsidR="003F6A34">
      <w:rPr>
        <w:rFonts w:ascii="Lato Black" w:hAnsi="Lato Black"/>
        <w:sz w:val="16"/>
        <w:szCs w:val="16"/>
      </w:rPr>
      <w:t>RESOURCES</w:t>
    </w:r>
  </w:p>
  <w:p w:rsidR="001D19D0" w:rsidRPr="006414C4" w:rsidRDefault="00C13E02" w:rsidP="006414C4">
    <w:pPr>
      <w:pStyle w:val="Footer"/>
      <w:rPr>
        <w:sz w:val="16"/>
        <w:szCs w:val="16"/>
      </w:rPr>
    </w:pPr>
    <w:sdt>
      <w:sdtPr>
        <w:rPr>
          <w:sz w:val="16"/>
          <w:szCs w:val="16"/>
        </w:rPr>
        <w:id w:val="-880628186"/>
        <w:docPartObj>
          <w:docPartGallery w:val="Page Numbers (Top of Page)"/>
          <w:docPartUnique/>
        </w:docPartObj>
      </w:sdtPr>
      <w:sdtEndPr/>
      <w:sdtContent>
        <w:r w:rsidR="005129EB" w:rsidRPr="006414C4">
          <w:rPr>
            <w:sz w:val="16"/>
            <w:szCs w:val="16"/>
          </w:rPr>
          <w:t xml:space="preserve">Page </w:t>
        </w:r>
        <w:r w:rsidR="005129EB" w:rsidRPr="006414C4">
          <w:rPr>
            <w:sz w:val="16"/>
            <w:szCs w:val="16"/>
          </w:rPr>
          <w:fldChar w:fldCharType="begin"/>
        </w:r>
        <w:r w:rsidR="005129EB" w:rsidRPr="006414C4">
          <w:rPr>
            <w:sz w:val="16"/>
            <w:szCs w:val="16"/>
          </w:rPr>
          <w:instrText xml:space="preserve"> PAGE </w:instrText>
        </w:r>
        <w:r w:rsidR="005129EB" w:rsidRPr="006414C4">
          <w:rPr>
            <w:sz w:val="16"/>
            <w:szCs w:val="16"/>
          </w:rPr>
          <w:fldChar w:fldCharType="separate"/>
        </w:r>
        <w:r w:rsidR="002B6B68">
          <w:rPr>
            <w:sz w:val="16"/>
            <w:szCs w:val="16"/>
          </w:rPr>
          <w:t>1</w:t>
        </w:r>
        <w:r w:rsidR="005129EB" w:rsidRPr="006414C4">
          <w:rPr>
            <w:sz w:val="16"/>
            <w:szCs w:val="16"/>
          </w:rPr>
          <w:fldChar w:fldCharType="end"/>
        </w:r>
        <w:r w:rsidR="005129EB" w:rsidRPr="006414C4">
          <w:rPr>
            <w:sz w:val="16"/>
            <w:szCs w:val="16"/>
          </w:rPr>
          <w:t xml:space="preserve"> of </w:t>
        </w:r>
        <w:r w:rsidR="005129EB" w:rsidRPr="006414C4">
          <w:rPr>
            <w:sz w:val="16"/>
            <w:szCs w:val="16"/>
          </w:rPr>
          <w:fldChar w:fldCharType="begin"/>
        </w:r>
        <w:r w:rsidR="005129EB" w:rsidRPr="006414C4">
          <w:rPr>
            <w:sz w:val="16"/>
            <w:szCs w:val="16"/>
          </w:rPr>
          <w:instrText xml:space="preserve"> NUMPAGES  </w:instrText>
        </w:r>
        <w:r w:rsidR="005129EB" w:rsidRPr="006414C4">
          <w:rPr>
            <w:sz w:val="16"/>
            <w:szCs w:val="16"/>
          </w:rPr>
          <w:fldChar w:fldCharType="separate"/>
        </w:r>
        <w:r w:rsidR="002B6B68">
          <w:rPr>
            <w:sz w:val="16"/>
            <w:szCs w:val="16"/>
          </w:rPr>
          <w:t>7</w:t>
        </w:r>
        <w:r w:rsidR="005129EB" w:rsidRPr="006414C4">
          <w:rPr>
            <w:sz w:val="16"/>
            <w:szCs w:val="16"/>
          </w:rPr>
          <w:fldChar w:fldCharType="end"/>
        </w:r>
      </w:sdtContent>
    </w:sdt>
    <w:r w:rsidR="005129EB" w:rsidRPr="006414C4">
      <w:rPr>
        <w:sz w:val="16"/>
        <w:szCs w:val="16"/>
      </w:rPr>
      <w:t xml:space="preserve"> </w:t>
    </w:r>
    <w:r w:rsidR="006414C4">
      <w:rPr>
        <w:sz w:val="16"/>
        <w:szCs w:val="16"/>
      </w:rPr>
      <w:t xml:space="preserve">          </w:t>
    </w:r>
    <w:r w:rsidR="00D37A26">
      <w:rPr>
        <w:sz w:val="16"/>
        <w:szCs w:val="16"/>
      </w:rPr>
      <w:t>5 October</w:t>
    </w:r>
    <w:r w:rsidR="00CF7214">
      <w:rPr>
        <w:sz w:val="16"/>
        <w:szCs w:val="16"/>
      </w:rPr>
      <w:t xml:space="preserve"> 2018, version </w:t>
    </w:r>
    <w:r w:rsidR="00D37A26">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81" w:rsidRPr="006414C4" w:rsidRDefault="001A3E7D" w:rsidP="006414C4">
    <w:pPr>
      <w:pStyle w:val="Footer2"/>
    </w:pPr>
    <w:r>
      <w:t>DEPARTMENT OF</w:t>
    </w:r>
    <w:r>
      <w:rPr>
        <w:rFonts w:ascii="Lato Black" w:hAnsi="Lato Black"/>
      </w:rPr>
      <w:t xml:space="preserve"> PRIMARY INDUSTRY AND </w:t>
    </w:r>
    <w:r w:rsidR="003F6A34">
      <w:rPr>
        <w:rFonts w:ascii="Lato Black" w:hAnsi="Lato Black"/>
      </w:rPr>
      <w:t>RESOURCES</w:t>
    </w:r>
  </w:p>
  <w:p w:rsidR="00B25A81" w:rsidRPr="006414C4" w:rsidRDefault="00C13E02" w:rsidP="006414C4">
    <w:pPr>
      <w:pStyle w:val="Footer2"/>
    </w:pPr>
    <w:sdt>
      <w:sdtPr>
        <w:id w:val="-2042661739"/>
        <w:docPartObj>
          <w:docPartGallery w:val="Page Numbers (Top of Page)"/>
          <w:docPartUnique/>
        </w:docPartObj>
      </w:sdtPr>
      <w:sdtEndPr/>
      <w:sdtContent>
        <w:r w:rsidR="00B25A81" w:rsidRPr="006414C4">
          <w:t xml:space="preserve">Page </w:t>
        </w:r>
        <w:r w:rsidR="00B25A81" w:rsidRPr="006414C4">
          <w:fldChar w:fldCharType="begin"/>
        </w:r>
        <w:r w:rsidR="00B25A81" w:rsidRPr="006414C4">
          <w:instrText xml:space="preserve"> PAGE </w:instrText>
        </w:r>
        <w:r w:rsidR="00B25A81" w:rsidRPr="006414C4">
          <w:fldChar w:fldCharType="separate"/>
        </w:r>
        <w:r w:rsidR="002B6B68">
          <w:t>7</w:t>
        </w:r>
        <w:r w:rsidR="00B25A81" w:rsidRPr="006414C4">
          <w:fldChar w:fldCharType="end"/>
        </w:r>
        <w:r w:rsidR="00B25A81" w:rsidRPr="006414C4">
          <w:t xml:space="preserve"> of </w:t>
        </w:r>
        <w:r w:rsidR="00B25A81" w:rsidRPr="006414C4">
          <w:fldChar w:fldCharType="begin"/>
        </w:r>
        <w:r w:rsidR="00B25A81" w:rsidRPr="006414C4">
          <w:instrText xml:space="preserve"> NUMPAGES  </w:instrText>
        </w:r>
        <w:r w:rsidR="00B25A81" w:rsidRPr="006414C4">
          <w:fldChar w:fldCharType="separate"/>
        </w:r>
        <w:r w:rsidR="002B6B68">
          <w:t>7</w:t>
        </w:r>
        <w:r w:rsidR="00B25A81" w:rsidRPr="006414C4">
          <w:fldChar w:fldCharType="end"/>
        </w:r>
        <w:r w:rsidR="006414C4" w:rsidRPr="006414C4">
          <w:t xml:space="preserve"> </w:t>
        </w:r>
        <w:r w:rsidR="006414C4">
          <w:t xml:space="preserve">          </w:t>
        </w:r>
      </w:sdtContent>
    </w:sdt>
    <w:r w:rsidR="00356F0A">
      <w:t xml:space="preserve"> </w:t>
    </w:r>
    <w:r w:rsidR="00D37A26">
      <w:t>5 October</w:t>
    </w:r>
    <w:r w:rsidR="00CF7214">
      <w:t xml:space="preserve"> 2018, version </w:t>
    </w:r>
    <w:r w:rsidR="00D37A26">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02" w:rsidRDefault="00C13E02" w:rsidP="00E01348">
      <w:r>
        <w:separator/>
      </w:r>
    </w:p>
  </w:footnote>
  <w:footnote w:type="continuationSeparator" w:id="0">
    <w:p w:rsidR="00C13E02" w:rsidRDefault="00C13E02" w:rsidP="00E01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18E2"/>
    <w:multiLevelType w:val="hybridMultilevel"/>
    <w:tmpl w:val="9B42B9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B17C2A"/>
    <w:multiLevelType w:val="hybridMultilevel"/>
    <w:tmpl w:val="3E800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763A3D"/>
    <w:multiLevelType w:val="hybridMultilevel"/>
    <w:tmpl w:val="C5AC0E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3994CF4"/>
    <w:multiLevelType w:val="hybridMultilevel"/>
    <w:tmpl w:val="27AE8BFA"/>
    <w:lvl w:ilvl="0" w:tplc="A8D8F434">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709B49A7"/>
    <w:multiLevelType w:val="hybridMultilevel"/>
    <w:tmpl w:val="D1FE9BD2"/>
    <w:lvl w:ilvl="0" w:tplc="525AC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ACF21E0"/>
    <w:multiLevelType w:val="hybridMultilevel"/>
    <w:tmpl w:val="8982D0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D56242C"/>
    <w:multiLevelType w:val="hybridMultilevel"/>
    <w:tmpl w:val="E2D21A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8"/>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D4"/>
    <w:rsid w:val="00011A0E"/>
    <w:rsid w:val="000410F0"/>
    <w:rsid w:val="000B744F"/>
    <w:rsid w:val="000C4DA8"/>
    <w:rsid w:val="000E20B1"/>
    <w:rsid w:val="000F0C32"/>
    <w:rsid w:val="001102F2"/>
    <w:rsid w:val="001226D7"/>
    <w:rsid w:val="00135519"/>
    <w:rsid w:val="001416E3"/>
    <w:rsid w:val="00165EEF"/>
    <w:rsid w:val="00167D47"/>
    <w:rsid w:val="00181660"/>
    <w:rsid w:val="001A3E7D"/>
    <w:rsid w:val="001C7954"/>
    <w:rsid w:val="001D19D0"/>
    <w:rsid w:val="001D5407"/>
    <w:rsid w:val="00213639"/>
    <w:rsid w:val="002155A1"/>
    <w:rsid w:val="002563A1"/>
    <w:rsid w:val="00264313"/>
    <w:rsid w:val="00276837"/>
    <w:rsid w:val="002877CA"/>
    <w:rsid w:val="002B68E9"/>
    <w:rsid w:val="002B6B68"/>
    <w:rsid w:val="00312DFA"/>
    <w:rsid w:val="003458A5"/>
    <w:rsid w:val="00345F19"/>
    <w:rsid w:val="0035335B"/>
    <w:rsid w:val="00356F0A"/>
    <w:rsid w:val="0038201C"/>
    <w:rsid w:val="00387556"/>
    <w:rsid w:val="003C03BC"/>
    <w:rsid w:val="003E5DB8"/>
    <w:rsid w:val="003F6A34"/>
    <w:rsid w:val="0042638E"/>
    <w:rsid w:val="004308E1"/>
    <w:rsid w:val="00462499"/>
    <w:rsid w:val="0046278C"/>
    <w:rsid w:val="00471240"/>
    <w:rsid w:val="00471F66"/>
    <w:rsid w:val="00495E23"/>
    <w:rsid w:val="004A6AE9"/>
    <w:rsid w:val="004A701A"/>
    <w:rsid w:val="004F3DD3"/>
    <w:rsid w:val="005129EB"/>
    <w:rsid w:val="005B2B13"/>
    <w:rsid w:val="005F3739"/>
    <w:rsid w:val="005F3F49"/>
    <w:rsid w:val="006414C4"/>
    <w:rsid w:val="006724BD"/>
    <w:rsid w:val="0068114B"/>
    <w:rsid w:val="006816AD"/>
    <w:rsid w:val="006E54AD"/>
    <w:rsid w:val="007223F8"/>
    <w:rsid w:val="007314F4"/>
    <w:rsid w:val="007319AA"/>
    <w:rsid w:val="00731D36"/>
    <w:rsid w:val="00745C62"/>
    <w:rsid w:val="0075422C"/>
    <w:rsid w:val="00757D5D"/>
    <w:rsid w:val="007A5A09"/>
    <w:rsid w:val="007F1CA7"/>
    <w:rsid w:val="007F2639"/>
    <w:rsid w:val="00822DE2"/>
    <w:rsid w:val="00842F46"/>
    <w:rsid w:val="00844BDF"/>
    <w:rsid w:val="008513BE"/>
    <w:rsid w:val="0086083A"/>
    <w:rsid w:val="00863189"/>
    <w:rsid w:val="00880651"/>
    <w:rsid w:val="00885C79"/>
    <w:rsid w:val="00893164"/>
    <w:rsid w:val="008A0E3A"/>
    <w:rsid w:val="008C590B"/>
    <w:rsid w:val="008E5022"/>
    <w:rsid w:val="008F1AF4"/>
    <w:rsid w:val="00903161"/>
    <w:rsid w:val="00923EA4"/>
    <w:rsid w:val="009271FD"/>
    <w:rsid w:val="00931514"/>
    <w:rsid w:val="00933789"/>
    <w:rsid w:val="00952924"/>
    <w:rsid w:val="00972982"/>
    <w:rsid w:val="00995DCD"/>
    <w:rsid w:val="009C325A"/>
    <w:rsid w:val="009E5740"/>
    <w:rsid w:val="00A15FEF"/>
    <w:rsid w:val="00A33178"/>
    <w:rsid w:val="00A435F1"/>
    <w:rsid w:val="00A455AF"/>
    <w:rsid w:val="00A60142"/>
    <w:rsid w:val="00A70A18"/>
    <w:rsid w:val="00AA06BE"/>
    <w:rsid w:val="00AA542C"/>
    <w:rsid w:val="00AC6656"/>
    <w:rsid w:val="00AF5B47"/>
    <w:rsid w:val="00B16CB5"/>
    <w:rsid w:val="00B203BE"/>
    <w:rsid w:val="00B25A81"/>
    <w:rsid w:val="00B5448D"/>
    <w:rsid w:val="00B74E36"/>
    <w:rsid w:val="00B76447"/>
    <w:rsid w:val="00B879E4"/>
    <w:rsid w:val="00B87E7B"/>
    <w:rsid w:val="00B942E3"/>
    <w:rsid w:val="00BA4691"/>
    <w:rsid w:val="00BA5CCC"/>
    <w:rsid w:val="00BB6526"/>
    <w:rsid w:val="00BD2708"/>
    <w:rsid w:val="00C10A65"/>
    <w:rsid w:val="00C12710"/>
    <w:rsid w:val="00C13E02"/>
    <w:rsid w:val="00C23305"/>
    <w:rsid w:val="00C30EB3"/>
    <w:rsid w:val="00C53CD1"/>
    <w:rsid w:val="00C559D5"/>
    <w:rsid w:val="00C62A53"/>
    <w:rsid w:val="00C76D59"/>
    <w:rsid w:val="00C845BE"/>
    <w:rsid w:val="00C872FA"/>
    <w:rsid w:val="00CB285D"/>
    <w:rsid w:val="00CF6768"/>
    <w:rsid w:val="00CF71AD"/>
    <w:rsid w:val="00CF7214"/>
    <w:rsid w:val="00D1204B"/>
    <w:rsid w:val="00D16FD6"/>
    <w:rsid w:val="00D37A26"/>
    <w:rsid w:val="00D453A3"/>
    <w:rsid w:val="00D61598"/>
    <w:rsid w:val="00D70C8A"/>
    <w:rsid w:val="00DD27A3"/>
    <w:rsid w:val="00DD2DC7"/>
    <w:rsid w:val="00DF3183"/>
    <w:rsid w:val="00DF6165"/>
    <w:rsid w:val="00E00882"/>
    <w:rsid w:val="00E01348"/>
    <w:rsid w:val="00E02210"/>
    <w:rsid w:val="00E315B3"/>
    <w:rsid w:val="00E34761"/>
    <w:rsid w:val="00E428D4"/>
    <w:rsid w:val="00E46ED2"/>
    <w:rsid w:val="00E47D40"/>
    <w:rsid w:val="00EA3D6E"/>
    <w:rsid w:val="00EB0BBD"/>
    <w:rsid w:val="00EC386F"/>
    <w:rsid w:val="00F35A16"/>
    <w:rsid w:val="00F822B7"/>
    <w:rsid w:val="00F842A6"/>
    <w:rsid w:val="00F969CB"/>
    <w:rsid w:val="00FB56D0"/>
    <w:rsid w:val="00FE07BC"/>
    <w:rsid w:val="00FF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B486AE60-561D-4EB1-9D44-F8325F0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48"/>
    <w:pPr>
      <w:spacing w:after="160" w:line="252" w:lineRule="auto"/>
      <w:ind w:left="709"/>
    </w:pPr>
    <w:rPr>
      <w:rFonts w:ascii="Lato" w:eastAsia="Times New Roman" w:hAnsi="Lato" w:cs="Arial"/>
      <w:szCs w:val="20"/>
      <w:lang w:eastAsia="en-AU"/>
    </w:rPr>
  </w:style>
  <w:style w:type="paragraph" w:styleId="Heading1">
    <w:name w:val="heading 1"/>
    <w:next w:val="Normal"/>
    <w:link w:val="Heading1Char"/>
    <w:uiPriority w:val="9"/>
    <w:qFormat/>
    <w:rsid w:val="00E01348"/>
    <w:pPr>
      <w:keepNext/>
      <w:tabs>
        <w:tab w:val="left" w:pos="720"/>
      </w:tabs>
      <w:spacing w:before="240" w:line="240" w:lineRule="auto"/>
      <w:ind w:left="720" w:hanging="720"/>
      <w:outlineLvl w:val="0"/>
    </w:pPr>
    <w:rPr>
      <w:rFonts w:ascii="Lato Black" w:hAnsi="Lato Black" w:cs="Arial"/>
      <w:b/>
      <w:sz w:val="36"/>
      <w:szCs w:val="36"/>
      <w:lang w:eastAsia="en-AU"/>
    </w:rPr>
  </w:style>
  <w:style w:type="paragraph" w:styleId="Heading2">
    <w:name w:val="heading 2"/>
    <w:next w:val="Normal"/>
    <w:link w:val="Heading2Char"/>
    <w:uiPriority w:val="9"/>
    <w:unhideWhenUsed/>
    <w:qFormat/>
    <w:rsid w:val="00D70C8A"/>
    <w:pPr>
      <w:keepNext/>
      <w:spacing w:before="360" w:after="60" w:line="240" w:lineRule="auto"/>
      <w:outlineLvl w:val="1"/>
    </w:pPr>
    <w:rPr>
      <w:rFonts w:ascii="Lato Black" w:hAnsi="Lato Black"/>
      <w:sz w:val="26"/>
      <w:szCs w:val="26"/>
      <w:lang w:eastAsia="en-AU"/>
    </w:rPr>
  </w:style>
  <w:style w:type="paragraph" w:styleId="Heading3">
    <w:name w:val="heading 3"/>
    <w:next w:val="Normal"/>
    <w:link w:val="Heading3Char"/>
    <w:uiPriority w:val="9"/>
    <w:unhideWhenUsed/>
    <w:qFormat/>
    <w:rsid w:val="00345F19"/>
    <w:pPr>
      <w:keepNext/>
      <w:keepLines/>
      <w:spacing w:before="320" w:after="60" w:line="240" w:lineRule="auto"/>
      <w:outlineLvl w:val="2"/>
    </w:pPr>
    <w:rPr>
      <w:rFonts w:ascii="Lato Black" w:eastAsiaTheme="majorEastAsia" w:hAnsi="Lato Black" w:cstheme="majorBidi"/>
      <w:b/>
      <w:bCs/>
      <w:color w:val="4F81BD" w:themeColor="accent1"/>
      <w:sz w:val="24"/>
      <w:szCs w:val="24"/>
    </w:rPr>
  </w:style>
  <w:style w:type="paragraph" w:styleId="Heading4">
    <w:name w:val="heading 4"/>
    <w:next w:val="Normal"/>
    <w:link w:val="Heading4Char"/>
    <w:uiPriority w:val="9"/>
    <w:unhideWhenUsed/>
    <w:qFormat/>
    <w:rsid w:val="00345F19"/>
    <w:pPr>
      <w:keepNext/>
      <w:keepLines/>
      <w:spacing w:before="320" w:after="60" w:line="240" w:lineRule="auto"/>
      <w:outlineLvl w:val="3"/>
    </w:pPr>
    <w:rPr>
      <w:rFonts w:ascii="Lato Black" w:eastAsiaTheme="majorEastAsia" w:hAnsi="Lato Black" w:cstheme="majorBidi"/>
      <w:b/>
      <w:bCs/>
      <w:iCs/>
      <w:color w:val="808080" w:themeColor="background1"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6414C4"/>
    <w:pPr>
      <w:pBdr>
        <w:top w:val="single" w:sz="8" w:space="15" w:color="auto"/>
      </w:pBdr>
      <w:tabs>
        <w:tab w:val="right" w:pos="9639"/>
        <w:tab w:val="right" w:pos="14459"/>
      </w:tabs>
      <w:spacing w:after="0" w:line="240" w:lineRule="auto"/>
      <w:ind w:left="-284" w:right="-340"/>
    </w:pPr>
    <w:rPr>
      <w:rFonts w:ascii="Lato" w:eastAsia="Times New Roman" w:hAnsi="Lato" w:cs="Times New Roman"/>
      <w:noProof/>
      <w:sz w:val="18"/>
      <w:szCs w:val="18"/>
      <w:lang w:eastAsia="en-AU"/>
    </w:rPr>
  </w:style>
  <w:style w:type="character" w:customStyle="1" w:styleId="FooterChar">
    <w:name w:val="Footer Char"/>
    <w:basedOn w:val="DefaultParagraphFont"/>
    <w:link w:val="Footer"/>
    <w:uiPriority w:val="99"/>
    <w:rsid w:val="006414C4"/>
    <w:rPr>
      <w:rFonts w:ascii="Lato" w:eastAsia="Times New Roman" w:hAnsi="Lato" w:cs="Times New Roman"/>
      <w:noProof/>
      <w:sz w:val="18"/>
      <w:szCs w:val="18"/>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6414C4"/>
    <w:pPr>
      <w:tabs>
        <w:tab w:val="left" w:pos="2805"/>
      </w:tabs>
      <w:autoSpaceDE w:val="0"/>
      <w:autoSpaceDN w:val="0"/>
      <w:adjustRightInd w:val="0"/>
      <w:spacing w:after="0" w:line="700" w:lineRule="atLeast"/>
      <w:textAlignment w:val="center"/>
    </w:pPr>
    <w:rPr>
      <w:rFonts w:ascii="Lato Black" w:hAnsi="Lato Black" w:cs="Lato Black"/>
      <w:color w:val="CB6015"/>
      <w:sz w:val="66"/>
      <w:szCs w:val="66"/>
      <w:lang w:val="en-GB"/>
    </w:rPr>
  </w:style>
  <w:style w:type="paragraph" w:customStyle="1" w:styleId="Subheading">
    <w:name w:val="Subheading"/>
    <w:uiPriority w:val="99"/>
    <w:rsid w:val="00CB285D"/>
    <w:pPr>
      <w:autoSpaceDE w:val="0"/>
      <w:autoSpaceDN w:val="0"/>
      <w:adjustRightInd w:val="0"/>
      <w:spacing w:after="0" w:line="700" w:lineRule="atLeast"/>
      <w:ind w:left="567"/>
      <w:textAlignment w:val="center"/>
    </w:pPr>
    <w:rPr>
      <w:rFonts w:ascii="Lato" w:hAnsi="Lato" w:cs="Lato Light"/>
      <w:color w:val="FFFFFF"/>
      <w:sz w:val="66"/>
      <w:szCs w:val="66"/>
      <w:lang w:val="en-GB"/>
    </w:rPr>
  </w:style>
  <w:style w:type="paragraph" w:styleId="NoSpacing">
    <w:name w:val="No Spacing"/>
    <w:uiPriority w:val="1"/>
    <w:qFormat/>
    <w:rsid w:val="006414C4"/>
    <w:pPr>
      <w:spacing w:after="0" w:line="240" w:lineRule="auto"/>
      <w:ind w:left="284"/>
    </w:pPr>
    <w:rPr>
      <w:rFonts w:ascii="Lato" w:eastAsia="Calibri" w:hAnsi="Lato" w:cs="Arial"/>
      <w:sz w:val="20"/>
      <w:szCs w:val="20"/>
    </w:rPr>
  </w:style>
  <w:style w:type="character" w:customStyle="1" w:styleId="Heading1Char">
    <w:name w:val="Heading 1 Char"/>
    <w:basedOn w:val="DefaultParagraphFont"/>
    <w:link w:val="Heading1"/>
    <w:uiPriority w:val="9"/>
    <w:rsid w:val="00E01348"/>
    <w:rPr>
      <w:rFonts w:ascii="Lato Black" w:hAnsi="Lato Black" w:cs="Arial"/>
      <w:b/>
      <w:sz w:val="36"/>
      <w:szCs w:val="36"/>
      <w:lang w:eastAsia="en-AU"/>
    </w:rPr>
  </w:style>
  <w:style w:type="character" w:customStyle="1" w:styleId="Heading2Char">
    <w:name w:val="Heading 2 Char"/>
    <w:basedOn w:val="DefaultParagraphFont"/>
    <w:link w:val="Heading2"/>
    <w:uiPriority w:val="9"/>
    <w:rsid w:val="00D70C8A"/>
    <w:rPr>
      <w:rFonts w:ascii="Lato Black" w:hAnsi="Lato Black"/>
      <w:sz w:val="26"/>
      <w:szCs w:val="26"/>
      <w:lang w:eastAsia="en-AU"/>
    </w:rPr>
  </w:style>
  <w:style w:type="character" w:customStyle="1" w:styleId="Heading3Char">
    <w:name w:val="Heading 3 Char"/>
    <w:basedOn w:val="DefaultParagraphFont"/>
    <w:link w:val="Heading3"/>
    <w:uiPriority w:val="9"/>
    <w:rsid w:val="00345F19"/>
    <w:rPr>
      <w:rFonts w:ascii="Lato Black" w:eastAsiaTheme="majorEastAsia" w:hAnsi="Lato Black" w:cstheme="majorBidi"/>
      <w:b/>
      <w:bCs/>
      <w:color w:val="4F81BD" w:themeColor="accent1"/>
      <w:sz w:val="24"/>
      <w:szCs w:val="24"/>
    </w:rPr>
  </w:style>
  <w:style w:type="character" w:customStyle="1" w:styleId="Heading4Char">
    <w:name w:val="Heading 4 Char"/>
    <w:basedOn w:val="DefaultParagraphFont"/>
    <w:link w:val="Heading4"/>
    <w:uiPriority w:val="9"/>
    <w:rsid w:val="00345F19"/>
    <w:rPr>
      <w:rFonts w:ascii="Lato Black" w:eastAsiaTheme="majorEastAsia" w:hAnsi="Lato Black" w:cstheme="majorBidi"/>
      <w:b/>
      <w:bCs/>
      <w:iCs/>
      <w:color w:val="808080" w:themeColor="background1" w:themeShade="80"/>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character" w:styleId="Hyperlink">
    <w:name w:val="Hyperlink"/>
    <w:uiPriority w:val="99"/>
    <w:rsid w:val="004F3DD3"/>
    <w:rPr>
      <w:color w:val="0000FF"/>
      <w:u w:val="single"/>
    </w:rPr>
  </w:style>
  <w:style w:type="table" w:styleId="TableGrid">
    <w:name w:val="Table Grid"/>
    <w:basedOn w:val="TableNormal"/>
    <w:uiPriority w:val="59"/>
    <w:rsid w:val="004F3D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F3DD3"/>
    <w:pPr>
      <w:tabs>
        <w:tab w:val="left" w:pos="720"/>
        <w:tab w:val="right" w:leader="dot" w:pos="9060"/>
      </w:tabs>
      <w:spacing w:before="240" w:after="120" w:line="240" w:lineRule="auto"/>
    </w:pPr>
    <w:rPr>
      <w:rFonts w:ascii="Arial" w:hAnsi="Arial"/>
      <w:b/>
      <w:szCs w:val="24"/>
    </w:rPr>
  </w:style>
  <w:style w:type="paragraph" w:styleId="TOCHeading">
    <w:name w:val="TOC Heading"/>
    <w:basedOn w:val="Heading1"/>
    <w:next w:val="Normal"/>
    <w:uiPriority w:val="39"/>
    <w:unhideWhenUsed/>
    <w:qFormat/>
    <w:rsid w:val="004F3DD3"/>
    <w:pPr>
      <w:keepLines/>
      <w:spacing w:before="480" w:after="0" w:line="276" w:lineRule="auto"/>
      <w:outlineLvl w:val="9"/>
    </w:pPr>
    <w:rPr>
      <w:rFonts w:ascii="Arial" w:eastAsiaTheme="majorEastAsia" w:hAnsi="Arial" w:cstheme="majorBidi"/>
      <w:b w:val="0"/>
      <w:bCs/>
      <w:sz w:val="32"/>
      <w:szCs w:val="28"/>
      <w:lang w:val="en-US" w:eastAsia="ja-JP"/>
    </w:rPr>
  </w:style>
  <w:style w:type="paragraph" w:customStyle="1" w:styleId="DateVersion">
    <w:name w:val="Date &amp; Version"/>
    <w:next w:val="Normal"/>
    <w:rsid w:val="006414C4"/>
    <w:pPr>
      <w:spacing w:before="1400" w:line="240" w:lineRule="auto"/>
      <w:jc w:val="right"/>
    </w:pPr>
    <w:rPr>
      <w:rFonts w:ascii="Arial" w:eastAsia="Times New Roman" w:hAnsi="Arial" w:cs="Times New Roman"/>
      <w:sz w:val="28"/>
      <w:szCs w:val="20"/>
      <w:lang w:eastAsia="en-AU"/>
    </w:rPr>
  </w:style>
  <w:style w:type="paragraph" w:customStyle="1" w:styleId="Footer2">
    <w:name w:val="Footer2"/>
    <w:qFormat/>
    <w:rsid w:val="006414C4"/>
    <w:pPr>
      <w:spacing w:after="0" w:line="240" w:lineRule="auto"/>
    </w:pPr>
    <w:rPr>
      <w:rFonts w:ascii="Lato" w:eastAsia="Times New Roman" w:hAnsi="Lato" w:cs="Times New Roman"/>
      <w:noProof/>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etroleum.operations@nt.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islation.nt.gov.au/Legislation/PETROLEUM-REGULA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en/Legislation/PETROLEUM-A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uideline%20Template%20%5bExternal%20Us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39e3910c-c32f-4be3-b3a2-0936703878dc</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Department of Primary Industry and Resources</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451</Value>
      <Value>104</Value>
      <Value>19</Value>
      <Value>293</Value>
      <Value>505</Value>
    </TaxCatchAll>
    <_dlc_DocId xmlns="564b9e4e-37ca-486c-bb1e-eea7f9c9db13">92INTRANET-61-3183</_dlc_DocId>
    <_dlc_DocIdUrl xmlns="564b9e4e-37ca-486c-bb1e-eea7f9c9db13">
      <Url>http://intranet.dor.nt.gov.au/service-centre/_layouts/DocIdRedir.aspx?ID=92INTRANET-61-3183</Url>
      <Description>92INTRANET-61-3183</Description>
    </_dlc_DocIdUrl>
    <DLCPolicyLabelClientValue xmlns="d83430f0-8359-4395-9add-22baaf37beb6">Version: {_UIVersionString}</DLCPolicyLabelClientValue>
    <DLCPolicyLabelLock xmlns="d83430f0-8359-4395-9add-22baaf37beb6" xsi:nil="true"/>
    <DLCPolicyLabelValue xmlns="d83430f0-8359-4395-9add-22baaf37beb6">Version: 3.0</DLCPolicyLabelValue>
    <Division xmlns="d83430f0-8359-4395-9add-22baaf37beb6">Strategic Services</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42" ma:contentTypeDescription="Create a new document." ma:contentTypeScope="" ma:versionID="83e715c05fdd6e7de4a5adda239757a8">
  <xsd:schema xmlns:xsd="http://www.w3.org/2001/XMLSchema" xmlns:xs="http://www.w3.org/2001/XMLSchema" xmlns:p="http://schemas.microsoft.com/office/2006/metadata/properties" xmlns:ns1="http://schemas.microsoft.com/sharepoint/v3" xmlns:ns2="d83430f0-8359-4395-9add-22baaf37beb6" xmlns:ns3="http://schemas.microsoft.com/sharepoint/v4" xmlns:ns4="564b9e4e-37ca-486c-bb1e-eea7f9c9db13" xmlns:ns5="b67e3ff5-cc42-4af3-a392-aa7c502473c8" targetNamespace="http://schemas.microsoft.com/office/2006/metadata/properties" ma:root="true" ma:fieldsID="e56d2700fd5f9b286218947633600a20" ns1:_="" ns2:_="" ns3:_="" ns4:_="" ns5:_="">
    <xsd:import namespace="http://schemas.microsoft.com/sharepoint/v3"/>
    <xsd:import namespace="d83430f0-8359-4395-9add-22baaf37beb6"/>
    <xsd:import namespace="http://schemas.microsoft.com/sharepoint/v4"/>
    <xsd:import namespace="564b9e4e-37ca-486c-bb1e-eea7f9c9db13"/>
    <xsd:import namespace="b67e3ff5-cc42-4af3-a392-aa7c502473c8"/>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2:c722ddb066e7422890ee35619b8f9596" minOccurs="0"/>
                <xsd:element ref="ns2:i9872f54c486430e981ddaed50c94c00" minOccurs="0"/>
                <xsd:element ref="ns3:IconOverlay" minOccurs="0"/>
                <xsd:element ref="ns2:i3ed308eaa074b30a9b11df0211d5cef" minOccurs="0"/>
                <xsd:element ref="ns2:cb3ed5136ac742929884da01be409dee" minOccurs="0"/>
                <xsd:element ref="ns4:_dlc_DocId" minOccurs="0"/>
                <xsd:element ref="ns2:Core_x0020_Positions_ID" minOccurs="0"/>
                <xsd:element ref="ns4:_dlc_DocIdUrl" minOccurs="0"/>
                <xsd:element ref="ns4:_dlc_DocIdPersistId" minOccurs="0"/>
                <xsd:element ref="ns1:_dlc_Exempt" minOccurs="0"/>
                <xsd:element ref="ns2:DLCPolicyLabelValue" minOccurs="0"/>
                <xsd:element ref="ns2:DLCPolicyLabelClientValue" minOccurs="0"/>
                <xsd:element ref="ns2:DLCPolicyLabelLock" minOccurs="0"/>
                <xsd:element ref="ns5:TaxCatchAll" minOccurs="0"/>
                <xsd:element ref="ns5:TaxCatchAllLabel"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ma:readOnly="false">
      <xsd:simpleType>
        <xsd:restriction base="dms:Unknown"/>
      </xsd:simpleType>
    </xsd:element>
    <xsd:element name="PublishingExpirationDate" ma:index="12" nillable="true" ma:displayName="Scheduling End Date" ma:description="" ma:hidden="true" ma:internalName="PublishingExpirationDate" ma:readOnly="false">
      <xsd:simpleType>
        <xsd:restriction base="dms:Unknown"/>
      </xsd:simpleType>
    </xsd:element>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6"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8"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2"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4"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6"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element name="DLCPolicyLabelValue" ma:index="3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2" nillable="true" ma:displayName="Label Locked" ma:description="Indicates whether the label should be updated when item properties are modified." ma:hidden="true" ma:internalName="DLCPolicyLabelLock" ma:readOnly="false">
      <xsd:simpleType>
        <xsd:restriction base="dms:Text"/>
      </xsd:simpleType>
    </xsd:element>
    <xsd:element name="Division" ma:index="35" nillable="true" ma:displayName="Division" ma:default="Strategic Services" ma:format="Dropdown" ma:internalName="Division">
      <xsd:simpleType>
        <xsd:restriction base="dms:Choice">
          <xsd:enumeration value="Executive Services"/>
          <xsd:enumeration value="Strategic Services"/>
          <xsd:enumeration value="Infrastructure and Assets Services"/>
          <xsd:enumeration value="Emergency Management"/>
          <xsd:enumeration value="Corporate Communication"/>
          <xsd:enumeration value="Financial Services"/>
          <xsd:enumeration value="Human Resources/ Risk and Audit"/>
          <xsd:enumeration value="Information Management"/>
          <xsd:enumeration value="Information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368f0c3d-1fbd-4980-9ab7-9c6ee3b597b2}" ma:internalName="TaxCatchAllLabel" ma:readOnly="true" ma:showField="CatchAllDataLabel"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3E9D233C771AF0478503F87640D936DE|-2094414987" UniqueId="2355d4b9-e83b-4232-a96a-1d02a026b2b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696F-C898-4D45-9327-C60A7693673D}">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3DA07CE4-47AF-4F66-9661-B0682D88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http://schemas.microsoft.com/sharepoint/v4"/>
    <ds:schemaRef ds:uri="564b9e4e-37ca-486c-bb1e-eea7f9c9db13"/>
    <ds:schemaRef ds:uri="b67e3ff5-cc42-4af3-a392-aa7c5024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3BDA3-21B3-4738-BFB8-6B466D1CC71A}">
  <ds:schemaRefs>
    <ds:schemaRef ds:uri="http://schemas.microsoft.com/sharepoint/v3/contenttype/forms"/>
  </ds:schemaRefs>
</ds:datastoreItem>
</file>

<file path=customXml/itemProps4.xml><?xml version="1.0" encoding="utf-8"?>
<ds:datastoreItem xmlns:ds="http://schemas.openxmlformats.org/officeDocument/2006/customXml" ds:itemID="{9B8CB085-C4BD-4BD0-920E-EA30B6D3C302}">
  <ds:schemaRefs>
    <ds:schemaRef ds:uri="office.server.policy"/>
  </ds:schemaRefs>
</ds:datastoreItem>
</file>

<file path=customXml/itemProps5.xml><?xml version="1.0" encoding="utf-8"?>
<ds:datastoreItem xmlns:ds="http://schemas.openxmlformats.org/officeDocument/2006/customXml" ds:itemID="{3BB73D3A-B0A0-4367-940E-0DDD1C82D11D}">
  <ds:schemaRefs>
    <ds:schemaRef ds:uri="http://schemas.microsoft.com/sharepoint/events"/>
  </ds:schemaRefs>
</ds:datastoreItem>
</file>

<file path=customXml/itemProps6.xml><?xml version="1.0" encoding="utf-8"?>
<ds:datastoreItem xmlns:ds="http://schemas.openxmlformats.org/officeDocument/2006/customXml" ds:itemID="{6A82C9FB-93C3-4093-BFF2-CA480EC6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 [External Use].dotx</Template>
  <TotalTime>0</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Guideline for Applying for or Renewing a Retention Licence</vt:lpstr>
    </vt:vector>
  </TitlesOfParts>
  <Company>NTG</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Applying for or Renewing a Retention Licence</dc:title>
  <dc:creator>Northern Territory Government</dc:creator>
  <cp:lastModifiedBy>Nicola Kalmar</cp:lastModifiedBy>
  <cp:revision>2</cp:revision>
  <cp:lastPrinted>2019-01-15T01:36:00Z</cp:lastPrinted>
  <dcterms:created xsi:type="dcterms:W3CDTF">2019-01-17T02:07:00Z</dcterms:created>
  <dcterms:modified xsi:type="dcterms:W3CDTF">2019-01-17T02:07:00Z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0x0101003E9D233C771AF0478503F87640D936DE</vt:lpwstr>
  </property>
  <property fmtid="{D5CDD505-2E9C-101B-9397-08002B2CF9AE}" pid="3" name="_dlc_DocIdItemGuid">
    <vt:lpwstr>7a6d8597-6dfc-485d-a246-5ea82a414654</vt:lpwstr>
  </property>
  <property fmtid="{D5CDD505-2E9C-101B-9397-08002B2CF9AE}" pid="4" name="Section">
    <vt:lpwstr>104</vt:lpwstr>
  </property>
  <property fmtid="{D5CDD505-2E9C-101B-9397-08002B2CF9AE}" pid="5" name="Category">
    <vt:lpwstr>451</vt:lpwstr>
  </property>
  <property fmtid="{D5CDD505-2E9C-101B-9397-08002B2CF9AE}" pid="6" name="Document_x0020_Type">
    <vt:lpwstr>19;#Template|2cbd10d1-5f22-4f0d-b400-97412f160da9</vt:lpwstr>
  </property>
  <property fmtid="{D5CDD505-2E9C-101B-9397-08002B2CF9AE}" pid="7" name="Category0">
    <vt:lpwstr>505</vt:lpwstr>
  </property>
  <property fmtid="{D5CDD505-2E9C-101B-9397-08002B2CF9AE}" pid="8" name="Department">
    <vt:lpwstr>293;#Department of Primary Industry and Resources|39a2110d-6ad1-4371-9fe5-90585948bb85</vt:lpwstr>
  </property>
  <property fmtid="{D5CDD505-2E9C-101B-9397-08002B2CF9AE}" pid="9" name="Document Type">
    <vt:lpwstr>19</vt:lpwstr>
  </property>
  <property fmtid="{D5CDD505-2E9C-101B-9397-08002B2CF9AE}" pid="10" name="Order">
    <vt:r8>318300</vt:r8>
  </property>
</Properties>
</file>