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F52443" w:rsidRDefault="00AD7000" w:rsidP="005974B5">
      <w:pPr>
        <w:pStyle w:val="NTCrest"/>
      </w:pPr>
      <w:r w:rsidRPr="00F52443">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2B149F">
      <w:pPr>
        <w:pStyle w:val="Gazettenoanddate"/>
        <w:tabs>
          <w:tab w:val="left" w:pos="6521"/>
        </w:tabs>
        <w:ind w:right="-45"/>
        <w:jc w:val="both"/>
      </w:pPr>
      <w:bookmarkStart w:id="0" w:name="SenderStreetAddress"/>
      <w:bookmarkStart w:id="1" w:name="SenderStreetAddress1"/>
      <w:bookmarkStart w:id="2" w:name="RecipientName"/>
      <w:bookmarkStart w:id="3" w:name="Date"/>
      <w:bookmarkEnd w:id="0"/>
      <w:bookmarkEnd w:id="1"/>
      <w:bookmarkEnd w:id="2"/>
      <w:bookmarkEnd w:id="3"/>
      <w:r w:rsidRPr="00F52443">
        <w:t xml:space="preserve">No. </w:t>
      </w:r>
      <w:r w:rsidR="00B9162B" w:rsidRPr="00F52443">
        <w:t>S</w:t>
      </w:r>
      <w:r w:rsidR="00F5587A">
        <w:t>83</w:t>
      </w:r>
      <w:r w:rsidR="00053007" w:rsidRPr="00F52443">
        <w:tab/>
      </w:r>
      <w:r w:rsidR="00F5587A">
        <w:t>17</w:t>
      </w:r>
      <w:r w:rsidR="00B556FA">
        <w:t xml:space="preserve"> October</w:t>
      </w:r>
      <w:r w:rsidR="005B130E" w:rsidRPr="00F52443">
        <w:t xml:space="preserve"> 2018</w:t>
      </w:r>
    </w:p>
    <w:p w:rsidR="00D72FB4" w:rsidRPr="001F2D88" w:rsidRDefault="00D72FB4" w:rsidP="00FA4A06">
      <w:pPr>
        <w:tabs>
          <w:tab w:val="left" w:pos="8640"/>
        </w:tabs>
        <w:spacing w:before="480" w:after="0" w:line="360" w:lineRule="auto"/>
        <w:jc w:val="center"/>
        <w:rPr>
          <w:spacing w:val="-3"/>
        </w:rPr>
      </w:pPr>
      <w:bookmarkStart w:id="4" w:name="bkSelection"/>
      <w:bookmarkStart w:id="5" w:name="_GoBack"/>
      <w:bookmarkEnd w:id="4"/>
      <w:bookmarkEnd w:id="5"/>
      <w:r w:rsidRPr="00CE1DB8">
        <w:rPr>
          <w:spacing w:val="-3"/>
        </w:rPr>
        <w:t>Northern Territory of Australia</w:t>
      </w:r>
    </w:p>
    <w:p w:rsidR="00D72FB4" w:rsidRPr="004C196F" w:rsidRDefault="00D72FB4" w:rsidP="00D72FB4">
      <w:pPr>
        <w:spacing w:before="0" w:after="0" w:line="360" w:lineRule="auto"/>
        <w:jc w:val="center"/>
        <w:outlineLvl w:val="0"/>
        <w:rPr>
          <w:rFonts w:cs="Helvetica"/>
          <w:i/>
        </w:rPr>
      </w:pPr>
      <w:r>
        <w:rPr>
          <w:rFonts w:cs="Helvetica"/>
          <w:i/>
        </w:rPr>
        <w:t>Northern Territory Rates Act</w:t>
      </w:r>
    </w:p>
    <w:p w:rsidR="00D72FB4" w:rsidRPr="005D2BCA" w:rsidRDefault="00D72FB4" w:rsidP="00D72FB4">
      <w:pPr>
        <w:spacing w:before="0" w:after="0" w:line="360" w:lineRule="auto"/>
        <w:jc w:val="center"/>
        <w:rPr>
          <w:b/>
          <w:spacing w:val="-3"/>
        </w:rPr>
      </w:pPr>
      <w:r>
        <w:rPr>
          <w:b/>
          <w:spacing w:val="-3"/>
        </w:rPr>
        <w:t>Declaration of Rates</w:t>
      </w:r>
    </w:p>
    <w:p w:rsidR="00D72FB4" w:rsidRDefault="00D72FB4" w:rsidP="00FA4A06">
      <w:pPr>
        <w:spacing w:before="0" w:after="0" w:line="360" w:lineRule="auto"/>
        <w:jc w:val="both"/>
      </w:pPr>
      <w:r w:rsidRPr="00CE1DB8">
        <w:t xml:space="preserve">I, </w:t>
      </w:r>
      <w:r>
        <w:t>Gerald Francis McCarthy</w:t>
      </w:r>
      <w:r w:rsidRPr="00CE1DB8">
        <w:t xml:space="preserve">, </w:t>
      </w:r>
      <w:r>
        <w:t>Minister for Housing and Community Development, for the year commencing 1 July 2018:</w:t>
      </w:r>
    </w:p>
    <w:p w:rsidR="00D72FB4" w:rsidRDefault="00D72FB4" w:rsidP="00D72FB4">
      <w:pPr>
        <w:spacing w:before="120" w:after="0" w:line="360" w:lineRule="auto"/>
        <w:ind w:left="720" w:hanging="720"/>
        <w:jc w:val="both"/>
      </w:pPr>
      <w:r>
        <w:t>(a)</w:t>
      </w:r>
      <w:r>
        <w:tab/>
        <w:t xml:space="preserve">subject to paragraph (c), under section 13(1) of the </w:t>
      </w:r>
      <w:r>
        <w:rPr>
          <w:i/>
        </w:rPr>
        <w:t>Northern Territory Rates Act</w:t>
      </w:r>
      <w:r>
        <w:t>, declare a fixed charge of $510.00 and a valuation-based charge of 0.512 cents in the dollar to be the rate payable in respect of an allotment in the following zones:</w:t>
      </w:r>
    </w:p>
    <w:p w:rsidR="00D72FB4" w:rsidRDefault="00D72FB4" w:rsidP="00D72FB4">
      <w:pPr>
        <w:spacing w:before="120" w:after="0" w:line="360" w:lineRule="auto"/>
        <w:ind w:left="1418" w:hanging="709"/>
        <w:jc w:val="both"/>
      </w:pPr>
      <w:r>
        <w:t>(i)</w:t>
      </w:r>
      <w:r>
        <w:tab/>
        <w:t>Single Dwelling Residential;</w:t>
      </w:r>
    </w:p>
    <w:p w:rsidR="00D72FB4" w:rsidRDefault="00D72FB4" w:rsidP="00D72FB4">
      <w:pPr>
        <w:spacing w:before="120" w:after="0" w:line="360" w:lineRule="auto"/>
        <w:ind w:left="1418" w:hanging="709"/>
        <w:jc w:val="both"/>
      </w:pPr>
      <w:r>
        <w:t>(ii)</w:t>
      </w:r>
      <w:r>
        <w:tab/>
        <w:t>Multiple Dwelling Residential;</w:t>
      </w:r>
    </w:p>
    <w:p w:rsidR="00D72FB4" w:rsidRDefault="00D72FB4" w:rsidP="00D72FB4">
      <w:pPr>
        <w:spacing w:before="120" w:after="0" w:line="360" w:lineRule="auto"/>
        <w:ind w:left="1418" w:hanging="709"/>
        <w:jc w:val="both"/>
      </w:pPr>
      <w:r>
        <w:t>(iii)</w:t>
      </w:r>
      <w:r>
        <w:tab/>
        <w:t>Medium Density Residential; and</w:t>
      </w:r>
    </w:p>
    <w:p w:rsidR="00D72FB4" w:rsidRDefault="00D72FB4" w:rsidP="00D72FB4">
      <w:pPr>
        <w:spacing w:before="120" w:after="0" w:line="360" w:lineRule="auto"/>
        <w:ind w:left="720" w:hanging="720"/>
        <w:jc w:val="both"/>
      </w:pPr>
      <w:r>
        <w:t>(b)</w:t>
      </w:r>
      <w:r>
        <w:tab/>
        <w:t>subject to paragraph (c), under section 13(1) of the Act, declare a fixed charge of $510.00 and a valuation-based charge of 0.745 cents in the dollar to be the rate payable in respect of an allotment in the following zones:</w:t>
      </w:r>
    </w:p>
    <w:p w:rsidR="00D72FB4" w:rsidRDefault="00D72FB4" w:rsidP="00D72FB4">
      <w:pPr>
        <w:spacing w:before="120" w:after="0" w:line="360" w:lineRule="auto"/>
        <w:ind w:left="1418" w:hanging="709"/>
        <w:jc w:val="both"/>
      </w:pPr>
      <w:r>
        <w:t>(i)</w:t>
      </w:r>
      <w:r>
        <w:tab/>
        <w:t>Commercial;</w:t>
      </w:r>
    </w:p>
    <w:p w:rsidR="00D72FB4" w:rsidRDefault="00D72FB4" w:rsidP="00D72FB4">
      <w:pPr>
        <w:spacing w:before="120" w:after="0" w:line="360" w:lineRule="auto"/>
        <w:ind w:left="1418" w:hanging="709"/>
        <w:jc w:val="both"/>
      </w:pPr>
      <w:r>
        <w:t>(ii)</w:t>
      </w:r>
      <w:r>
        <w:tab/>
        <w:t>Service Commercial; and</w:t>
      </w:r>
    </w:p>
    <w:p w:rsidR="00D72FB4" w:rsidRDefault="00D72FB4" w:rsidP="001135ED">
      <w:pPr>
        <w:keepNext/>
        <w:keepLines/>
        <w:spacing w:before="120" w:after="0" w:line="360" w:lineRule="auto"/>
        <w:ind w:left="720" w:hanging="720"/>
        <w:jc w:val="both"/>
      </w:pPr>
      <w:r>
        <w:lastRenderedPageBreak/>
        <w:t>(c)</w:t>
      </w:r>
      <w:r>
        <w:tab/>
        <w:t>under section 13(1) of the Act, declare a fixed charge of $0.00 to be the rate payable in respect of an allotment:</w:t>
      </w:r>
    </w:p>
    <w:p w:rsidR="00D72FB4" w:rsidRDefault="00D72FB4" w:rsidP="001135ED">
      <w:pPr>
        <w:keepNext/>
        <w:keepLines/>
        <w:spacing w:before="120" w:after="0" w:line="360" w:lineRule="auto"/>
        <w:ind w:left="1418" w:hanging="709"/>
        <w:jc w:val="both"/>
      </w:pPr>
      <w:r>
        <w:t>(i)</w:t>
      </w:r>
      <w:r>
        <w:tab/>
        <w:t>created by the subdivision of:</w:t>
      </w:r>
    </w:p>
    <w:p w:rsidR="00D72FB4" w:rsidRDefault="00D72FB4" w:rsidP="00D72FB4">
      <w:pPr>
        <w:spacing w:before="120" w:after="0" w:line="360" w:lineRule="auto"/>
        <w:ind w:left="2127" w:hanging="709"/>
        <w:jc w:val="both"/>
      </w:pPr>
      <w:r>
        <w:t>(A)</w:t>
      </w:r>
      <w:r>
        <w:tab/>
        <w:t>Section 7349 Hundred of Bagot from plan(s) S2015/239A; or</w:t>
      </w:r>
    </w:p>
    <w:p w:rsidR="00D72FB4" w:rsidRDefault="00D72FB4" w:rsidP="00D72FB4">
      <w:pPr>
        <w:spacing w:before="120" w:after="0" w:line="360" w:lineRule="auto"/>
        <w:ind w:left="2127" w:hanging="709"/>
        <w:jc w:val="both"/>
      </w:pPr>
      <w:r>
        <w:t>(B)</w:t>
      </w:r>
      <w:r>
        <w:tab/>
        <w:t>Section 7348 Hundred of Bagot from plan(s) S2015/239B; and</w:t>
      </w:r>
    </w:p>
    <w:p w:rsidR="00D72FB4" w:rsidRDefault="00D72FB4" w:rsidP="00D72FB4">
      <w:pPr>
        <w:spacing w:before="120" w:after="0" w:line="360" w:lineRule="auto"/>
        <w:ind w:left="1418" w:hanging="709"/>
        <w:jc w:val="both"/>
      </w:pPr>
      <w:r>
        <w:t>(ii)</w:t>
      </w:r>
      <w:r>
        <w:tab/>
        <w:t>owned by the lessee of Crown Lease Term 2544; and</w:t>
      </w:r>
    </w:p>
    <w:p w:rsidR="00D72FB4" w:rsidRDefault="00D72FB4" w:rsidP="00D72FB4">
      <w:pPr>
        <w:spacing w:before="120" w:after="0" w:line="360" w:lineRule="auto"/>
        <w:ind w:left="720" w:hanging="720"/>
        <w:jc w:val="both"/>
      </w:pPr>
      <w:r>
        <w:t>(d)</w:t>
      </w:r>
      <w:r>
        <w:tab/>
        <w:t>under section 13(1) of the Act, declare a rate of 0.382435 cents in the dollar, which is a valuation-based charge, to be the rate payable in respect of an allotment other than an allotment specified in paragraphs</w:t>
      </w:r>
      <w:r w:rsidR="001135ED">
        <w:t> </w:t>
      </w:r>
      <w:r>
        <w:t>(a), (b) and (c); and</w:t>
      </w:r>
    </w:p>
    <w:p w:rsidR="00D72FB4" w:rsidRDefault="00D72FB4" w:rsidP="00D72FB4">
      <w:pPr>
        <w:spacing w:before="120" w:after="0" w:line="360" w:lineRule="auto"/>
        <w:ind w:left="720" w:hanging="720"/>
        <w:jc w:val="both"/>
      </w:pPr>
      <w:r>
        <w:t>(e)</w:t>
      </w:r>
      <w:r>
        <w:tab/>
        <w:t>under section 13(3) of the Act, declare the following minimum amounts that may be levied as a rate:</w:t>
      </w:r>
    </w:p>
    <w:p w:rsidR="00D72FB4" w:rsidRDefault="00D72FB4" w:rsidP="00D72FB4">
      <w:pPr>
        <w:spacing w:before="120" w:after="0" w:line="360" w:lineRule="auto"/>
        <w:ind w:left="1418" w:hanging="709"/>
        <w:jc w:val="both"/>
      </w:pPr>
      <w:r>
        <w:t>(i)</w:t>
      </w:r>
      <w:r>
        <w:tab/>
        <w:t>in respect of an allotment specified in paragraphs (a) and (b):</w:t>
      </w:r>
    </w:p>
    <w:p w:rsidR="00D72FB4" w:rsidRDefault="00D72FB4" w:rsidP="00D72FB4">
      <w:pPr>
        <w:spacing w:before="120" w:after="0" w:line="360" w:lineRule="auto"/>
        <w:ind w:left="2127" w:hanging="709"/>
        <w:jc w:val="both"/>
      </w:pPr>
      <w:r>
        <w:t>(A)</w:t>
      </w:r>
      <w:r>
        <w:tab/>
        <w:t>$1 197.00; or</w:t>
      </w:r>
    </w:p>
    <w:p w:rsidR="00D72FB4" w:rsidRDefault="00D72FB4" w:rsidP="00D72FB4">
      <w:pPr>
        <w:spacing w:before="120" w:after="0" w:line="360" w:lineRule="auto"/>
        <w:ind w:left="2127" w:hanging="709"/>
        <w:jc w:val="both"/>
      </w:pPr>
      <w:r>
        <w:t>(B)</w:t>
      </w:r>
      <w:r>
        <w:tab/>
        <w:t xml:space="preserve">if the allotment is divided into parts or units that are adapted </w:t>
      </w:r>
      <w:r w:rsidR="001135ED">
        <w:t xml:space="preserve">for separate occupation or use </w:t>
      </w:r>
      <w:r w:rsidR="001135ED">
        <w:noBreakHyphen/>
      </w:r>
      <w:r>
        <w:t xml:space="preserve"> $1 197.00 multiplied by the number of separate parts or units;</w:t>
      </w:r>
    </w:p>
    <w:p w:rsidR="00D72FB4" w:rsidRDefault="00D72FB4" w:rsidP="00D72FB4">
      <w:pPr>
        <w:keepNext/>
        <w:spacing w:before="120" w:after="0" w:line="360" w:lineRule="auto"/>
        <w:ind w:left="1418" w:hanging="709"/>
        <w:jc w:val="both"/>
      </w:pPr>
      <w:r>
        <w:t>(ii)</w:t>
      </w:r>
      <w:r>
        <w:tab/>
        <w:t>in respect of an allotment spe</w:t>
      </w:r>
      <w:r w:rsidR="001135ED">
        <w:t xml:space="preserve">cified in paragraph (c) </w:t>
      </w:r>
      <w:r w:rsidR="001135ED">
        <w:noBreakHyphen/>
      </w:r>
      <w:r>
        <w:t xml:space="preserve"> $0.00;</w:t>
      </w:r>
    </w:p>
    <w:p w:rsidR="00D72FB4" w:rsidRDefault="00D72FB4" w:rsidP="00D72FB4">
      <w:pPr>
        <w:keepNext/>
        <w:spacing w:before="120" w:after="0" w:line="360" w:lineRule="auto"/>
        <w:ind w:left="1418" w:hanging="709"/>
        <w:jc w:val="both"/>
      </w:pPr>
      <w:r>
        <w:t>(iii)</w:t>
      </w:r>
      <w:r>
        <w:tab/>
        <w:t>in respect of any other allotment:</w:t>
      </w:r>
    </w:p>
    <w:p w:rsidR="00D72FB4" w:rsidRDefault="00D72FB4" w:rsidP="00D72FB4">
      <w:pPr>
        <w:spacing w:before="120" w:after="0" w:line="360" w:lineRule="auto"/>
        <w:ind w:left="2127" w:hanging="709"/>
        <w:jc w:val="both"/>
      </w:pPr>
      <w:r>
        <w:t>(A)</w:t>
      </w:r>
      <w:r>
        <w:tab/>
        <w:t>$1 172.00; or</w:t>
      </w:r>
    </w:p>
    <w:p w:rsidR="00D72FB4" w:rsidRDefault="00D72FB4" w:rsidP="00D72FB4">
      <w:pPr>
        <w:spacing w:before="120" w:after="0" w:line="360" w:lineRule="auto"/>
        <w:ind w:left="2127" w:hanging="709"/>
        <w:jc w:val="both"/>
      </w:pPr>
      <w:r>
        <w:t>(B)</w:t>
      </w:r>
      <w:r>
        <w:tab/>
        <w:t xml:space="preserve">if the allotment is divided into parts or units that are adapted </w:t>
      </w:r>
      <w:r w:rsidR="001135ED">
        <w:t xml:space="preserve">for separate occupation or use </w:t>
      </w:r>
      <w:r w:rsidR="001135ED">
        <w:noBreakHyphen/>
      </w:r>
      <w:r>
        <w:t xml:space="preserve"> $1 172.00 multiplied by the number of separate parts or units; and</w:t>
      </w:r>
    </w:p>
    <w:p w:rsidR="00D72FB4" w:rsidRDefault="00D72FB4" w:rsidP="00FA4A06">
      <w:pPr>
        <w:pageBreakBefore/>
        <w:spacing w:before="120" w:after="0" w:line="360" w:lineRule="auto"/>
        <w:ind w:left="720" w:hanging="720"/>
        <w:jc w:val="both"/>
      </w:pPr>
      <w:r>
        <w:t>(f)</w:t>
      </w:r>
      <w:r>
        <w:tab/>
        <w:t>under section 14(1) of the Act, declare that the basis of calculation of the assessed value that applies to an allotment is the unimproved capital value of the allotment as it appears from the valuation roll.</w:t>
      </w:r>
    </w:p>
    <w:p w:rsidR="00D72FB4" w:rsidRPr="00CE1DB8" w:rsidRDefault="00D72FB4" w:rsidP="00D72FB4">
      <w:pPr>
        <w:spacing w:line="360" w:lineRule="auto"/>
      </w:pPr>
      <w:r w:rsidRPr="00CE1DB8">
        <w:t>Dated</w:t>
      </w:r>
      <w:r>
        <w:t xml:space="preserve"> 15 October 2018</w:t>
      </w:r>
    </w:p>
    <w:p w:rsidR="00D72FB4" w:rsidRPr="00CE1DB8" w:rsidRDefault="00D72FB4" w:rsidP="00D72FB4">
      <w:pPr>
        <w:tabs>
          <w:tab w:val="left" w:pos="8640"/>
        </w:tabs>
        <w:spacing w:after="0"/>
        <w:jc w:val="right"/>
        <w:rPr>
          <w:spacing w:val="-3"/>
        </w:rPr>
      </w:pPr>
      <w:r>
        <w:rPr>
          <w:spacing w:val="-3"/>
        </w:rPr>
        <w:lastRenderedPageBreak/>
        <w:t>G. F. McCarthy</w:t>
      </w:r>
    </w:p>
    <w:p w:rsidR="00D72FB4" w:rsidRPr="00CE1DB8" w:rsidRDefault="00D72FB4" w:rsidP="00D72FB4">
      <w:pPr>
        <w:tabs>
          <w:tab w:val="left" w:pos="8640"/>
        </w:tabs>
        <w:spacing w:before="0"/>
        <w:jc w:val="right"/>
        <w:rPr>
          <w:spacing w:val="-3"/>
        </w:rPr>
      </w:pPr>
      <w:r>
        <w:rPr>
          <w:spacing w:val="-3"/>
        </w:rPr>
        <w:t>Minister for Housing and Community Development</w:t>
      </w:r>
    </w:p>
    <w:p w:rsidR="00D72FB4" w:rsidRPr="001F2D88" w:rsidRDefault="00D72FB4" w:rsidP="00FA4A06">
      <w:pPr>
        <w:tabs>
          <w:tab w:val="left" w:pos="8640"/>
        </w:tabs>
        <w:spacing w:before="1680" w:after="0" w:line="360" w:lineRule="auto"/>
        <w:jc w:val="center"/>
        <w:rPr>
          <w:spacing w:val="-3"/>
        </w:rPr>
      </w:pPr>
      <w:r w:rsidRPr="00CE1DB8">
        <w:rPr>
          <w:spacing w:val="-3"/>
        </w:rPr>
        <w:t>Northern Territory of Australia</w:t>
      </w:r>
    </w:p>
    <w:p w:rsidR="00D72FB4" w:rsidRPr="004C196F" w:rsidRDefault="00D72FB4" w:rsidP="00D72FB4">
      <w:pPr>
        <w:spacing w:before="0" w:after="0" w:line="360" w:lineRule="auto"/>
        <w:jc w:val="center"/>
        <w:outlineLvl w:val="0"/>
        <w:rPr>
          <w:rFonts w:cs="Helvetica"/>
          <w:i/>
        </w:rPr>
      </w:pPr>
      <w:r>
        <w:rPr>
          <w:rFonts w:cs="Helvetica"/>
          <w:i/>
        </w:rPr>
        <w:t>Northern Territory Rates Act</w:t>
      </w:r>
    </w:p>
    <w:p w:rsidR="00D72FB4" w:rsidRPr="005D2BCA" w:rsidRDefault="00D72FB4" w:rsidP="00D72FB4">
      <w:pPr>
        <w:spacing w:before="0" w:after="0" w:line="360" w:lineRule="auto"/>
        <w:jc w:val="center"/>
        <w:rPr>
          <w:b/>
          <w:spacing w:val="-3"/>
        </w:rPr>
      </w:pPr>
      <w:r>
        <w:rPr>
          <w:b/>
          <w:spacing w:val="-3"/>
        </w:rPr>
        <w:t>Inspection of Rate Book</w:t>
      </w:r>
    </w:p>
    <w:p w:rsidR="00D72FB4" w:rsidRDefault="00D72FB4" w:rsidP="00D72FB4">
      <w:pPr>
        <w:spacing w:before="120" w:after="0" w:line="360" w:lineRule="auto"/>
        <w:jc w:val="both"/>
      </w:pPr>
      <w:r w:rsidRPr="00CE1DB8">
        <w:t xml:space="preserve">I, </w:t>
      </w:r>
      <w:r>
        <w:t>Gerald Francis McCarthy</w:t>
      </w:r>
      <w:r w:rsidRPr="00CE1DB8">
        <w:t xml:space="preserve">, </w:t>
      </w:r>
      <w:r>
        <w:t>Minister for Housing and Community Development</w:t>
      </w:r>
      <w:r w:rsidRPr="00CE1DB8">
        <w:t>, under section </w:t>
      </w:r>
      <w:r>
        <w:t xml:space="preserve">10(1)(b) </w:t>
      </w:r>
      <w:r w:rsidRPr="00CE1DB8">
        <w:t xml:space="preserve">of the </w:t>
      </w:r>
      <w:r>
        <w:rPr>
          <w:i/>
        </w:rPr>
        <w:t xml:space="preserve">Northern Territory Rates </w:t>
      </w:r>
      <w:r w:rsidRPr="00643A83">
        <w:rPr>
          <w:i/>
        </w:rPr>
        <w:t>Act</w:t>
      </w:r>
      <w:r w:rsidRPr="00CE1DB8">
        <w:t xml:space="preserve">, </w:t>
      </w:r>
      <w:r>
        <w:t>give notice that the rate book may be inspected at the following place between 9.00 am and 4.15 pm on any day except a Saturday, Sunday or public holiday:</w:t>
      </w:r>
    </w:p>
    <w:p w:rsidR="00D72FB4" w:rsidRDefault="00D72FB4" w:rsidP="001135ED">
      <w:pPr>
        <w:spacing w:before="120" w:after="0"/>
        <w:jc w:val="both"/>
      </w:pPr>
      <w:r>
        <w:tab/>
        <w:t xml:space="preserve">Department of </w:t>
      </w:r>
      <w:r w:rsidRPr="00266A97">
        <w:t>Housing and Community Development</w:t>
      </w:r>
    </w:p>
    <w:p w:rsidR="00D72FB4" w:rsidRPr="00F57D2F" w:rsidRDefault="00D72FB4" w:rsidP="001135ED">
      <w:pPr>
        <w:spacing w:before="120" w:after="0"/>
        <w:jc w:val="both"/>
      </w:pPr>
      <w:r>
        <w:tab/>
        <w:t>First Floor</w:t>
      </w:r>
      <w:r w:rsidRPr="00F57D2F">
        <w:t xml:space="preserve">, RCG </w:t>
      </w:r>
      <w:r>
        <w:t>Centre</w:t>
      </w:r>
    </w:p>
    <w:p w:rsidR="00D72FB4" w:rsidRPr="00F57D2F" w:rsidRDefault="00D72FB4" w:rsidP="001135ED">
      <w:pPr>
        <w:spacing w:before="120" w:after="0"/>
        <w:jc w:val="both"/>
      </w:pPr>
      <w:r>
        <w:tab/>
        <w:t>47 Mitchell</w:t>
      </w:r>
      <w:r w:rsidRPr="00F57D2F">
        <w:t xml:space="preserve"> Street</w:t>
      </w:r>
    </w:p>
    <w:p w:rsidR="00D72FB4" w:rsidRPr="00266A97" w:rsidRDefault="00D72FB4" w:rsidP="001135ED">
      <w:pPr>
        <w:spacing w:before="120" w:after="0"/>
        <w:jc w:val="both"/>
      </w:pPr>
      <w:r>
        <w:tab/>
      </w:r>
      <w:r w:rsidRPr="00F57D2F">
        <w:t>Darwin NT 0800</w:t>
      </w:r>
    </w:p>
    <w:p w:rsidR="00D72FB4" w:rsidRDefault="00D72FB4" w:rsidP="001135ED">
      <w:pPr>
        <w:spacing w:line="360" w:lineRule="auto"/>
      </w:pPr>
      <w:r w:rsidRPr="00CE1DB8">
        <w:t>Dated</w:t>
      </w:r>
      <w:r w:rsidR="004124F0">
        <w:t xml:space="preserve"> 15 October 2018</w:t>
      </w:r>
    </w:p>
    <w:p w:rsidR="004124F0" w:rsidRPr="00CE1DB8" w:rsidRDefault="004124F0" w:rsidP="004124F0">
      <w:pPr>
        <w:spacing w:before="240" w:after="0"/>
        <w:jc w:val="right"/>
      </w:pPr>
      <w:r>
        <w:t>G. F. McCarthy</w:t>
      </w:r>
    </w:p>
    <w:p w:rsidR="00D72FB4" w:rsidRPr="00CE1DB8" w:rsidRDefault="00D72FB4" w:rsidP="004124F0">
      <w:pPr>
        <w:tabs>
          <w:tab w:val="left" w:pos="8640"/>
        </w:tabs>
        <w:spacing w:before="0"/>
        <w:jc w:val="right"/>
        <w:rPr>
          <w:spacing w:val="-3"/>
        </w:rPr>
      </w:pPr>
      <w:r w:rsidRPr="00266A97">
        <w:t>Minister for Housing and Community Development</w:t>
      </w:r>
    </w:p>
    <w:p w:rsidR="00D72FB4" w:rsidRPr="001F2D88" w:rsidRDefault="00D72FB4" w:rsidP="00FA4A06">
      <w:pPr>
        <w:pageBreakBefore/>
        <w:tabs>
          <w:tab w:val="left" w:pos="8640"/>
        </w:tabs>
        <w:spacing w:before="1200" w:after="0" w:line="360" w:lineRule="auto"/>
        <w:jc w:val="center"/>
        <w:rPr>
          <w:spacing w:val="-3"/>
        </w:rPr>
      </w:pPr>
      <w:r w:rsidRPr="00CE1DB8">
        <w:rPr>
          <w:spacing w:val="-3"/>
        </w:rPr>
        <w:t>Northern Territory of Australia</w:t>
      </w:r>
    </w:p>
    <w:p w:rsidR="00D72FB4" w:rsidRPr="004C196F" w:rsidRDefault="00D72FB4" w:rsidP="004124F0">
      <w:pPr>
        <w:spacing w:before="0" w:after="0" w:line="360" w:lineRule="auto"/>
        <w:jc w:val="center"/>
        <w:outlineLvl w:val="0"/>
        <w:rPr>
          <w:rFonts w:cs="Helvetica"/>
          <w:i/>
        </w:rPr>
      </w:pPr>
      <w:r>
        <w:rPr>
          <w:rFonts w:cs="Helvetica"/>
          <w:i/>
        </w:rPr>
        <w:t>Northern Territory Rates Act</w:t>
      </w:r>
    </w:p>
    <w:p w:rsidR="00D72FB4" w:rsidRPr="005D2BCA" w:rsidRDefault="00D72FB4" w:rsidP="004124F0">
      <w:pPr>
        <w:spacing w:before="0" w:after="0" w:line="360" w:lineRule="auto"/>
        <w:jc w:val="center"/>
        <w:rPr>
          <w:b/>
          <w:spacing w:val="-3"/>
        </w:rPr>
      </w:pPr>
      <w:r>
        <w:rPr>
          <w:b/>
          <w:spacing w:val="-3"/>
        </w:rPr>
        <w:t>Interest Rate for Unpaid Rates</w:t>
      </w:r>
    </w:p>
    <w:p w:rsidR="00D72FB4" w:rsidRPr="00AF3C3D" w:rsidRDefault="00D72FB4" w:rsidP="00D72FB4">
      <w:pPr>
        <w:spacing w:line="360" w:lineRule="auto"/>
        <w:jc w:val="both"/>
      </w:pPr>
      <w:r w:rsidRPr="00CE1DB8">
        <w:t xml:space="preserve">I, </w:t>
      </w:r>
      <w:r w:rsidRPr="00266A97">
        <w:t>Gerald Francis McCarthy</w:t>
      </w:r>
      <w:r>
        <w:t xml:space="preserve">, </w:t>
      </w:r>
      <w:r w:rsidRPr="00266A97">
        <w:t>Minister for Housing and Community Developmen</w:t>
      </w:r>
      <w:r w:rsidRPr="002547CB">
        <w:t xml:space="preserve">t, </w:t>
      </w:r>
      <w:r>
        <w:t xml:space="preserve">under section 39(3) of the </w:t>
      </w:r>
      <w:r w:rsidRPr="00266A97">
        <w:rPr>
          <w:rFonts w:cs="Helvetica"/>
          <w:i/>
        </w:rPr>
        <w:t>Northern Territory Rates Act</w:t>
      </w:r>
      <w:r>
        <w:rPr>
          <w:rFonts w:cs="Helvetica"/>
        </w:rPr>
        <w:t xml:space="preserve">, fix the interest rate for an amount of an unpaid rate at 9.96% per annum </w:t>
      </w:r>
      <w:r w:rsidRPr="002547CB">
        <w:t>with effect on and from 21 October 2018</w:t>
      </w:r>
      <w:r>
        <w:rPr>
          <w:rFonts w:cs="Helvetica"/>
        </w:rPr>
        <w:t>.</w:t>
      </w:r>
    </w:p>
    <w:p w:rsidR="00D72FB4" w:rsidRPr="00CE1DB8" w:rsidRDefault="00D72FB4" w:rsidP="00D72FB4">
      <w:pPr>
        <w:spacing w:line="360" w:lineRule="auto"/>
      </w:pPr>
      <w:r w:rsidRPr="00CE1DB8">
        <w:t>Dated</w:t>
      </w:r>
      <w:r w:rsidR="000E6272">
        <w:t xml:space="preserve"> 15 October 2018</w:t>
      </w:r>
    </w:p>
    <w:p w:rsidR="00D72FB4" w:rsidRPr="00CE1DB8" w:rsidRDefault="000E6272" w:rsidP="00FA4A06">
      <w:pPr>
        <w:tabs>
          <w:tab w:val="left" w:pos="8640"/>
        </w:tabs>
        <w:spacing w:before="240" w:after="0"/>
        <w:jc w:val="right"/>
        <w:rPr>
          <w:spacing w:val="-3"/>
        </w:rPr>
      </w:pPr>
      <w:r>
        <w:rPr>
          <w:spacing w:val="-3"/>
        </w:rPr>
        <w:t>G. F. McCarthy</w:t>
      </w:r>
    </w:p>
    <w:p w:rsidR="00D72FB4" w:rsidRPr="00CE1DB8" w:rsidRDefault="00D72FB4" w:rsidP="000E6272">
      <w:pPr>
        <w:tabs>
          <w:tab w:val="left" w:pos="8640"/>
        </w:tabs>
        <w:spacing w:before="0"/>
        <w:jc w:val="right"/>
        <w:rPr>
          <w:spacing w:val="-3"/>
        </w:rPr>
      </w:pPr>
      <w:r w:rsidRPr="00811996">
        <w:rPr>
          <w:spacing w:val="-3"/>
        </w:rPr>
        <w:t>Minister for Housing and Community Development</w:t>
      </w:r>
    </w:p>
    <w:sectPr w:rsidR="00D72FB4" w:rsidRPr="00CE1DB8"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FA4A06">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D72FB4">
      <w:t>S83</w:t>
    </w:r>
    <w:r>
      <w:t xml:space="preserve">, </w:t>
    </w:r>
    <w:r w:rsidR="00D72FB4">
      <w:t>17</w:t>
    </w:r>
    <w:r w:rsidR="009F53D6">
      <w:t xml:space="preserve"> Octo</w:t>
    </w:r>
    <w:r w:rsidR="005833C9">
      <w:t>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pPr>
      <w:rPr>
        <w:rFonts w:hint="default"/>
        <w:spacing w:val="-1"/>
        <w:w w:val="95"/>
      </w:rPr>
    </w:lvl>
    <w:lvl w:ilvl="2" w:tplc="CAD63272">
      <w:start w:val="1"/>
      <w:numFmt w:val="lowerLetter"/>
      <w:lvlText w:val="(%3)"/>
      <w:lvlJc w:val="left"/>
      <w:pPr>
        <w:ind w:left="1786" w:hanging="664"/>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07463"/>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3E32"/>
    <w:rsid w:val="00034104"/>
    <w:rsid w:val="000342B8"/>
    <w:rsid w:val="00034591"/>
    <w:rsid w:val="0003471C"/>
    <w:rsid w:val="0003484F"/>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4FD1"/>
    <w:rsid w:val="000452B6"/>
    <w:rsid w:val="00046CB8"/>
    <w:rsid w:val="000470A9"/>
    <w:rsid w:val="000471DA"/>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87CA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B5F07"/>
    <w:rsid w:val="000C0D05"/>
    <w:rsid w:val="000C0DB6"/>
    <w:rsid w:val="000C144B"/>
    <w:rsid w:val="000C179D"/>
    <w:rsid w:val="000C1E94"/>
    <w:rsid w:val="000C1F6A"/>
    <w:rsid w:val="000C29AD"/>
    <w:rsid w:val="000C4217"/>
    <w:rsid w:val="000C65DA"/>
    <w:rsid w:val="000C7C49"/>
    <w:rsid w:val="000D0893"/>
    <w:rsid w:val="000D1935"/>
    <w:rsid w:val="000D1A6B"/>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272"/>
    <w:rsid w:val="000E62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5ED"/>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1385"/>
    <w:rsid w:val="00182661"/>
    <w:rsid w:val="0018366C"/>
    <w:rsid w:val="001843FD"/>
    <w:rsid w:val="001855B8"/>
    <w:rsid w:val="00185CF4"/>
    <w:rsid w:val="00186113"/>
    <w:rsid w:val="001866A6"/>
    <w:rsid w:val="001904CC"/>
    <w:rsid w:val="00192429"/>
    <w:rsid w:val="00194A82"/>
    <w:rsid w:val="00194CE0"/>
    <w:rsid w:val="00194F86"/>
    <w:rsid w:val="00196492"/>
    <w:rsid w:val="00196ACD"/>
    <w:rsid w:val="00196FEA"/>
    <w:rsid w:val="001973BB"/>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4FE7"/>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7F4"/>
    <w:rsid w:val="001F0B0A"/>
    <w:rsid w:val="001F2294"/>
    <w:rsid w:val="001F2F70"/>
    <w:rsid w:val="001F2FBD"/>
    <w:rsid w:val="001F3D16"/>
    <w:rsid w:val="001F4EBA"/>
    <w:rsid w:val="001F5132"/>
    <w:rsid w:val="001F5833"/>
    <w:rsid w:val="001F691D"/>
    <w:rsid w:val="001F6CDE"/>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3F9"/>
    <w:rsid w:val="002604EE"/>
    <w:rsid w:val="00262753"/>
    <w:rsid w:val="0026351C"/>
    <w:rsid w:val="002636CF"/>
    <w:rsid w:val="00264422"/>
    <w:rsid w:val="002647AE"/>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683"/>
    <w:rsid w:val="00285A62"/>
    <w:rsid w:val="00286926"/>
    <w:rsid w:val="00287A40"/>
    <w:rsid w:val="00291BA5"/>
    <w:rsid w:val="00291EB5"/>
    <w:rsid w:val="00292836"/>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149F"/>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E69F8"/>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4E94"/>
    <w:rsid w:val="0030592F"/>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5479"/>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918"/>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3240"/>
    <w:rsid w:val="003D418E"/>
    <w:rsid w:val="003D7578"/>
    <w:rsid w:val="003D787E"/>
    <w:rsid w:val="003D7FCE"/>
    <w:rsid w:val="003E0776"/>
    <w:rsid w:val="003E0C3C"/>
    <w:rsid w:val="003E1701"/>
    <w:rsid w:val="003E1B0E"/>
    <w:rsid w:val="003E277C"/>
    <w:rsid w:val="003E2881"/>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767"/>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24F0"/>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C9A"/>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49A"/>
    <w:rsid w:val="00461C70"/>
    <w:rsid w:val="00462107"/>
    <w:rsid w:val="00462D6F"/>
    <w:rsid w:val="00463D71"/>
    <w:rsid w:val="00463E5C"/>
    <w:rsid w:val="004643D9"/>
    <w:rsid w:val="00464657"/>
    <w:rsid w:val="0046562D"/>
    <w:rsid w:val="00465F92"/>
    <w:rsid w:val="00467B30"/>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C28"/>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24D"/>
    <w:rsid w:val="0053380C"/>
    <w:rsid w:val="00533DA3"/>
    <w:rsid w:val="00534735"/>
    <w:rsid w:val="00536CC5"/>
    <w:rsid w:val="00537DA8"/>
    <w:rsid w:val="005417C0"/>
    <w:rsid w:val="00541FB8"/>
    <w:rsid w:val="0054216C"/>
    <w:rsid w:val="00542507"/>
    <w:rsid w:val="00542D47"/>
    <w:rsid w:val="005430C6"/>
    <w:rsid w:val="00543D94"/>
    <w:rsid w:val="00545856"/>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C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5063"/>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376C"/>
    <w:rsid w:val="005C4707"/>
    <w:rsid w:val="005C4D27"/>
    <w:rsid w:val="005C5F71"/>
    <w:rsid w:val="005C65FE"/>
    <w:rsid w:val="005C71C1"/>
    <w:rsid w:val="005C7869"/>
    <w:rsid w:val="005C79AF"/>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3F8F"/>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3A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94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C1D"/>
    <w:rsid w:val="006717A0"/>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3CBF"/>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5D0D"/>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27FE0"/>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805"/>
    <w:rsid w:val="00751BB6"/>
    <w:rsid w:val="0075259F"/>
    <w:rsid w:val="00753207"/>
    <w:rsid w:val="007532AE"/>
    <w:rsid w:val="00755678"/>
    <w:rsid w:val="00755A4E"/>
    <w:rsid w:val="00755B11"/>
    <w:rsid w:val="00755E19"/>
    <w:rsid w:val="00756BF8"/>
    <w:rsid w:val="007572B1"/>
    <w:rsid w:val="00757A29"/>
    <w:rsid w:val="00757F3C"/>
    <w:rsid w:val="00761819"/>
    <w:rsid w:val="0076207B"/>
    <w:rsid w:val="00763E34"/>
    <w:rsid w:val="007642C3"/>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50E"/>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6F3"/>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244"/>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321"/>
    <w:rsid w:val="00833CB3"/>
    <w:rsid w:val="008357E8"/>
    <w:rsid w:val="0083586C"/>
    <w:rsid w:val="008377AB"/>
    <w:rsid w:val="008379C6"/>
    <w:rsid w:val="008400F2"/>
    <w:rsid w:val="008401EE"/>
    <w:rsid w:val="0084100D"/>
    <w:rsid w:val="0084299A"/>
    <w:rsid w:val="00844458"/>
    <w:rsid w:val="0084458A"/>
    <w:rsid w:val="00844CE9"/>
    <w:rsid w:val="00845931"/>
    <w:rsid w:val="00845C31"/>
    <w:rsid w:val="00847591"/>
    <w:rsid w:val="00850480"/>
    <w:rsid w:val="00852462"/>
    <w:rsid w:val="00852DEA"/>
    <w:rsid w:val="008537DF"/>
    <w:rsid w:val="00853D97"/>
    <w:rsid w:val="00853EF9"/>
    <w:rsid w:val="00854E12"/>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0BE"/>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19ED"/>
    <w:rsid w:val="008A203F"/>
    <w:rsid w:val="008A236A"/>
    <w:rsid w:val="008A27D6"/>
    <w:rsid w:val="008A33EA"/>
    <w:rsid w:val="008A3A28"/>
    <w:rsid w:val="008A3B4D"/>
    <w:rsid w:val="008A6280"/>
    <w:rsid w:val="008A6C74"/>
    <w:rsid w:val="008A7F6C"/>
    <w:rsid w:val="008B081B"/>
    <w:rsid w:val="008B1083"/>
    <w:rsid w:val="008B1A5F"/>
    <w:rsid w:val="008B1F83"/>
    <w:rsid w:val="008B2669"/>
    <w:rsid w:val="008B28E6"/>
    <w:rsid w:val="008B3688"/>
    <w:rsid w:val="008B3AF1"/>
    <w:rsid w:val="008B4206"/>
    <w:rsid w:val="008B6DC8"/>
    <w:rsid w:val="008B700B"/>
    <w:rsid w:val="008B71A8"/>
    <w:rsid w:val="008B7AB7"/>
    <w:rsid w:val="008B7EF2"/>
    <w:rsid w:val="008C02D8"/>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1DF"/>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5F72"/>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E7F32"/>
    <w:rsid w:val="009F02CB"/>
    <w:rsid w:val="009F2488"/>
    <w:rsid w:val="009F2A62"/>
    <w:rsid w:val="009F3E01"/>
    <w:rsid w:val="009F4319"/>
    <w:rsid w:val="009F53D6"/>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983"/>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11F8"/>
    <w:rsid w:val="00A92DF8"/>
    <w:rsid w:val="00A93205"/>
    <w:rsid w:val="00A93474"/>
    <w:rsid w:val="00A943DE"/>
    <w:rsid w:val="00A94864"/>
    <w:rsid w:val="00A954C2"/>
    <w:rsid w:val="00A95C0C"/>
    <w:rsid w:val="00A9601C"/>
    <w:rsid w:val="00A97479"/>
    <w:rsid w:val="00A97634"/>
    <w:rsid w:val="00A977FA"/>
    <w:rsid w:val="00AA04AB"/>
    <w:rsid w:val="00AA074C"/>
    <w:rsid w:val="00AA0B4B"/>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E7D57"/>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099"/>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6FA"/>
    <w:rsid w:val="00B55767"/>
    <w:rsid w:val="00B57A20"/>
    <w:rsid w:val="00B57A6D"/>
    <w:rsid w:val="00B6093D"/>
    <w:rsid w:val="00B61329"/>
    <w:rsid w:val="00B6206D"/>
    <w:rsid w:val="00B62E8D"/>
    <w:rsid w:val="00B62ED7"/>
    <w:rsid w:val="00B63006"/>
    <w:rsid w:val="00B632C9"/>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54B"/>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2C88"/>
    <w:rsid w:val="00C039A6"/>
    <w:rsid w:val="00C0427F"/>
    <w:rsid w:val="00C0553E"/>
    <w:rsid w:val="00C060BC"/>
    <w:rsid w:val="00C10148"/>
    <w:rsid w:val="00C1053E"/>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31C"/>
    <w:rsid w:val="00C25756"/>
    <w:rsid w:val="00C306DF"/>
    <w:rsid w:val="00C30827"/>
    <w:rsid w:val="00C30EBF"/>
    <w:rsid w:val="00C31759"/>
    <w:rsid w:val="00C3282F"/>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3781"/>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1DBB"/>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1A76"/>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07FED"/>
    <w:rsid w:val="00D10582"/>
    <w:rsid w:val="00D10DF6"/>
    <w:rsid w:val="00D1159E"/>
    <w:rsid w:val="00D11BEE"/>
    <w:rsid w:val="00D1268F"/>
    <w:rsid w:val="00D127C1"/>
    <w:rsid w:val="00D144BD"/>
    <w:rsid w:val="00D1550A"/>
    <w:rsid w:val="00D15F6B"/>
    <w:rsid w:val="00D17AB3"/>
    <w:rsid w:val="00D17E12"/>
    <w:rsid w:val="00D2026F"/>
    <w:rsid w:val="00D20C00"/>
    <w:rsid w:val="00D20D99"/>
    <w:rsid w:val="00D20E20"/>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2FB4"/>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493E"/>
    <w:rsid w:val="00DC51D3"/>
    <w:rsid w:val="00DC5C66"/>
    <w:rsid w:val="00DC5FAE"/>
    <w:rsid w:val="00DC6D75"/>
    <w:rsid w:val="00DC7886"/>
    <w:rsid w:val="00DC7BA5"/>
    <w:rsid w:val="00DD03E0"/>
    <w:rsid w:val="00DD077F"/>
    <w:rsid w:val="00DD1096"/>
    <w:rsid w:val="00DD205A"/>
    <w:rsid w:val="00DD2661"/>
    <w:rsid w:val="00DD2C27"/>
    <w:rsid w:val="00DD2D46"/>
    <w:rsid w:val="00DD2FCB"/>
    <w:rsid w:val="00DD51E1"/>
    <w:rsid w:val="00DD5876"/>
    <w:rsid w:val="00DD5DA7"/>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C27"/>
    <w:rsid w:val="00DF6D7A"/>
    <w:rsid w:val="00DF6F2E"/>
    <w:rsid w:val="00DF6FAA"/>
    <w:rsid w:val="00DF7271"/>
    <w:rsid w:val="00DF7E5D"/>
    <w:rsid w:val="00E002D9"/>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1697"/>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6E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732"/>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4DE4"/>
    <w:rsid w:val="00E9588F"/>
    <w:rsid w:val="00E96DA0"/>
    <w:rsid w:val="00E970D8"/>
    <w:rsid w:val="00E97246"/>
    <w:rsid w:val="00E973A1"/>
    <w:rsid w:val="00E97620"/>
    <w:rsid w:val="00E97CB0"/>
    <w:rsid w:val="00EA04A8"/>
    <w:rsid w:val="00EA0C00"/>
    <w:rsid w:val="00EA0E91"/>
    <w:rsid w:val="00EA25C6"/>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587A"/>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25D"/>
    <w:rsid w:val="00FA05BB"/>
    <w:rsid w:val="00FA0CBD"/>
    <w:rsid w:val="00FA1294"/>
    <w:rsid w:val="00FA2433"/>
    <w:rsid w:val="00FA24F6"/>
    <w:rsid w:val="00FA3AB8"/>
    <w:rsid w:val="00FA416E"/>
    <w:rsid w:val="00FA49B9"/>
    <w:rsid w:val="00FA4A06"/>
    <w:rsid w:val="00FA50C4"/>
    <w:rsid w:val="00FA63D8"/>
    <w:rsid w:val="00FA6D3A"/>
    <w:rsid w:val="00FA7073"/>
    <w:rsid w:val="00FA733B"/>
    <w:rsid w:val="00FA738E"/>
    <w:rsid w:val="00FA7627"/>
    <w:rsid w:val="00FA7C08"/>
    <w:rsid w:val="00FA7C4F"/>
    <w:rsid w:val="00FB2119"/>
    <w:rsid w:val="00FB367A"/>
    <w:rsid w:val="00FB4ABA"/>
    <w:rsid w:val="00FC1CCC"/>
    <w:rsid w:val="00FC2DEA"/>
    <w:rsid w:val="00FC3BA8"/>
    <w:rsid w:val="00FC5CA1"/>
    <w:rsid w:val="00FC6BDE"/>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62AC"/>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557135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9B4B-41DD-4429-A5CA-CBF1493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Northern Territory Government S82 2018</vt:lpstr>
    </vt:vector>
  </TitlesOfParts>
  <Company>NTG</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S83 2018</dc:title>
  <dc:subject/>
  <dc:creator>Northern Territory Government</dc:creator>
  <cp:keywords/>
  <dc:description/>
  <cp:lastModifiedBy>Catherine Frances Maher</cp:lastModifiedBy>
  <cp:revision>8</cp:revision>
  <cp:lastPrinted>2018-10-16T23:35:00Z</cp:lastPrinted>
  <dcterms:created xsi:type="dcterms:W3CDTF">2018-10-16T06:00:00Z</dcterms:created>
  <dcterms:modified xsi:type="dcterms:W3CDTF">2018-10-17T01:25:00Z</dcterms:modified>
  <cp:contentStatus/>
</cp:coreProperties>
</file>